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5AEAB" w14:textId="5014C970" w:rsidR="00F15FBA" w:rsidRPr="00267010" w:rsidRDefault="00F15FBA" w:rsidP="006A36AB">
      <w:pPr>
        <w:pStyle w:val="Ttulo"/>
        <w:outlineLvl w:val="0"/>
        <w:rPr>
          <w:sz w:val="23"/>
          <w:szCs w:val="23"/>
          <w:lang w:val="es-PE"/>
        </w:rPr>
      </w:pPr>
      <w:r w:rsidRPr="00267010">
        <w:rPr>
          <w:sz w:val="23"/>
          <w:szCs w:val="23"/>
          <w:lang w:val="es-PE"/>
        </w:rPr>
        <w:t xml:space="preserve">RESOLUCIÓN </w:t>
      </w:r>
      <w:proofErr w:type="spellStart"/>
      <w:r w:rsidRPr="00267010">
        <w:rPr>
          <w:sz w:val="23"/>
          <w:szCs w:val="23"/>
          <w:lang w:val="es-PE"/>
        </w:rPr>
        <w:t>N</w:t>
      </w:r>
      <w:r w:rsidR="001631D6" w:rsidRPr="00267010">
        <w:rPr>
          <w:sz w:val="23"/>
          <w:szCs w:val="23"/>
          <w:lang w:val="es-PE"/>
        </w:rPr>
        <w:t>°</w:t>
      </w:r>
      <w:proofErr w:type="spellEnd"/>
      <w:r w:rsidR="001631D6" w:rsidRPr="00267010">
        <w:rPr>
          <w:sz w:val="23"/>
          <w:szCs w:val="23"/>
          <w:lang w:val="es-PE"/>
        </w:rPr>
        <w:t xml:space="preserve"> </w:t>
      </w:r>
      <w:r w:rsidR="003E6BA6" w:rsidRPr="00267010">
        <w:rPr>
          <w:sz w:val="23"/>
          <w:szCs w:val="23"/>
          <w:lang w:val="es-PE"/>
        </w:rPr>
        <w:t>0</w:t>
      </w:r>
      <w:r w:rsidR="00D71CAF" w:rsidRPr="00267010">
        <w:rPr>
          <w:sz w:val="23"/>
          <w:szCs w:val="23"/>
          <w:lang w:val="es-PE"/>
        </w:rPr>
        <w:t>5</w:t>
      </w:r>
      <w:r w:rsidR="00267010" w:rsidRPr="00267010">
        <w:rPr>
          <w:sz w:val="23"/>
          <w:szCs w:val="23"/>
          <w:lang w:val="es-PE"/>
        </w:rPr>
        <w:t>5</w:t>
      </w:r>
      <w:r w:rsidR="001631D6" w:rsidRPr="00267010">
        <w:rPr>
          <w:sz w:val="23"/>
          <w:szCs w:val="23"/>
          <w:lang w:val="es-PE"/>
        </w:rPr>
        <w:t>/2</w:t>
      </w:r>
      <w:r w:rsidR="003E6BA6" w:rsidRPr="00267010">
        <w:rPr>
          <w:sz w:val="23"/>
          <w:szCs w:val="23"/>
          <w:lang w:val="es-PE"/>
        </w:rPr>
        <w:t>1</w:t>
      </w:r>
    </w:p>
    <w:p w14:paraId="38878D5A" w14:textId="77777777" w:rsidR="00B81042" w:rsidRPr="00267010" w:rsidRDefault="00B81042" w:rsidP="00D71CAF">
      <w:pPr>
        <w:jc w:val="both"/>
        <w:rPr>
          <w:b/>
          <w:bCs/>
          <w:sz w:val="23"/>
          <w:szCs w:val="23"/>
          <w:lang w:val="es-PE"/>
        </w:rPr>
      </w:pPr>
    </w:p>
    <w:p w14:paraId="33794605" w14:textId="77777777" w:rsidR="00267010" w:rsidRPr="00267010" w:rsidRDefault="00267010" w:rsidP="00267010">
      <w:pPr>
        <w:jc w:val="both"/>
        <w:outlineLvl w:val="0"/>
        <w:rPr>
          <w:b/>
          <w:bCs/>
          <w:sz w:val="23"/>
          <w:szCs w:val="23"/>
          <w:lang w:val="es-PE"/>
        </w:rPr>
      </w:pPr>
      <w:r w:rsidRPr="00267010">
        <w:rPr>
          <w:b/>
          <w:bCs/>
          <w:sz w:val="23"/>
          <w:szCs w:val="23"/>
          <w:lang w:val="es-PE"/>
        </w:rPr>
        <w:t>Vistos:</w:t>
      </w:r>
    </w:p>
    <w:p w14:paraId="4E7FEF4E" w14:textId="77777777" w:rsidR="00267010" w:rsidRPr="00267010" w:rsidRDefault="00267010" w:rsidP="00267010">
      <w:pPr>
        <w:jc w:val="both"/>
        <w:rPr>
          <w:b/>
          <w:bCs/>
          <w:sz w:val="23"/>
          <w:szCs w:val="23"/>
          <w:lang w:val="es-PE"/>
        </w:rPr>
      </w:pPr>
    </w:p>
    <w:p w14:paraId="1D0C53BD" w14:textId="02FEB011" w:rsidR="00267010" w:rsidRPr="00267010" w:rsidRDefault="00267010" w:rsidP="00267010">
      <w:pPr>
        <w:tabs>
          <w:tab w:val="left" w:pos="0"/>
          <w:tab w:val="left" w:pos="708"/>
          <w:tab w:val="left" w:pos="1416"/>
          <w:tab w:val="left" w:pos="2160"/>
          <w:tab w:val="left" w:pos="3540"/>
          <w:tab w:val="left" w:pos="4248"/>
          <w:tab w:val="left" w:pos="4956"/>
          <w:tab w:val="left" w:pos="5664"/>
          <w:tab w:val="left" w:pos="6372"/>
          <w:tab w:val="left" w:pos="7125"/>
        </w:tabs>
        <w:jc w:val="both"/>
        <w:rPr>
          <w:sz w:val="23"/>
          <w:szCs w:val="23"/>
          <w:lang w:val="es-PE"/>
        </w:rPr>
      </w:pPr>
      <w:r w:rsidRPr="00267010">
        <w:rPr>
          <w:sz w:val="23"/>
          <w:szCs w:val="23"/>
          <w:lang w:val="es-PE"/>
        </w:rPr>
        <w:t xml:space="preserve">Que, con fecha 12 de febrero de 2021 se recibió el reclamo de doña </w:t>
      </w:r>
      <w:r w:rsidR="009F06F2">
        <w:rPr>
          <w:lang w:val="es-PE"/>
        </w:rPr>
        <w:t>..................</w:t>
      </w:r>
      <w:r w:rsidR="009F06F2">
        <w:t>.</w:t>
      </w:r>
      <w:r w:rsidRPr="00267010">
        <w:rPr>
          <w:sz w:val="23"/>
          <w:szCs w:val="23"/>
          <w:lang w:val="es-PE"/>
        </w:rPr>
        <w:t xml:space="preserve"> contra </w:t>
      </w:r>
      <w:r w:rsidR="009F06F2">
        <w:rPr>
          <w:lang w:val="es-PE"/>
        </w:rPr>
        <w:t>..................</w:t>
      </w:r>
      <w:r w:rsidR="009F06F2">
        <w:t>.</w:t>
      </w:r>
      <w:r w:rsidRPr="00267010">
        <w:rPr>
          <w:sz w:val="23"/>
          <w:szCs w:val="23"/>
          <w:lang w:val="es-PE"/>
        </w:rPr>
        <w:t xml:space="preserve">, a través del cual solicita el pago del beneficio del seguro de desgravamen por el fallecimiento del asegurado </w:t>
      </w:r>
      <w:r w:rsidR="009F06F2">
        <w:rPr>
          <w:lang w:val="es-PE"/>
        </w:rPr>
        <w:t>..................</w:t>
      </w:r>
      <w:r w:rsidR="009F06F2">
        <w:t>.</w:t>
      </w:r>
      <w:r w:rsidRPr="00267010">
        <w:rPr>
          <w:sz w:val="23"/>
          <w:szCs w:val="23"/>
          <w:lang w:val="es-PE"/>
        </w:rPr>
        <w:t xml:space="preserve">, conforme a la póliza de Seguro de Desgravamen Exención de Pagos Pandero Póliza </w:t>
      </w:r>
      <w:proofErr w:type="spellStart"/>
      <w:r w:rsidRPr="00267010">
        <w:rPr>
          <w:sz w:val="23"/>
          <w:szCs w:val="23"/>
          <w:lang w:val="es-PE"/>
        </w:rPr>
        <w:t>Nº</w:t>
      </w:r>
      <w:proofErr w:type="spellEnd"/>
      <w:r w:rsidRPr="00267010">
        <w:rPr>
          <w:sz w:val="23"/>
          <w:szCs w:val="23"/>
          <w:lang w:val="es-PE"/>
        </w:rPr>
        <w:t xml:space="preserve"> </w:t>
      </w:r>
      <w:r w:rsidR="009F06F2">
        <w:rPr>
          <w:lang w:val="es-PE"/>
        </w:rPr>
        <w:t>..................</w:t>
      </w:r>
      <w:r w:rsidR="009F06F2">
        <w:t>.</w:t>
      </w:r>
      <w:r w:rsidRPr="00267010">
        <w:rPr>
          <w:sz w:val="23"/>
          <w:szCs w:val="23"/>
          <w:lang w:val="es-PE"/>
        </w:rPr>
        <w:t>.</w:t>
      </w:r>
      <w:bookmarkStart w:id="0" w:name="OLE_LINK2"/>
    </w:p>
    <w:bookmarkEnd w:id="0"/>
    <w:p w14:paraId="283A8369" w14:textId="77777777" w:rsidR="00267010" w:rsidRPr="00267010" w:rsidRDefault="00267010" w:rsidP="00267010">
      <w:pPr>
        <w:jc w:val="both"/>
        <w:rPr>
          <w:sz w:val="23"/>
          <w:szCs w:val="23"/>
          <w:lang w:val="es-PE"/>
        </w:rPr>
      </w:pPr>
    </w:p>
    <w:p w14:paraId="643ECFFB" w14:textId="377F4302" w:rsidR="00267010" w:rsidRPr="00267010" w:rsidRDefault="00267010" w:rsidP="00267010">
      <w:pPr>
        <w:jc w:val="both"/>
        <w:rPr>
          <w:rFonts w:eastAsia="Arial Unicode MS"/>
          <w:sz w:val="23"/>
          <w:szCs w:val="23"/>
          <w:lang w:val="es-PE"/>
        </w:rPr>
      </w:pPr>
      <w:r w:rsidRPr="00267010">
        <w:rPr>
          <w:rFonts w:eastAsia="Arial Unicode MS"/>
          <w:sz w:val="23"/>
          <w:szCs w:val="23"/>
          <w:lang w:val="es-PE"/>
        </w:rPr>
        <w:t>Que, la señalada reclamación cumple con los requisitos de materia, cuantía y oportunidad establecidos en el Reglamento de la DEFASEG (http://www.defaseg.com.pe/reglamento);</w:t>
      </w:r>
    </w:p>
    <w:p w14:paraId="58BDBC01" w14:textId="77777777" w:rsidR="00267010" w:rsidRPr="00267010" w:rsidRDefault="00267010" w:rsidP="00267010">
      <w:pPr>
        <w:tabs>
          <w:tab w:val="left" w:pos="2160"/>
        </w:tabs>
        <w:jc w:val="both"/>
        <w:rPr>
          <w:sz w:val="23"/>
          <w:szCs w:val="23"/>
          <w:lang w:val="es-PE"/>
        </w:rPr>
      </w:pPr>
    </w:p>
    <w:p w14:paraId="01E25AD1" w14:textId="77777777" w:rsidR="00267010" w:rsidRPr="00267010" w:rsidRDefault="00267010" w:rsidP="00267010">
      <w:pPr>
        <w:tabs>
          <w:tab w:val="num" w:pos="720"/>
        </w:tabs>
        <w:jc w:val="both"/>
        <w:rPr>
          <w:sz w:val="23"/>
          <w:szCs w:val="23"/>
          <w:lang w:val="es-PE"/>
        </w:rPr>
      </w:pPr>
      <w:r w:rsidRPr="00267010">
        <w:rPr>
          <w:sz w:val="23"/>
          <w:szCs w:val="23"/>
          <w:lang w:val="es-PE"/>
        </w:rPr>
        <w:t xml:space="preserve">Que, habiéndose corrido traslado de la respectiva reclamación a la aseguradora, esta presentó sus descargos el 23 de abril de 2021. </w:t>
      </w:r>
    </w:p>
    <w:p w14:paraId="63C2BF58" w14:textId="77777777" w:rsidR="00267010" w:rsidRPr="00267010" w:rsidRDefault="00267010" w:rsidP="00267010">
      <w:pPr>
        <w:tabs>
          <w:tab w:val="num" w:pos="720"/>
        </w:tabs>
        <w:jc w:val="both"/>
        <w:rPr>
          <w:sz w:val="23"/>
          <w:szCs w:val="23"/>
          <w:lang w:val="es-PE"/>
        </w:rPr>
      </w:pPr>
    </w:p>
    <w:p w14:paraId="41336E62" w14:textId="77777777" w:rsidR="00267010" w:rsidRPr="00267010" w:rsidRDefault="00267010" w:rsidP="00267010">
      <w:pPr>
        <w:tabs>
          <w:tab w:val="num" w:pos="720"/>
        </w:tabs>
        <w:jc w:val="both"/>
        <w:rPr>
          <w:sz w:val="23"/>
          <w:szCs w:val="23"/>
          <w:lang w:val="es-PE"/>
        </w:rPr>
      </w:pPr>
      <w:r w:rsidRPr="00267010">
        <w:rPr>
          <w:sz w:val="23"/>
          <w:szCs w:val="23"/>
          <w:lang w:val="es-PE"/>
        </w:rPr>
        <w:t>Que, el 26 de abril de 2021 2020 se realizó la audiencia virtual de vista con la concurrencia de ambas partes, las que sustentaron sus respectivas posiciones, absolviendo las preguntas formuladas por este colegiado, conforme consta de la correspondiente acta.</w:t>
      </w:r>
    </w:p>
    <w:p w14:paraId="6D1E8728" w14:textId="77777777" w:rsidR="00267010" w:rsidRPr="00267010" w:rsidRDefault="00267010" w:rsidP="00267010">
      <w:pPr>
        <w:tabs>
          <w:tab w:val="num" w:pos="720"/>
        </w:tabs>
        <w:jc w:val="both"/>
        <w:rPr>
          <w:sz w:val="23"/>
          <w:szCs w:val="23"/>
          <w:lang w:val="es-PE"/>
        </w:rPr>
      </w:pPr>
    </w:p>
    <w:p w14:paraId="4733F667" w14:textId="77777777" w:rsidR="00267010" w:rsidRPr="00267010" w:rsidRDefault="00267010" w:rsidP="00267010">
      <w:pPr>
        <w:jc w:val="both"/>
        <w:rPr>
          <w:sz w:val="23"/>
          <w:szCs w:val="23"/>
        </w:rPr>
      </w:pPr>
      <w:r w:rsidRPr="00267010">
        <w:rPr>
          <w:sz w:val="23"/>
          <w:szCs w:val="23"/>
          <w:lang w:val="es-PE"/>
        </w:rPr>
        <w:t>Que en resumen la posición de la reclamante es la siguiente:</w:t>
      </w:r>
      <w:r w:rsidRPr="00267010">
        <w:rPr>
          <w:sz w:val="23"/>
          <w:szCs w:val="23"/>
        </w:rPr>
        <w:t xml:space="preserve"> a) No está de acuerdo con el rechazo de cobertura por enfermedad preexistente; b) de acuerdo al certificado médico la causa del fallecimiento es Covid-19 posterior a la contratación del seguro; c) la aseguradora indica que la causa es hemorragia digestiva alta de hace 5 años, cuando en realidad la causa de muerte indica Falla multiorgánica 5 horas, y como causas antecedentes, insuficiencia respiratoria (11 días) neumonía atípica viral por </w:t>
      </w:r>
      <w:proofErr w:type="spellStart"/>
      <w:r w:rsidRPr="00267010">
        <w:rPr>
          <w:sz w:val="23"/>
          <w:szCs w:val="23"/>
        </w:rPr>
        <w:t>Covid</w:t>
      </w:r>
      <w:proofErr w:type="spellEnd"/>
      <w:r w:rsidRPr="00267010">
        <w:rPr>
          <w:sz w:val="23"/>
          <w:szCs w:val="23"/>
        </w:rPr>
        <w:t xml:space="preserve"> (11 días) y hemorragia digestiva alta (5 horas), que los días y horas son posteriores a la contratación del seguro, por lo que solicita se evalúe la historia clínica que se adjunta y no se basen en un relato cronológico que refiere un familiar; por lo que solicita se realice el desembolso a la entidad Pandero y la deuda del vehículo quede totalmente cancelada.</w:t>
      </w:r>
    </w:p>
    <w:p w14:paraId="2F80A469" w14:textId="77777777" w:rsidR="00267010" w:rsidRPr="00267010" w:rsidRDefault="00267010" w:rsidP="00267010">
      <w:pPr>
        <w:jc w:val="both"/>
        <w:rPr>
          <w:sz w:val="23"/>
          <w:szCs w:val="23"/>
          <w:lang w:val="es-PE"/>
        </w:rPr>
      </w:pPr>
    </w:p>
    <w:p w14:paraId="7530258F" w14:textId="789A4371" w:rsidR="00267010" w:rsidRPr="00267010" w:rsidRDefault="00267010" w:rsidP="00267010">
      <w:pPr>
        <w:jc w:val="both"/>
        <w:rPr>
          <w:sz w:val="23"/>
          <w:szCs w:val="23"/>
        </w:rPr>
      </w:pPr>
      <w:r w:rsidRPr="00267010">
        <w:rPr>
          <w:sz w:val="23"/>
          <w:szCs w:val="23"/>
          <w:lang w:val="es-PE"/>
        </w:rPr>
        <w:t xml:space="preserve">Que, conforme se desprende de los descargos presentados por la aseguradora y de lo expuesto en la audiencia de vista, </w:t>
      </w:r>
      <w:r w:rsidR="003713B1">
        <w:rPr>
          <w:lang w:val="es-PE"/>
        </w:rPr>
        <w:t>..................</w:t>
      </w:r>
      <w:r w:rsidR="003713B1">
        <w:t>.</w:t>
      </w:r>
      <w:r w:rsidRPr="00267010">
        <w:rPr>
          <w:sz w:val="23"/>
          <w:szCs w:val="23"/>
          <w:lang w:val="es-PE"/>
        </w:rPr>
        <w:t xml:space="preserve"> sustenta el rechazo de siniestro en lo siguiente:</w:t>
      </w:r>
      <w:r w:rsidRPr="00267010">
        <w:rPr>
          <w:sz w:val="23"/>
          <w:szCs w:val="23"/>
        </w:rPr>
        <w:t xml:space="preserve"> a) han rechazado el siniestro por preexistencia, debido a que de la revisión de la historia clínica del asegurado, se verificación los siguientes diagnósticos: cirrosis hepáticas (hace 5 años), hemorragia digestiva alta (HDA) hace 5 años, varices esofágicas (hace 5 años); b) en el certificado de defunción se consigna como causa del fallecimiento a la hemorragia digestiva alta, y si bien se hace referencia a la falla multiorgánica , ello es por la presencia simultánea de disfunción de varios órganos, siendo que entre las causas que con mayor frecuencia dan lugar a un síndrome de disfunción multiorgánico se encuentra la hemorragia gastrointestinal, asimismo se puede corroborar que en el certificado de defunción dicha HDA figura como causa básica del fallecimiento, enfermedad que de acuerdo a lo que se indica en la historia clínica se indica como antecedente de hace 5 años por lo que resulta preexistente a la contratación del seguro que fue tomado en agosto de 2019; c) que tal como se consigna en el certificado de seguro, se excluya el fallecimiento como consecuencia de enfermedades preexistentes, por lo que el rechazo de cobertura es legítimo; d) añaden que el contrato es nulo porque en la declaración de salud el asegurado no puso en conocimiento de la compañía sus antecedentes médicos; e) adicionalmente la cobertura resulta improcedente por contravención al principio de buena fe; de acuerdo al título preliminar se aplica el derecho común a falta de disposiciones de derecho de seguros o de protección al consumidor, siendo que la ley no ampara el ejercicio abusivo del derecho; por lo que solicitan declarar infundado el reclamo.</w:t>
      </w:r>
    </w:p>
    <w:p w14:paraId="531DE1D9" w14:textId="77777777" w:rsidR="00267010" w:rsidRPr="00267010" w:rsidRDefault="00267010" w:rsidP="00267010">
      <w:pPr>
        <w:jc w:val="both"/>
        <w:rPr>
          <w:sz w:val="23"/>
          <w:szCs w:val="23"/>
          <w:lang w:val="es-MX"/>
        </w:rPr>
      </w:pPr>
    </w:p>
    <w:p w14:paraId="3C6E2842" w14:textId="77777777" w:rsidR="00267010" w:rsidRPr="00267010" w:rsidRDefault="00267010" w:rsidP="00267010">
      <w:pPr>
        <w:jc w:val="both"/>
        <w:rPr>
          <w:sz w:val="23"/>
          <w:szCs w:val="23"/>
          <w:lang w:val="es-PE"/>
        </w:rPr>
      </w:pPr>
      <w:r w:rsidRPr="00267010">
        <w:rPr>
          <w:sz w:val="23"/>
          <w:szCs w:val="23"/>
          <w:lang w:val="es-MX"/>
        </w:rPr>
        <w:t>Que, en la audiencia de vista se solicitó a la aseguradora presentar un informe médico que acredite la preexistencia invocada con anterioridad a la contratación del seguro, así como el certificado de seguro completo mediante el cual se acredite que se informó de la exclusión. Que ha vencido el plazo otorgado sin que la asegurado haya cumplido con presentar lo requerido.</w:t>
      </w:r>
      <w:r w:rsidRPr="00267010">
        <w:rPr>
          <w:sz w:val="23"/>
          <w:szCs w:val="23"/>
        </w:rPr>
        <w:t xml:space="preserve"> </w:t>
      </w:r>
    </w:p>
    <w:p w14:paraId="690B516D" w14:textId="77777777" w:rsidR="00267010" w:rsidRPr="00267010" w:rsidRDefault="00267010" w:rsidP="00267010">
      <w:pPr>
        <w:jc w:val="both"/>
        <w:rPr>
          <w:sz w:val="23"/>
          <w:szCs w:val="23"/>
          <w:lang w:val="es-PE"/>
        </w:rPr>
      </w:pPr>
    </w:p>
    <w:p w14:paraId="723FC08D" w14:textId="77777777" w:rsidR="00267010" w:rsidRPr="00267010" w:rsidRDefault="00267010" w:rsidP="00267010">
      <w:pPr>
        <w:jc w:val="both"/>
        <w:rPr>
          <w:sz w:val="23"/>
          <w:szCs w:val="23"/>
        </w:rPr>
      </w:pPr>
      <w:r w:rsidRPr="00267010">
        <w:rPr>
          <w:sz w:val="23"/>
          <w:szCs w:val="23"/>
        </w:rPr>
        <w:t>Que el expediente se encuentra en condiciones para que este colegiado expida su pronunciamiento.</w:t>
      </w:r>
    </w:p>
    <w:p w14:paraId="12CAC807" w14:textId="77777777" w:rsidR="00267010" w:rsidRPr="00267010" w:rsidRDefault="00267010" w:rsidP="00267010">
      <w:pPr>
        <w:jc w:val="both"/>
        <w:rPr>
          <w:sz w:val="23"/>
          <w:szCs w:val="23"/>
          <w:lang w:val="es-PE"/>
        </w:rPr>
      </w:pPr>
    </w:p>
    <w:p w14:paraId="0868701D" w14:textId="77777777" w:rsidR="00267010" w:rsidRPr="00267010" w:rsidRDefault="00267010" w:rsidP="00267010">
      <w:pPr>
        <w:jc w:val="both"/>
        <w:outlineLvl w:val="0"/>
        <w:rPr>
          <w:sz w:val="23"/>
          <w:szCs w:val="23"/>
          <w:lang w:val="es-PE"/>
        </w:rPr>
      </w:pPr>
      <w:r w:rsidRPr="00267010">
        <w:rPr>
          <w:rStyle w:val="Textoennegrita"/>
          <w:sz w:val="23"/>
          <w:szCs w:val="23"/>
          <w:lang w:val="es-PE"/>
        </w:rPr>
        <w:t>Considerando:</w:t>
      </w:r>
    </w:p>
    <w:p w14:paraId="29A1CB86" w14:textId="77777777" w:rsidR="00267010" w:rsidRPr="00267010" w:rsidRDefault="00267010" w:rsidP="00267010">
      <w:pPr>
        <w:jc w:val="both"/>
        <w:rPr>
          <w:sz w:val="23"/>
          <w:szCs w:val="23"/>
          <w:lang w:val="es-PE"/>
        </w:rPr>
      </w:pPr>
    </w:p>
    <w:p w14:paraId="3F0995FE" w14:textId="77777777" w:rsidR="00267010" w:rsidRPr="00267010" w:rsidRDefault="00267010" w:rsidP="00267010">
      <w:pPr>
        <w:jc w:val="both"/>
        <w:rPr>
          <w:sz w:val="23"/>
          <w:szCs w:val="23"/>
          <w:lang w:val="es-PE"/>
        </w:rPr>
      </w:pPr>
      <w:r w:rsidRPr="00267010">
        <w:rPr>
          <w:b/>
          <w:sz w:val="23"/>
          <w:szCs w:val="23"/>
          <w:u w:val="single"/>
          <w:lang w:val="es-PE"/>
        </w:rPr>
        <w:t>Primero</w:t>
      </w:r>
      <w:r w:rsidRPr="00267010">
        <w:rPr>
          <w:b/>
          <w:sz w:val="23"/>
          <w:szCs w:val="23"/>
          <w:lang w:val="es-PE"/>
        </w:rPr>
        <w:t xml:space="preserve">: </w:t>
      </w:r>
      <w:r w:rsidRPr="00267010">
        <w:rPr>
          <w:sz w:val="23"/>
          <w:szCs w:val="23"/>
          <w:lang w:val="es-PE"/>
        </w:rPr>
        <w:t>Conforme a su Reglamento, la</w:t>
      </w:r>
      <w:r w:rsidRPr="00267010">
        <w:rPr>
          <w:b/>
          <w:bCs/>
          <w:sz w:val="23"/>
          <w:szCs w:val="23"/>
          <w:lang w:val="es-PE"/>
        </w:rPr>
        <w:t xml:space="preserve"> </w:t>
      </w:r>
      <w:r w:rsidRPr="00267010">
        <w:rPr>
          <w:sz w:val="23"/>
          <w:szCs w:val="23"/>
          <w:lang w:val="es-PE"/>
        </w:rPr>
        <w:t xml:space="preserve">DEFASEG está orientada a la protección de los derechos de los asegurados o usuarios de los servicios del seguro privado contratados en el país, mediante la solución de controversias que se susciten con las empresas aseguradoras, respecto de rechazos o liquidación de cobertura de siniestros; entendiéndose por “asegurados” y “usuarios de seguros” a los asegurados propiamente dichos, a los contratantes del respectivo seguro y/o a los beneficiarios nombrados en las pólizas. </w:t>
      </w:r>
    </w:p>
    <w:p w14:paraId="6DCC0198" w14:textId="77777777" w:rsidR="00267010" w:rsidRPr="00267010" w:rsidRDefault="00267010" w:rsidP="00267010">
      <w:pPr>
        <w:jc w:val="both"/>
        <w:rPr>
          <w:bCs/>
          <w:sz w:val="23"/>
          <w:szCs w:val="23"/>
        </w:rPr>
      </w:pPr>
    </w:p>
    <w:p w14:paraId="466619A2" w14:textId="77777777" w:rsidR="00267010" w:rsidRPr="00267010" w:rsidRDefault="00267010" w:rsidP="00267010">
      <w:pPr>
        <w:jc w:val="both"/>
        <w:rPr>
          <w:bCs/>
          <w:sz w:val="23"/>
          <w:szCs w:val="23"/>
          <w:lang w:val="es-PE"/>
        </w:rPr>
      </w:pPr>
      <w:r w:rsidRPr="00267010">
        <w:rPr>
          <w:b/>
          <w:bCs/>
          <w:sz w:val="23"/>
          <w:szCs w:val="23"/>
          <w:u w:val="single"/>
          <w:lang w:val="es-PE"/>
        </w:rPr>
        <w:t>Segundo</w:t>
      </w:r>
      <w:r w:rsidRPr="00267010">
        <w:rPr>
          <w:b/>
          <w:bCs/>
          <w:sz w:val="23"/>
          <w:szCs w:val="23"/>
          <w:lang w:val="es-PE"/>
        </w:rPr>
        <w:t>:</w:t>
      </w:r>
      <w:r w:rsidRPr="00267010">
        <w:rPr>
          <w:bCs/>
          <w:sz w:val="23"/>
          <w:szCs w:val="23"/>
          <w:lang w:val="es-PE"/>
        </w:rPr>
        <w:t xml:space="preserve"> </w:t>
      </w:r>
      <w:r w:rsidRPr="00267010">
        <w:rPr>
          <w:sz w:val="23"/>
          <w:szCs w:val="23"/>
          <w:lang w:val="es-PE"/>
        </w:rPr>
        <w:t xml:space="preserve">Asimismo, de acuerdo a </w:t>
      </w:r>
      <w:r w:rsidRPr="00267010">
        <w:rPr>
          <w:bCs/>
          <w:sz w:val="23"/>
          <w:szCs w:val="23"/>
          <w:lang w:val="es-PE"/>
        </w:rPr>
        <w:t>su Reglamento, la DEFASEG sólo es competente para pronunciarse y resolver las reclamaciones indemnizatorias de los asegurados que hubiesen sido sometidas a su conocimiento, sobre la base de la documentación obrante en el correspondiente expediente y con arreglo a derecho, siempre y cuando las señaladas reclamaciones cumplan los requisitos reglamentarios de materia, cuantía y oportunidad, de manera que las reclamaciones por materias distintas al otorgamiento de cobertura, como pueden las pretensiones indemnizatorias por daños y perjuicios, por reembolso de gastos, o idoneidad de servicios, son ajenas a la competencia funcional de esta Defensoría.</w:t>
      </w:r>
    </w:p>
    <w:p w14:paraId="55F2279A" w14:textId="77777777" w:rsidR="00267010" w:rsidRPr="00267010" w:rsidRDefault="00267010" w:rsidP="00267010">
      <w:pPr>
        <w:jc w:val="both"/>
        <w:rPr>
          <w:sz w:val="23"/>
          <w:szCs w:val="23"/>
          <w:lang w:val="es-PE"/>
        </w:rPr>
      </w:pPr>
    </w:p>
    <w:p w14:paraId="45E63149" w14:textId="77777777" w:rsidR="00267010" w:rsidRPr="00267010" w:rsidRDefault="00267010" w:rsidP="00267010">
      <w:pPr>
        <w:jc w:val="both"/>
        <w:rPr>
          <w:sz w:val="23"/>
          <w:szCs w:val="23"/>
        </w:rPr>
      </w:pPr>
      <w:r w:rsidRPr="00267010">
        <w:rPr>
          <w:b/>
          <w:bCs/>
          <w:sz w:val="23"/>
          <w:szCs w:val="23"/>
          <w:u w:val="single"/>
          <w:lang w:val="es-PE"/>
        </w:rPr>
        <w:t>Tercero</w:t>
      </w:r>
      <w:r w:rsidRPr="00267010">
        <w:rPr>
          <w:b/>
          <w:bCs/>
          <w:sz w:val="23"/>
          <w:szCs w:val="23"/>
          <w:lang w:val="es-PE"/>
        </w:rPr>
        <w:t>:</w:t>
      </w:r>
      <w:r w:rsidRPr="00267010">
        <w:rPr>
          <w:sz w:val="23"/>
          <w:szCs w:val="23"/>
          <w:lang w:val="es-PE"/>
        </w:rPr>
        <w:t xml:space="preserve"> Que, de acuerdo a la Ley Nro. </w:t>
      </w:r>
      <w:r w:rsidRPr="00267010">
        <w:rPr>
          <w:sz w:val="23"/>
          <w:szCs w:val="23"/>
        </w:rPr>
        <w:t xml:space="preserve">29946 – Ley del Contrato de Seguro, norma legal vigente con ocasión de la celebración del contrato al cual se contrae el presente caso, </w:t>
      </w:r>
      <w:r w:rsidRPr="00267010">
        <w:rPr>
          <w:sz w:val="23"/>
          <w:szCs w:val="23"/>
          <w:lang w:val="es-PE"/>
        </w:rPr>
        <w:t>todas las cuestiones jurídicas se rigen por lo dispuesto en dicha ley y por las que reglas que se acuerden convencionalmente, en cuanto no vulneren los principios esenciales de la naturaleza jurídica del seguro, siendo que sólo se aplica el derecho común a falta de disposiciones del derecho de seguros o de protección al consumidor.</w:t>
      </w:r>
    </w:p>
    <w:p w14:paraId="2AFD9E67" w14:textId="77777777" w:rsidR="00267010" w:rsidRPr="00267010" w:rsidRDefault="00267010" w:rsidP="00267010">
      <w:pPr>
        <w:jc w:val="both"/>
        <w:rPr>
          <w:b/>
          <w:sz w:val="23"/>
          <w:szCs w:val="23"/>
          <w:u w:val="single"/>
          <w:lang w:val="es-PE"/>
        </w:rPr>
      </w:pPr>
    </w:p>
    <w:p w14:paraId="5EB2A9EF" w14:textId="77777777" w:rsidR="00267010" w:rsidRPr="00267010" w:rsidRDefault="00267010" w:rsidP="00267010">
      <w:pPr>
        <w:jc w:val="both"/>
        <w:rPr>
          <w:sz w:val="23"/>
          <w:szCs w:val="23"/>
          <w:lang w:val="es-PE"/>
        </w:rPr>
      </w:pPr>
      <w:r w:rsidRPr="00267010">
        <w:rPr>
          <w:b/>
          <w:sz w:val="23"/>
          <w:szCs w:val="23"/>
          <w:u w:val="single"/>
          <w:lang w:val="es-PE"/>
        </w:rPr>
        <w:t>Cuarto</w:t>
      </w:r>
      <w:r w:rsidRPr="00267010">
        <w:rPr>
          <w:b/>
          <w:sz w:val="23"/>
          <w:szCs w:val="23"/>
          <w:lang w:val="es-PE"/>
        </w:rPr>
        <w:t>:</w:t>
      </w:r>
      <w:r w:rsidRPr="00267010">
        <w:rPr>
          <w:sz w:val="23"/>
          <w:szCs w:val="23"/>
          <w:lang w:val="es-PE"/>
        </w:rPr>
        <w:t xml:space="preserve"> Que, el artículo 1361 del Código Civil dispone que los contratos son obligatorios en cuanto se haya expresado en ellos, presumiéndose que lo declarado es lo querido por ambas partes, de manera que la parte que sostenga lo contrario debe probarlo.  </w:t>
      </w:r>
    </w:p>
    <w:p w14:paraId="072E31D6" w14:textId="77777777" w:rsidR="00267010" w:rsidRPr="00267010" w:rsidRDefault="00267010" w:rsidP="00267010">
      <w:pPr>
        <w:jc w:val="both"/>
        <w:rPr>
          <w:rStyle w:val="Textoennegrita"/>
          <w:b w:val="0"/>
          <w:sz w:val="23"/>
          <w:szCs w:val="23"/>
        </w:rPr>
      </w:pPr>
    </w:p>
    <w:p w14:paraId="123A8376" w14:textId="77777777" w:rsidR="00267010" w:rsidRPr="00267010" w:rsidRDefault="00267010" w:rsidP="00267010">
      <w:pPr>
        <w:jc w:val="both"/>
        <w:rPr>
          <w:sz w:val="23"/>
          <w:szCs w:val="23"/>
        </w:rPr>
      </w:pPr>
      <w:r w:rsidRPr="00267010">
        <w:rPr>
          <w:rStyle w:val="Textoennegrita"/>
          <w:sz w:val="23"/>
          <w:szCs w:val="23"/>
          <w:u w:val="single"/>
          <w:lang w:val="es-PE"/>
        </w:rPr>
        <w:t>Quinto</w:t>
      </w:r>
      <w:r w:rsidRPr="00267010">
        <w:rPr>
          <w:rStyle w:val="Textoennegrita"/>
          <w:sz w:val="23"/>
          <w:szCs w:val="23"/>
          <w:lang w:val="es-PE"/>
        </w:rPr>
        <w:t xml:space="preserve">: </w:t>
      </w:r>
      <w:r w:rsidRPr="00267010">
        <w:rPr>
          <w:rStyle w:val="Textoennegrita"/>
          <w:b w:val="0"/>
          <w:sz w:val="23"/>
          <w:szCs w:val="23"/>
          <w:lang w:val="es-PE"/>
        </w:rPr>
        <w:t xml:space="preserve">Que, conforme al </w:t>
      </w:r>
      <w:r w:rsidRPr="00267010">
        <w:rPr>
          <w:sz w:val="23"/>
          <w:szCs w:val="23"/>
          <w:lang w:val="es-PE"/>
        </w:rPr>
        <w:t>artículo 196 del Código Procesal Civil, corresponde a quien invoca hechos probar su existencia, así como a quien los contradice invocando nuevos hechos, salvo que aquel que esté sujeto a dicha carga procesal se acoja a alguna presunción legal de carácter relativo o absoluto.</w:t>
      </w:r>
    </w:p>
    <w:p w14:paraId="69D1F97E" w14:textId="77777777" w:rsidR="00267010" w:rsidRPr="00267010" w:rsidRDefault="00267010" w:rsidP="00267010">
      <w:pPr>
        <w:tabs>
          <w:tab w:val="left" w:pos="2160"/>
        </w:tabs>
        <w:jc w:val="both"/>
        <w:rPr>
          <w:sz w:val="23"/>
          <w:szCs w:val="23"/>
        </w:rPr>
      </w:pPr>
    </w:p>
    <w:p w14:paraId="375D3662" w14:textId="77777777" w:rsidR="00267010" w:rsidRPr="00267010" w:rsidRDefault="00267010" w:rsidP="00267010">
      <w:pPr>
        <w:tabs>
          <w:tab w:val="left" w:pos="2160"/>
        </w:tabs>
        <w:jc w:val="both"/>
        <w:rPr>
          <w:sz w:val="23"/>
          <w:szCs w:val="23"/>
          <w:lang w:val="es-PE"/>
        </w:rPr>
      </w:pPr>
      <w:r w:rsidRPr="00267010">
        <w:rPr>
          <w:b/>
          <w:sz w:val="23"/>
          <w:szCs w:val="23"/>
          <w:u w:val="single"/>
        </w:rPr>
        <w:t>Sexto</w:t>
      </w:r>
      <w:r w:rsidRPr="00267010">
        <w:rPr>
          <w:b/>
          <w:sz w:val="23"/>
          <w:szCs w:val="23"/>
        </w:rPr>
        <w:t>:</w:t>
      </w:r>
      <w:r w:rsidRPr="00267010">
        <w:rPr>
          <w:sz w:val="23"/>
          <w:szCs w:val="23"/>
        </w:rPr>
        <w:t xml:space="preserve"> S</w:t>
      </w:r>
      <w:proofErr w:type="spellStart"/>
      <w:r w:rsidRPr="00267010">
        <w:rPr>
          <w:sz w:val="23"/>
          <w:szCs w:val="23"/>
          <w:lang w:val="es-PE"/>
        </w:rPr>
        <w:t>obre</w:t>
      </w:r>
      <w:proofErr w:type="spellEnd"/>
      <w:r w:rsidRPr="00267010">
        <w:rPr>
          <w:sz w:val="23"/>
          <w:szCs w:val="23"/>
          <w:lang w:val="es-PE"/>
        </w:rPr>
        <w:t xml:space="preserve"> la base de los términos contenidos en la reclamación y en la absolución de </w:t>
      </w:r>
      <w:proofErr w:type="gramStart"/>
      <w:r w:rsidRPr="00267010">
        <w:rPr>
          <w:sz w:val="23"/>
          <w:szCs w:val="23"/>
          <w:lang w:val="es-PE"/>
        </w:rPr>
        <w:t>la misma</w:t>
      </w:r>
      <w:proofErr w:type="gramEnd"/>
      <w:r w:rsidRPr="00267010">
        <w:rPr>
          <w:sz w:val="23"/>
          <w:szCs w:val="23"/>
          <w:lang w:val="es-PE"/>
        </w:rPr>
        <w:t xml:space="preserve">, y a lo tratado en la audiencia de vista, la cuestión controvertida radica en determinar si el rechazo de cobertura por enfermedad preexistente resulta o no legítimo. </w:t>
      </w:r>
    </w:p>
    <w:p w14:paraId="0DFC1EC1" w14:textId="77777777" w:rsidR="00267010" w:rsidRPr="00267010" w:rsidRDefault="00267010" w:rsidP="00267010">
      <w:pPr>
        <w:tabs>
          <w:tab w:val="left" w:pos="2160"/>
        </w:tabs>
        <w:jc w:val="both"/>
        <w:rPr>
          <w:sz w:val="23"/>
          <w:szCs w:val="23"/>
          <w:lang w:val="es-PE"/>
        </w:rPr>
      </w:pPr>
    </w:p>
    <w:p w14:paraId="2454F648" w14:textId="77777777" w:rsidR="00267010" w:rsidRPr="00267010" w:rsidRDefault="00267010" w:rsidP="00267010">
      <w:pPr>
        <w:jc w:val="both"/>
        <w:rPr>
          <w:sz w:val="23"/>
          <w:szCs w:val="23"/>
          <w:lang w:val="es-PE"/>
        </w:rPr>
      </w:pPr>
      <w:r w:rsidRPr="00267010">
        <w:rPr>
          <w:b/>
          <w:sz w:val="23"/>
          <w:szCs w:val="23"/>
          <w:u w:val="single"/>
          <w:lang w:val="es-PE"/>
        </w:rPr>
        <w:t>Sétimo:</w:t>
      </w:r>
      <w:r w:rsidRPr="00267010">
        <w:rPr>
          <w:sz w:val="23"/>
          <w:szCs w:val="23"/>
          <w:lang w:val="es-PE"/>
        </w:rPr>
        <w:t xml:space="preserve">  Conforme se aprecia de los documentos que obran en el expediente, el seguro relativo a la reclamación correspondería a una póliza grupal o colectiva, que permite diferenciar entre la parte contratante no asegurada y el asegurado no contratante, de manera que, para efectos que </w:t>
      </w:r>
      <w:r w:rsidRPr="00267010">
        <w:rPr>
          <w:sz w:val="23"/>
          <w:szCs w:val="23"/>
          <w:lang w:val="es-PE"/>
        </w:rPr>
        <w:lastRenderedPageBreak/>
        <w:t>sean exigibles las estipulaciones pertinentes de dicho contrato de seguro al cual se afilió el asegurado no contratante, es absolutamente indispensable que haya sido informado de ellas, información que debe ser oportuna, suficiente y adecuada.</w:t>
      </w:r>
    </w:p>
    <w:p w14:paraId="6A78F149" w14:textId="77777777" w:rsidR="00267010" w:rsidRPr="00267010" w:rsidRDefault="00267010" w:rsidP="00267010">
      <w:pPr>
        <w:jc w:val="both"/>
        <w:rPr>
          <w:sz w:val="23"/>
          <w:szCs w:val="23"/>
          <w:lang w:val="es-PE"/>
        </w:rPr>
      </w:pPr>
    </w:p>
    <w:p w14:paraId="3CCD6226" w14:textId="77777777" w:rsidR="00267010" w:rsidRPr="00267010" w:rsidRDefault="00267010" w:rsidP="00267010">
      <w:pPr>
        <w:jc w:val="both"/>
        <w:rPr>
          <w:i/>
          <w:iCs/>
          <w:sz w:val="23"/>
          <w:szCs w:val="23"/>
          <w:lang w:val="es-PE"/>
        </w:rPr>
      </w:pPr>
      <w:r w:rsidRPr="00267010">
        <w:rPr>
          <w:sz w:val="23"/>
          <w:szCs w:val="23"/>
          <w:lang w:val="es-PE"/>
        </w:rPr>
        <w:t xml:space="preserve">De no ser así, las respectivas condiciones contractuales, como, por ejemplo, el régimen de exclusiones, o las cargas a cumplirse en caso de ocurrencia de un siniestro, no serán oponibles al asegurado, conforme a lo sancionado en el artículo 137 de la Ley Nro. 29946 – Ley del Contrato de Seguro, el cual es absolutamente concluyente sobre el particular: </w:t>
      </w:r>
      <w:r w:rsidRPr="00267010">
        <w:rPr>
          <w:i/>
          <w:iCs/>
          <w:sz w:val="23"/>
          <w:szCs w:val="23"/>
          <w:lang w:val="es-PE"/>
        </w:rPr>
        <w:t>“No son oponibles al asegurado los contenidos contractuales que no le hayan sido informados en el certificado mencionado en el artículo anterior, cuyo contenido mínimo se sujeta a las disposiciones de la Superintendencia”.</w:t>
      </w:r>
    </w:p>
    <w:p w14:paraId="2E3B2379" w14:textId="77777777" w:rsidR="00267010" w:rsidRPr="00267010" w:rsidRDefault="00267010" w:rsidP="00267010">
      <w:pPr>
        <w:jc w:val="both"/>
        <w:rPr>
          <w:i/>
          <w:iCs/>
          <w:sz w:val="23"/>
          <w:szCs w:val="23"/>
          <w:lang w:val="es-PE"/>
        </w:rPr>
      </w:pPr>
    </w:p>
    <w:p w14:paraId="2DCCA05D" w14:textId="77777777" w:rsidR="00267010" w:rsidRPr="00267010" w:rsidRDefault="00267010" w:rsidP="00267010">
      <w:pPr>
        <w:jc w:val="both"/>
        <w:rPr>
          <w:bCs/>
          <w:sz w:val="23"/>
          <w:szCs w:val="23"/>
        </w:rPr>
      </w:pPr>
      <w:r w:rsidRPr="00267010">
        <w:rPr>
          <w:sz w:val="23"/>
          <w:szCs w:val="23"/>
          <w:lang w:val="es-PE"/>
        </w:rPr>
        <w:t xml:space="preserve">Con relación a dichas pólizas grupales </w:t>
      </w:r>
      <w:r w:rsidRPr="00267010">
        <w:rPr>
          <w:bCs/>
          <w:sz w:val="23"/>
          <w:szCs w:val="23"/>
        </w:rPr>
        <w:t>la DEFASEG ha establecido un criterio consistente y uniforme respecto a los rechazos por exclusión de cobertura, estableciendo que se deben examinar al menos tres cuestiones: (i) ¿el contrato de seguro contiene la exclusión invocada?, (</w:t>
      </w:r>
      <w:proofErr w:type="spellStart"/>
      <w:r w:rsidRPr="00267010">
        <w:rPr>
          <w:bCs/>
          <w:sz w:val="23"/>
          <w:szCs w:val="23"/>
        </w:rPr>
        <w:t>ii</w:t>
      </w:r>
      <w:proofErr w:type="spellEnd"/>
      <w:r w:rsidRPr="00267010">
        <w:rPr>
          <w:bCs/>
          <w:sz w:val="23"/>
          <w:szCs w:val="23"/>
        </w:rPr>
        <w:t>) de ser afirmativa la respuesta anterior, ¿la misma es oponible, esto es, surte efectos frente al asegurado?, por último, de ser también afirmativa la respuesta anterior, (</w:t>
      </w:r>
      <w:proofErr w:type="spellStart"/>
      <w:r w:rsidRPr="00267010">
        <w:rPr>
          <w:bCs/>
          <w:sz w:val="23"/>
          <w:szCs w:val="23"/>
        </w:rPr>
        <w:t>iii</w:t>
      </w:r>
      <w:proofErr w:type="spellEnd"/>
      <w:r w:rsidRPr="00267010">
        <w:rPr>
          <w:bCs/>
          <w:sz w:val="23"/>
          <w:szCs w:val="23"/>
        </w:rPr>
        <w:t>) ¿se incurrió efectivamente en el supuesto de hecho que corresponde a la exclusión?</w:t>
      </w:r>
    </w:p>
    <w:p w14:paraId="1E30ED99" w14:textId="77777777" w:rsidR="00267010" w:rsidRPr="00267010" w:rsidRDefault="00267010" w:rsidP="00267010">
      <w:pPr>
        <w:jc w:val="both"/>
        <w:rPr>
          <w:bCs/>
          <w:sz w:val="23"/>
          <w:szCs w:val="23"/>
        </w:rPr>
      </w:pPr>
    </w:p>
    <w:p w14:paraId="5617C9F1" w14:textId="77777777" w:rsidR="00267010" w:rsidRPr="00267010" w:rsidRDefault="00267010" w:rsidP="00267010">
      <w:pPr>
        <w:jc w:val="both"/>
        <w:rPr>
          <w:b/>
          <w:bCs/>
          <w:i/>
          <w:iCs/>
          <w:sz w:val="23"/>
          <w:szCs w:val="23"/>
          <w:lang w:val="es-PE"/>
        </w:rPr>
      </w:pPr>
      <w:r w:rsidRPr="00267010">
        <w:rPr>
          <w:b/>
          <w:bCs/>
          <w:i/>
          <w:iCs/>
          <w:sz w:val="23"/>
          <w:szCs w:val="23"/>
          <w:lang w:val="es-PE"/>
        </w:rPr>
        <w:t xml:space="preserve">7.1. Oponibilidad de la exclusión  </w:t>
      </w:r>
    </w:p>
    <w:p w14:paraId="69AB07B4" w14:textId="77777777" w:rsidR="00267010" w:rsidRPr="00267010" w:rsidRDefault="00267010" w:rsidP="00267010">
      <w:pPr>
        <w:jc w:val="both"/>
        <w:rPr>
          <w:sz w:val="23"/>
          <w:szCs w:val="23"/>
          <w:lang w:val="es-PE"/>
        </w:rPr>
      </w:pPr>
      <w:r w:rsidRPr="00267010">
        <w:rPr>
          <w:sz w:val="23"/>
          <w:szCs w:val="23"/>
          <w:lang w:val="es-PE"/>
        </w:rPr>
        <w:t>Al respecto, la aseguradora ha presentado la póliza de seguro en la cual se pudo constatar que figura la exclusión de preexistencia. No obstante, no se verifica que ella conste en el certificado de seguros que le fue entregado al asegurado.</w:t>
      </w:r>
    </w:p>
    <w:p w14:paraId="61536678" w14:textId="77777777" w:rsidR="00267010" w:rsidRPr="00267010" w:rsidRDefault="00267010" w:rsidP="00267010">
      <w:pPr>
        <w:jc w:val="both"/>
        <w:rPr>
          <w:sz w:val="23"/>
          <w:szCs w:val="23"/>
          <w:lang w:val="es-PE"/>
        </w:rPr>
      </w:pPr>
      <w:r w:rsidRPr="00267010">
        <w:rPr>
          <w:sz w:val="23"/>
          <w:szCs w:val="23"/>
          <w:lang w:val="es-PE"/>
        </w:rPr>
        <w:t xml:space="preserve">En efecto, la aseguradora ha presentado un certificado de seguro en sus dos primeras páginas, siendo que en la página 2 figura la firma del asegurado, pero en ninguna de dichas páginas se aprecia que figure la exclusión, la cual necesariamente debe ser informada a asegurado para que sea oponible, conforme a lo indicado en los párrafos precedentes. Por lo </w:t>
      </w:r>
      <w:proofErr w:type="gramStart"/>
      <w:r w:rsidRPr="00267010">
        <w:rPr>
          <w:sz w:val="23"/>
          <w:szCs w:val="23"/>
          <w:lang w:val="es-PE"/>
        </w:rPr>
        <w:t>que</w:t>
      </w:r>
      <w:proofErr w:type="gramEnd"/>
      <w:r w:rsidRPr="00267010">
        <w:rPr>
          <w:sz w:val="23"/>
          <w:szCs w:val="23"/>
          <w:lang w:val="es-PE"/>
        </w:rPr>
        <w:t xml:space="preserve"> al no estar acreditado dicho hecho, la exclusión no resultaría oponible al asegurado.</w:t>
      </w:r>
    </w:p>
    <w:p w14:paraId="578F00E1" w14:textId="77777777" w:rsidR="00267010" w:rsidRPr="00267010" w:rsidRDefault="00267010" w:rsidP="00267010">
      <w:pPr>
        <w:jc w:val="both"/>
        <w:rPr>
          <w:sz w:val="23"/>
          <w:szCs w:val="23"/>
          <w:lang w:val="es-PE"/>
        </w:rPr>
      </w:pPr>
      <w:r w:rsidRPr="00267010">
        <w:rPr>
          <w:sz w:val="23"/>
          <w:szCs w:val="23"/>
          <w:lang w:val="es-PE"/>
        </w:rPr>
        <w:t xml:space="preserve"> </w:t>
      </w:r>
    </w:p>
    <w:p w14:paraId="2421982C" w14:textId="77777777" w:rsidR="00267010" w:rsidRPr="00267010" w:rsidRDefault="00267010" w:rsidP="00267010">
      <w:pPr>
        <w:jc w:val="both"/>
        <w:rPr>
          <w:sz w:val="23"/>
          <w:szCs w:val="23"/>
          <w:lang w:val="es-PE"/>
        </w:rPr>
      </w:pPr>
      <w:r w:rsidRPr="00267010">
        <w:rPr>
          <w:sz w:val="23"/>
          <w:szCs w:val="23"/>
          <w:lang w:val="es-PE"/>
        </w:rPr>
        <w:t xml:space="preserve">Sin perjuicio de lo expuesto, como vía impugnación la aseguradora puede presentar algún documento donde conste que dicha exclusión sí fue puesta en conocimiento del asegurado en forma previa a la ocurrencia del siniestro; a continuación, analizaremos si la hemorragia digestiva alta fue preexistente a la contratación del seguro y constituye la causa del siniestro. </w:t>
      </w:r>
    </w:p>
    <w:p w14:paraId="37D7A10F" w14:textId="77777777" w:rsidR="00267010" w:rsidRPr="00267010" w:rsidRDefault="00267010" w:rsidP="00267010">
      <w:pPr>
        <w:jc w:val="both"/>
        <w:rPr>
          <w:b/>
          <w:bCs/>
          <w:i/>
          <w:iCs/>
          <w:sz w:val="23"/>
          <w:szCs w:val="23"/>
          <w:lang w:val="es-PE"/>
        </w:rPr>
      </w:pPr>
    </w:p>
    <w:p w14:paraId="664A8474" w14:textId="77777777" w:rsidR="00267010" w:rsidRPr="00267010" w:rsidRDefault="00267010" w:rsidP="00267010">
      <w:pPr>
        <w:jc w:val="both"/>
        <w:rPr>
          <w:b/>
          <w:bCs/>
          <w:i/>
          <w:iCs/>
          <w:sz w:val="23"/>
          <w:szCs w:val="23"/>
          <w:lang w:val="es-PE"/>
        </w:rPr>
      </w:pPr>
      <w:r w:rsidRPr="00267010">
        <w:rPr>
          <w:b/>
          <w:bCs/>
          <w:i/>
          <w:iCs/>
          <w:sz w:val="23"/>
          <w:szCs w:val="23"/>
          <w:lang w:val="es-PE"/>
        </w:rPr>
        <w:t xml:space="preserve">7.2. La hemorragia hipertensión arterial y otras dolencias como causa del fallecimiento </w:t>
      </w:r>
    </w:p>
    <w:p w14:paraId="53C84555" w14:textId="77777777" w:rsidR="00267010" w:rsidRPr="00267010" w:rsidRDefault="00267010" w:rsidP="00267010">
      <w:pPr>
        <w:jc w:val="both"/>
        <w:rPr>
          <w:sz w:val="23"/>
          <w:szCs w:val="23"/>
          <w:lang w:val="es-PE"/>
        </w:rPr>
      </w:pPr>
      <w:r w:rsidRPr="00267010">
        <w:rPr>
          <w:sz w:val="23"/>
          <w:szCs w:val="23"/>
          <w:lang w:val="es-PE"/>
        </w:rPr>
        <w:t xml:space="preserve">El certificado de defunción indica como causa básica del fallecimiento “hemorragia digestiva alta”, conforme </w:t>
      </w:r>
      <w:proofErr w:type="gramStart"/>
      <w:r w:rsidRPr="00267010">
        <w:rPr>
          <w:sz w:val="23"/>
          <w:szCs w:val="23"/>
          <w:lang w:val="es-PE"/>
        </w:rPr>
        <w:t>se  indica</w:t>
      </w:r>
      <w:proofErr w:type="gramEnd"/>
      <w:r w:rsidRPr="00267010">
        <w:rPr>
          <w:sz w:val="23"/>
          <w:szCs w:val="23"/>
          <w:lang w:val="es-PE"/>
        </w:rPr>
        <w:t xml:space="preserve"> a continuación. </w:t>
      </w:r>
    </w:p>
    <w:p w14:paraId="4518BCFF" w14:textId="77777777" w:rsidR="00267010" w:rsidRPr="00267010" w:rsidRDefault="00267010" w:rsidP="00267010">
      <w:pPr>
        <w:jc w:val="both"/>
        <w:rPr>
          <w:sz w:val="23"/>
          <w:szCs w:val="23"/>
          <w:lang w:val="es-PE"/>
        </w:rPr>
      </w:pPr>
      <w:r w:rsidRPr="00267010">
        <w:rPr>
          <w:i/>
          <w:iCs/>
          <w:noProof/>
          <w:sz w:val="23"/>
          <w:szCs w:val="23"/>
        </w:rPr>
        <w:drawing>
          <wp:inline distT="0" distB="0" distL="0" distR="0" wp14:anchorId="483BCBAE" wp14:editId="39019FC3">
            <wp:extent cx="5580380" cy="906701"/>
            <wp:effectExtent l="0" t="0" r="127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0380" cy="906701"/>
                    </a:xfrm>
                    <a:prstGeom prst="rect">
                      <a:avLst/>
                    </a:prstGeom>
                    <a:noFill/>
                    <a:ln>
                      <a:noFill/>
                    </a:ln>
                  </pic:spPr>
                </pic:pic>
              </a:graphicData>
            </a:graphic>
          </wp:inline>
        </w:drawing>
      </w:r>
    </w:p>
    <w:p w14:paraId="61176AC9" w14:textId="77777777" w:rsidR="00267010" w:rsidRPr="00267010" w:rsidRDefault="00267010" w:rsidP="00267010">
      <w:pPr>
        <w:pStyle w:val="paragraph"/>
        <w:spacing w:before="0" w:beforeAutospacing="0" w:after="0" w:afterAutospacing="0"/>
        <w:jc w:val="both"/>
        <w:textAlignment w:val="baseline"/>
        <w:rPr>
          <w:sz w:val="23"/>
          <w:szCs w:val="23"/>
        </w:rPr>
      </w:pPr>
    </w:p>
    <w:p w14:paraId="5A688D4A" w14:textId="77777777" w:rsidR="00267010" w:rsidRPr="00267010" w:rsidRDefault="00267010" w:rsidP="00267010">
      <w:pPr>
        <w:jc w:val="both"/>
        <w:rPr>
          <w:sz w:val="23"/>
          <w:szCs w:val="23"/>
        </w:rPr>
      </w:pPr>
    </w:p>
    <w:p w14:paraId="78013BC7" w14:textId="77777777" w:rsidR="00267010" w:rsidRPr="00267010" w:rsidRDefault="00267010" w:rsidP="00267010">
      <w:pPr>
        <w:jc w:val="both"/>
        <w:rPr>
          <w:sz w:val="23"/>
          <w:szCs w:val="23"/>
          <w:lang w:val="es-PE"/>
        </w:rPr>
      </w:pPr>
      <w:r w:rsidRPr="00267010">
        <w:rPr>
          <w:sz w:val="23"/>
          <w:szCs w:val="23"/>
          <w:lang w:val="es-PE"/>
        </w:rPr>
        <w:t xml:space="preserve">Por su parte, en el numeral 7 del mismo certificado de defunción, donde se da </w:t>
      </w:r>
      <w:proofErr w:type="gramStart"/>
      <w:r w:rsidRPr="00267010">
        <w:rPr>
          <w:sz w:val="23"/>
          <w:szCs w:val="23"/>
          <w:lang w:val="es-PE"/>
        </w:rPr>
        <w:t>mayor información</w:t>
      </w:r>
      <w:proofErr w:type="gramEnd"/>
      <w:r w:rsidRPr="00267010">
        <w:rPr>
          <w:sz w:val="23"/>
          <w:szCs w:val="23"/>
          <w:lang w:val="es-PE"/>
        </w:rPr>
        <w:t xml:space="preserve"> de la causa de la defunción se indica lo siguiente:</w:t>
      </w:r>
    </w:p>
    <w:p w14:paraId="625F30B6" w14:textId="77777777" w:rsidR="00267010" w:rsidRPr="00267010" w:rsidRDefault="00267010" w:rsidP="00267010">
      <w:pPr>
        <w:jc w:val="both"/>
        <w:rPr>
          <w:sz w:val="23"/>
          <w:szCs w:val="23"/>
        </w:rPr>
      </w:pPr>
      <w:r w:rsidRPr="00267010">
        <w:rPr>
          <w:noProof/>
          <w:sz w:val="23"/>
          <w:szCs w:val="23"/>
        </w:rPr>
        <w:lastRenderedPageBreak/>
        <w:drawing>
          <wp:inline distT="0" distB="0" distL="0" distR="0" wp14:anchorId="0E5AD59B" wp14:editId="4DC16603">
            <wp:extent cx="5580380" cy="158813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1588135"/>
                    </a:xfrm>
                    <a:prstGeom prst="rect">
                      <a:avLst/>
                    </a:prstGeom>
                    <a:noFill/>
                    <a:ln>
                      <a:noFill/>
                    </a:ln>
                  </pic:spPr>
                </pic:pic>
              </a:graphicData>
            </a:graphic>
          </wp:inline>
        </w:drawing>
      </w:r>
    </w:p>
    <w:p w14:paraId="78DC93D9" w14:textId="77777777" w:rsidR="00267010" w:rsidRPr="00267010" w:rsidRDefault="00267010" w:rsidP="00267010">
      <w:pPr>
        <w:jc w:val="both"/>
        <w:rPr>
          <w:sz w:val="23"/>
          <w:szCs w:val="23"/>
          <w:lang w:val="es-PE"/>
        </w:rPr>
      </w:pPr>
      <w:r w:rsidRPr="00267010">
        <w:rPr>
          <w:sz w:val="23"/>
          <w:szCs w:val="23"/>
          <w:lang w:val="es-PE"/>
        </w:rPr>
        <w:t>Del certificado de defunción se desprende que la hemorragia digestiva alta fue la causa del fallecimiento, siendo necesario determinar si a su vez la misma resultaba preexistente a la contratación del seguro.</w:t>
      </w:r>
    </w:p>
    <w:p w14:paraId="4120F4F3" w14:textId="77777777" w:rsidR="00267010" w:rsidRPr="00267010" w:rsidRDefault="00267010" w:rsidP="00267010">
      <w:pPr>
        <w:jc w:val="both"/>
        <w:rPr>
          <w:sz w:val="23"/>
          <w:szCs w:val="23"/>
          <w:lang w:val="es-PE"/>
        </w:rPr>
      </w:pPr>
    </w:p>
    <w:p w14:paraId="2861F7B4" w14:textId="77777777" w:rsidR="00267010" w:rsidRPr="00267010" w:rsidRDefault="00267010" w:rsidP="00267010">
      <w:pPr>
        <w:jc w:val="both"/>
        <w:rPr>
          <w:b/>
          <w:bCs/>
          <w:i/>
          <w:iCs/>
          <w:sz w:val="23"/>
          <w:szCs w:val="23"/>
          <w:lang w:val="es-PE"/>
        </w:rPr>
      </w:pPr>
      <w:r w:rsidRPr="00267010">
        <w:rPr>
          <w:b/>
          <w:bCs/>
          <w:i/>
          <w:iCs/>
          <w:sz w:val="23"/>
          <w:szCs w:val="23"/>
          <w:lang w:val="es-PE"/>
        </w:rPr>
        <w:t xml:space="preserve">7.3. Preexistencia de la hemorragia digestiva alta </w:t>
      </w:r>
    </w:p>
    <w:p w14:paraId="51687DAB" w14:textId="77777777" w:rsidR="00267010" w:rsidRPr="00267010" w:rsidRDefault="00267010" w:rsidP="00267010">
      <w:pPr>
        <w:jc w:val="both"/>
        <w:rPr>
          <w:sz w:val="23"/>
          <w:szCs w:val="23"/>
          <w:lang w:val="es-PE"/>
        </w:rPr>
      </w:pPr>
      <w:r w:rsidRPr="00267010">
        <w:rPr>
          <w:sz w:val="23"/>
          <w:szCs w:val="23"/>
          <w:lang w:val="es-PE"/>
        </w:rPr>
        <w:t>Obra en el expediente parte pertinente de la historia clínica completada en setiembre de 2020, esto es en fecha posterior a la contratación del seguro (contratación realizada el 13 de agosto de 2019), donde se aprecia que los antecedentes son referidos por un familiar, pero no es claro que los 5 años correspondan a la hemorragia digestiva alta. Mas aún en el relato no se hace referencia a esa HDA, sí a la cirrosis hepática con esa antigüedad, conforme se aprecia de la imagen siguiente:</w:t>
      </w:r>
    </w:p>
    <w:p w14:paraId="30A9FBB0" w14:textId="77777777" w:rsidR="00267010" w:rsidRPr="00267010" w:rsidRDefault="00267010" w:rsidP="00267010">
      <w:pPr>
        <w:jc w:val="both"/>
        <w:rPr>
          <w:sz w:val="23"/>
          <w:szCs w:val="23"/>
          <w:lang w:val="es-PE"/>
        </w:rPr>
      </w:pPr>
      <w:r w:rsidRPr="00267010">
        <w:rPr>
          <w:noProof/>
          <w:sz w:val="23"/>
          <w:szCs w:val="23"/>
        </w:rPr>
        <w:drawing>
          <wp:inline distT="0" distB="0" distL="0" distR="0" wp14:anchorId="0F735E9B" wp14:editId="580107CB">
            <wp:extent cx="5580380" cy="2457450"/>
            <wp:effectExtent l="0" t="0" r="1270" b="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pic:nvPicPr>
                  <pic:blipFill rotWithShape="1">
                    <a:blip r:embed="rId10"/>
                    <a:srcRect b="46055"/>
                    <a:stretch/>
                  </pic:blipFill>
                  <pic:spPr bwMode="auto">
                    <a:xfrm>
                      <a:off x="0" y="0"/>
                      <a:ext cx="5580380" cy="2457450"/>
                    </a:xfrm>
                    <a:prstGeom prst="rect">
                      <a:avLst/>
                    </a:prstGeom>
                    <a:ln>
                      <a:noFill/>
                    </a:ln>
                    <a:extLst>
                      <a:ext uri="{53640926-AAD7-44D8-BBD7-CCE9431645EC}">
                        <a14:shadowObscured xmlns:a14="http://schemas.microsoft.com/office/drawing/2010/main"/>
                      </a:ext>
                    </a:extLst>
                  </pic:spPr>
                </pic:pic>
              </a:graphicData>
            </a:graphic>
          </wp:inline>
        </w:drawing>
      </w:r>
    </w:p>
    <w:p w14:paraId="04295E5E" w14:textId="77777777" w:rsidR="00267010" w:rsidRPr="00267010" w:rsidRDefault="00267010" w:rsidP="00267010">
      <w:pPr>
        <w:jc w:val="both"/>
        <w:rPr>
          <w:sz w:val="23"/>
          <w:szCs w:val="23"/>
          <w:lang w:val="es-PE"/>
        </w:rPr>
      </w:pPr>
      <w:r w:rsidRPr="00267010">
        <w:rPr>
          <w:noProof/>
          <w:sz w:val="23"/>
          <w:szCs w:val="23"/>
        </w:rPr>
        <w:drawing>
          <wp:inline distT="0" distB="0" distL="0" distR="0" wp14:anchorId="3A94EC62" wp14:editId="7E3D4C2E">
            <wp:extent cx="5580238" cy="2088515"/>
            <wp:effectExtent l="0" t="0" r="1905" b="6985"/>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10"/>
                    <a:srcRect t="54154"/>
                    <a:stretch/>
                  </pic:blipFill>
                  <pic:spPr bwMode="auto">
                    <a:xfrm>
                      <a:off x="0" y="0"/>
                      <a:ext cx="5580380" cy="2088568"/>
                    </a:xfrm>
                    <a:prstGeom prst="rect">
                      <a:avLst/>
                    </a:prstGeom>
                    <a:ln>
                      <a:noFill/>
                    </a:ln>
                    <a:extLst>
                      <a:ext uri="{53640926-AAD7-44D8-BBD7-CCE9431645EC}">
                        <a14:shadowObscured xmlns:a14="http://schemas.microsoft.com/office/drawing/2010/main"/>
                      </a:ext>
                    </a:extLst>
                  </pic:spPr>
                </pic:pic>
              </a:graphicData>
            </a:graphic>
          </wp:inline>
        </w:drawing>
      </w:r>
    </w:p>
    <w:p w14:paraId="4215DDF1" w14:textId="77777777" w:rsidR="00267010" w:rsidRPr="00267010" w:rsidRDefault="00267010" w:rsidP="00267010">
      <w:pPr>
        <w:ind w:left="567"/>
        <w:jc w:val="both"/>
        <w:rPr>
          <w:sz w:val="23"/>
          <w:szCs w:val="23"/>
          <w:lang w:val="es-PE"/>
        </w:rPr>
      </w:pPr>
      <w:r w:rsidRPr="00267010">
        <w:rPr>
          <w:i/>
          <w:iCs/>
          <w:noProof/>
          <w:sz w:val="23"/>
          <w:szCs w:val="23"/>
        </w:rPr>
        <w:lastRenderedPageBreak/>
        <w:drawing>
          <wp:inline distT="0" distB="0" distL="0" distR="0" wp14:anchorId="10A08616" wp14:editId="7944B9C1">
            <wp:extent cx="5210175" cy="609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609600"/>
                    </a:xfrm>
                    <a:prstGeom prst="rect">
                      <a:avLst/>
                    </a:prstGeom>
                    <a:noFill/>
                    <a:ln>
                      <a:noFill/>
                    </a:ln>
                  </pic:spPr>
                </pic:pic>
              </a:graphicData>
            </a:graphic>
          </wp:inline>
        </w:drawing>
      </w:r>
    </w:p>
    <w:p w14:paraId="5BF03D51" w14:textId="67D02B42" w:rsidR="00267010" w:rsidRPr="00267010" w:rsidRDefault="00267010" w:rsidP="00267010">
      <w:pPr>
        <w:jc w:val="both"/>
        <w:rPr>
          <w:sz w:val="23"/>
          <w:szCs w:val="23"/>
          <w:lang w:val="es-PE"/>
        </w:rPr>
      </w:pPr>
      <w:proofErr w:type="gramStart"/>
      <w:r w:rsidRPr="00267010">
        <w:rPr>
          <w:sz w:val="23"/>
          <w:szCs w:val="23"/>
          <w:lang w:val="es-PE"/>
        </w:rPr>
        <w:t>En virtud a</w:t>
      </w:r>
      <w:proofErr w:type="gramEnd"/>
      <w:r w:rsidRPr="00267010">
        <w:rPr>
          <w:sz w:val="23"/>
          <w:szCs w:val="23"/>
          <w:lang w:val="es-PE"/>
        </w:rPr>
        <w:t xml:space="preserve"> ello se solicitó en la audiencia de vista acreditar la preexistencia de la HDA con parte pertinente de la historia clínica de fecha anterior a la contratación del seguro, </w:t>
      </w:r>
      <w:proofErr w:type="spellStart"/>
      <w:r w:rsidRPr="00267010">
        <w:rPr>
          <w:sz w:val="23"/>
          <w:szCs w:val="23"/>
          <w:lang w:val="es-PE"/>
        </w:rPr>
        <w:t>mas</w:t>
      </w:r>
      <w:proofErr w:type="spellEnd"/>
      <w:r w:rsidRPr="00267010">
        <w:rPr>
          <w:sz w:val="23"/>
          <w:szCs w:val="23"/>
          <w:lang w:val="es-PE"/>
        </w:rPr>
        <w:t xml:space="preserve"> </w:t>
      </w:r>
      <w:proofErr w:type="spellStart"/>
      <w:r w:rsidRPr="00267010">
        <w:rPr>
          <w:sz w:val="23"/>
          <w:szCs w:val="23"/>
          <w:lang w:val="es-PE"/>
        </w:rPr>
        <w:t>aún</w:t>
      </w:r>
      <w:proofErr w:type="spellEnd"/>
      <w:r w:rsidRPr="00267010">
        <w:rPr>
          <w:sz w:val="23"/>
          <w:szCs w:val="23"/>
          <w:lang w:val="es-PE"/>
        </w:rPr>
        <w:t xml:space="preserve"> cuando en el propio certificado de defunción se indica como intervalo entre la hemorragia digestiva alta y el fallecimiento “5 horas” y no “5 años”. Lo que hasta la fecha no ha sido presentado.</w:t>
      </w:r>
    </w:p>
    <w:p w14:paraId="38187432" w14:textId="77777777" w:rsidR="00267010" w:rsidRPr="00267010" w:rsidRDefault="00267010" w:rsidP="00267010">
      <w:pPr>
        <w:jc w:val="both"/>
        <w:rPr>
          <w:sz w:val="23"/>
          <w:szCs w:val="23"/>
          <w:lang w:val="es-PE"/>
        </w:rPr>
      </w:pPr>
    </w:p>
    <w:p w14:paraId="2A6D334E" w14:textId="77777777" w:rsidR="00267010" w:rsidRPr="00267010" w:rsidRDefault="00267010" w:rsidP="00267010">
      <w:pPr>
        <w:jc w:val="both"/>
        <w:rPr>
          <w:sz w:val="23"/>
          <w:szCs w:val="23"/>
          <w:lang w:val="es-PE"/>
        </w:rPr>
      </w:pPr>
      <w:r w:rsidRPr="00267010">
        <w:rPr>
          <w:sz w:val="23"/>
          <w:szCs w:val="23"/>
          <w:lang w:val="es-PE"/>
        </w:rPr>
        <w:t>A este respecto, es necesario precisar que corresponde al asegurado acreditar la ocurrencia del siniestro, en este caso el fallecimiento está acreditado; y, corresponde a la aseguradora la carga de la prueba de la configuración de la exclusión de cobertura, en este caso, que la hemorragia digestiva alta resultaba preexistente a la contratación del seguro.</w:t>
      </w:r>
    </w:p>
    <w:p w14:paraId="088E8CCB" w14:textId="77777777" w:rsidR="00267010" w:rsidRDefault="00267010" w:rsidP="00267010">
      <w:pPr>
        <w:jc w:val="both"/>
        <w:rPr>
          <w:sz w:val="23"/>
          <w:szCs w:val="23"/>
          <w:lang w:val="es-PE"/>
        </w:rPr>
      </w:pPr>
    </w:p>
    <w:p w14:paraId="3A55F9DF" w14:textId="552F098F" w:rsidR="00267010" w:rsidRPr="00267010" w:rsidRDefault="00267010" w:rsidP="00267010">
      <w:pPr>
        <w:jc w:val="both"/>
        <w:rPr>
          <w:sz w:val="23"/>
          <w:szCs w:val="23"/>
          <w:lang w:val="es-PE"/>
        </w:rPr>
      </w:pPr>
      <w:r w:rsidRPr="00267010">
        <w:rPr>
          <w:sz w:val="23"/>
          <w:szCs w:val="23"/>
          <w:lang w:val="es-PE"/>
        </w:rPr>
        <w:t>En consecuencia, aun cuando se acreditara que la exclusión fue puesta en conocimiento del asegurado en forma previa a la contratación del seguro, y por tanto resultaba oponible, ello no sería suficiente para determinar la legalidad del rechazo, por cuanto la aseguradora no ha cumplido con acreditar que la hemorragia digestiva alta fue preexistente a la contratación del seguro, pues en esos casos debe acreditarse la preexistencia con información médica emitida en fecha anterior al siniestro, no siendo suficiente remitirse a ella basada en el relato de un familiar formulado con posterioridad a la contratación del seguro y que no es claro al respecto.</w:t>
      </w:r>
    </w:p>
    <w:p w14:paraId="34D2B7FF" w14:textId="77777777" w:rsidR="00267010" w:rsidRPr="00267010" w:rsidRDefault="00267010" w:rsidP="00267010">
      <w:pPr>
        <w:jc w:val="both"/>
        <w:rPr>
          <w:sz w:val="23"/>
          <w:szCs w:val="23"/>
          <w:lang w:val="es-PE"/>
        </w:rPr>
      </w:pPr>
    </w:p>
    <w:p w14:paraId="0F5FC53E" w14:textId="77777777" w:rsidR="00267010" w:rsidRPr="00267010" w:rsidRDefault="00267010" w:rsidP="00267010">
      <w:pPr>
        <w:jc w:val="both"/>
        <w:rPr>
          <w:b/>
          <w:sz w:val="23"/>
          <w:szCs w:val="23"/>
          <w:lang w:val="es-PE"/>
        </w:rPr>
      </w:pPr>
      <w:r w:rsidRPr="00267010">
        <w:rPr>
          <w:b/>
          <w:sz w:val="23"/>
          <w:szCs w:val="23"/>
          <w:lang w:val="es-PE"/>
        </w:rPr>
        <w:t>ATENDIENDO A LO EXPRESADO, ESTE COLEGIADO CONCLUYE SU APRECIACIÓN RAZONADA Y CONJUNTA AL AMPARO DE LO ESTABLECIDO EN EL REGLAMENTO DE LA DEFASEG, POR LO QUE:</w:t>
      </w:r>
    </w:p>
    <w:p w14:paraId="681E9E35" w14:textId="3D333B6B" w:rsidR="00267010" w:rsidRPr="00267010" w:rsidRDefault="00267010" w:rsidP="00267010">
      <w:pPr>
        <w:jc w:val="both"/>
        <w:rPr>
          <w:b/>
          <w:sz w:val="23"/>
          <w:szCs w:val="23"/>
          <w:lang w:val="es-PE"/>
        </w:rPr>
      </w:pPr>
      <w:r w:rsidRPr="00267010">
        <w:rPr>
          <w:b/>
          <w:sz w:val="23"/>
          <w:szCs w:val="23"/>
          <w:lang w:val="es-PE"/>
        </w:rPr>
        <w:t>RESUELVE:</w:t>
      </w:r>
    </w:p>
    <w:p w14:paraId="717B565A" w14:textId="77777777" w:rsidR="00267010" w:rsidRPr="00267010" w:rsidRDefault="00267010" w:rsidP="00267010">
      <w:pPr>
        <w:jc w:val="both"/>
        <w:rPr>
          <w:b/>
          <w:sz w:val="23"/>
          <w:szCs w:val="23"/>
          <w:lang w:val="es-PE"/>
        </w:rPr>
      </w:pPr>
    </w:p>
    <w:p w14:paraId="79A84A6A" w14:textId="70506E53" w:rsidR="00267010" w:rsidRPr="00267010" w:rsidRDefault="00267010" w:rsidP="00267010">
      <w:pPr>
        <w:tabs>
          <w:tab w:val="left" w:pos="0"/>
          <w:tab w:val="left" w:pos="708"/>
          <w:tab w:val="left" w:pos="1416"/>
          <w:tab w:val="left" w:pos="2160"/>
          <w:tab w:val="left" w:pos="3540"/>
          <w:tab w:val="left" w:pos="4248"/>
          <w:tab w:val="left" w:pos="4956"/>
          <w:tab w:val="left" w:pos="5664"/>
          <w:tab w:val="left" w:pos="6372"/>
          <w:tab w:val="left" w:pos="7125"/>
        </w:tabs>
        <w:jc w:val="both"/>
        <w:rPr>
          <w:sz w:val="23"/>
          <w:szCs w:val="23"/>
          <w:lang w:val="es-PE"/>
        </w:rPr>
      </w:pPr>
      <w:r w:rsidRPr="00267010">
        <w:rPr>
          <w:sz w:val="23"/>
          <w:szCs w:val="23"/>
          <w:lang w:val="es-PE"/>
        </w:rPr>
        <w:t>Declarar</w:t>
      </w:r>
      <w:r w:rsidRPr="00267010">
        <w:rPr>
          <w:b/>
          <w:sz w:val="23"/>
          <w:szCs w:val="23"/>
          <w:lang w:val="es-PE"/>
        </w:rPr>
        <w:t xml:space="preserve"> FUNDADA </w:t>
      </w:r>
      <w:r w:rsidRPr="00267010">
        <w:rPr>
          <w:sz w:val="23"/>
          <w:szCs w:val="23"/>
          <w:lang w:val="es-PE"/>
        </w:rPr>
        <w:t>la reclamación</w:t>
      </w:r>
      <w:r w:rsidRPr="00267010">
        <w:rPr>
          <w:b/>
          <w:sz w:val="23"/>
          <w:szCs w:val="23"/>
          <w:lang w:val="es-PE"/>
        </w:rPr>
        <w:t xml:space="preserve"> </w:t>
      </w:r>
      <w:r w:rsidRPr="00267010">
        <w:rPr>
          <w:sz w:val="23"/>
          <w:szCs w:val="23"/>
          <w:lang w:val="es-PE"/>
        </w:rPr>
        <w:t>interpuesta</w:t>
      </w:r>
      <w:r w:rsidRPr="00267010">
        <w:rPr>
          <w:sz w:val="23"/>
          <w:szCs w:val="23"/>
          <w:lang w:val="es-MX"/>
        </w:rPr>
        <w:t xml:space="preserve"> por</w:t>
      </w:r>
      <w:r w:rsidRPr="00267010">
        <w:rPr>
          <w:b/>
          <w:bCs/>
          <w:sz w:val="23"/>
          <w:szCs w:val="23"/>
          <w:lang w:val="es-MX"/>
        </w:rPr>
        <w:t xml:space="preserve"> </w:t>
      </w:r>
      <w:r w:rsidRPr="00267010">
        <w:rPr>
          <w:sz w:val="23"/>
          <w:szCs w:val="23"/>
          <w:lang w:val="es-PE"/>
        </w:rPr>
        <w:t xml:space="preserve">doña </w:t>
      </w:r>
      <w:r w:rsidR="003713B1">
        <w:rPr>
          <w:lang w:val="es-PE"/>
        </w:rPr>
        <w:t>..................</w:t>
      </w:r>
      <w:r w:rsidR="003713B1">
        <w:t>.</w:t>
      </w:r>
      <w:r w:rsidRPr="00267010">
        <w:rPr>
          <w:sz w:val="23"/>
          <w:szCs w:val="23"/>
          <w:lang w:val="es-PE"/>
        </w:rPr>
        <w:t xml:space="preserve"> contra </w:t>
      </w:r>
      <w:r w:rsidR="003713B1">
        <w:rPr>
          <w:lang w:val="es-PE"/>
        </w:rPr>
        <w:t>..................</w:t>
      </w:r>
      <w:r w:rsidR="003713B1">
        <w:t>.</w:t>
      </w:r>
      <w:r w:rsidRPr="00267010">
        <w:rPr>
          <w:sz w:val="23"/>
          <w:szCs w:val="23"/>
          <w:lang w:val="es-PE"/>
        </w:rPr>
        <w:t xml:space="preserve">, debiendo la aseguradora </w:t>
      </w:r>
      <w:proofErr w:type="gramStart"/>
      <w:r w:rsidRPr="00267010">
        <w:rPr>
          <w:sz w:val="23"/>
          <w:szCs w:val="23"/>
          <w:lang w:val="es-PE"/>
        </w:rPr>
        <w:t>proceder a otorgar</w:t>
      </w:r>
      <w:proofErr w:type="gramEnd"/>
      <w:r w:rsidRPr="00267010">
        <w:rPr>
          <w:sz w:val="23"/>
          <w:szCs w:val="23"/>
          <w:lang w:val="es-PE"/>
        </w:rPr>
        <w:t xml:space="preserve"> la cobertura de seguro en los términos establecidos en la póliza de Desgravamen Exención de Pagos Pandero Póliza </w:t>
      </w:r>
      <w:proofErr w:type="spellStart"/>
      <w:r w:rsidRPr="00267010">
        <w:rPr>
          <w:sz w:val="23"/>
          <w:szCs w:val="23"/>
          <w:lang w:val="es-PE"/>
        </w:rPr>
        <w:t>Nº</w:t>
      </w:r>
      <w:proofErr w:type="spellEnd"/>
      <w:r w:rsidRPr="00267010">
        <w:rPr>
          <w:sz w:val="23"/>
          <w:szCs w:val="23"/>
          <w:lang w:val="es-PE"/>
        </w:rPr>
        <w:t xml:space="preserve"> </w:t>
      </w:r>
      <w:r w:rsidR="003713B1">
        <w:rPr>
          <w:lang w:val="es-PE"/>
        </w:rPr>
        <w:t>..................</w:t>
      </w:r>
      <w:r w:rsidR="003713B1">
        <w:t>.</w:t>
      </w:r>
      <w:r w:rsidRPr="00267010">
        <w:rPr>
          <w:sz w:val="23"/>
          <w:szCs w:val="23"/>
          <w:lang w:val="es-PE"/>
        </w:rPr>
        <w:t>.</w:t>
      </w:r>
    </w:p>
    <w:p w14:paraId="23B9D182" w14:textId="77777777" w:rsidR="006A36AB" w:rsidRPr="00267010" w:rsidRDefault="006A36AB" w:rsidP="006A36AB">
      <w:pPr>
        <w:jc w:val="both"/>
        <w:outlineLvl w:val="0"/>
        <w:rPr>
          <w:sz w:val="23"/>
          <w:szCs w:val="23"/>
          <w:lang w:val="es-PE"/>
        </w:rPr>
      </w:pPr>
    </w:p>
    <w:p w14:paraId="400DA5B6" w14:textId="495B0B50" w:rsidR="00401DE3" w:rsidRPr="00267010" w:rsidRDefault="00F15FBA" w:rsidP="006A36AB">
      <w:pPr>
        <w:jc w:val="right"/>
        <w:outlineLvl w:val="0"/>
        <w:rPr>
          <w:sz w:val="23"/>
          <w:szCs w:val="23"/>
          <w:lang w:val="es-PE"/>
        </w:rPr>
      </w:pPr>
      <w:r w:rsidRPr="00267010">
        <w:rPr>
          <w:sz w:val="23"/>
          <w:szCs w:val="23"/>
          <w:lang w:val="es-PE"/>
        </w:rPr>
        <w:t xml:space="preserve">Lima, </w:t>
      </w:r>
      <w:r w:rsidR="00267010" w:rsidRPr="00267010">
        <w:rPr>
          <w:sz w:val="23"/>
          <w:szCs w:val="23"/>
          <w:lang w:val="es-PE"/>
        </w:rPr>
        <w:t>13</w:t>
      </w:r>
      <w:r w:rsidR="0019100A" w:rsidRPr="00267010">
        <w:rPr>
          <w:sz w:val="23"/>
          <w:szCs w:val="23"/>
        </w:rPr>
        <w:t xml:space="preserve"> </w:t>
      </w:r>
      <w:r w:rsidR="00F62606" w:rsidRPr="00267010">
        <w:rPr>
          <w:sz w:val="23"/>
          <w:szCs w:val="23"/>
        </w:rPr>
        <w:t>d</w:t>
      </w:r>
      <w:proofErr w:type="spellStart"/>
      <w:r w:rsidRPr="00267010">
        <w:rPr>
          <w:sz w:val="23"/>
          <w:szCs w:val="23"/>
          <w:lang w:val="es-PE"/>
        </w:rPr>
        <w:t>e</w:t>
      </w:r>
      <w:proofErr w:type="spellEnd"/>
      <w:r w:rsidR="00E047AF" w:rsidRPr="00267010">
        <w:rPr>
          <w:sz w:val="23"/>
          <w:szCs w:val="23"/>
          <w:lang w:val="es-PE"/>
        </w:rPr>
        <w:t xml:space="preserve"> mayo</w:t>
      </w:r>
      <w:r w:rsidR="001631D6" w:rsidRPr="00267010">
        <w:rPr>
          <w:sz w:val="23"/>
          <w:szCs w:val="23"/>
          <w:lang w:val="es-PE"/>
        </w:rPr>
        <w:t xml:space="preserve"> </w:t>
      </w:r>
      <w:r w:rsidRPr="00267010">
        <w:rPr>
          <w:sz w:val="23"/>
          <w:szCs w:val="23"/>
          <w:lang w:val="es-PE"/>
        </w:rPr>
        <w:t>de 20</w:t>
      </w:r>
      <w:r w:rsidR="001631D6" w:rsidRPr="00267010">
        <w:rPr>
          <w:sz w:val="23"/>
          <w:szCs w:val="23"/>
          <w:lang w:val="es-PE"/>
        </w:rPr>
        <w:t>2</w:t>
      </w:r>
      <w:r w:rsidR="003E6BA6" w:rsidRPr="00267010">
        <w:rPr>
          <w:sz w:val="23"/>
          <w:szCs w:val="23"/>
          <w:lang w:val="es-PE"/>
        </w:rPr>
        <w:t>1</w:t>
      </w:r>
    </w:p>
    <w:p w14:paraId="37DB6607" w14:textId="77777777" w:rsidR="00C01AB2" w:rsidRPr="00267010" w:rsidRDefault="00C01AB2" w:rsidP="006A36AB">
      <w:pPr>
        <w:jc w:val="both"/>
        <w:rPr>
          <w:sz w:val="23"/>
          <w:szCs w:val="23"/>
        </w:rPr>
      </w:pPr>
    </w:p>
    <w:p w14:paraId="256515F3" w14:textId="77777777" w:rsidR="009270FF" w:rsidRPr="00267010" w:rsidRDefault="009270FF" w:rsidP="006A36AB">
      <w:pPr>
        <w:jc w:val="both"/>
        <w:rPr>
          <w:b/>
          <w:bCs/>
          <w:i/>
          <w:iCs/>
          <w:sz w:val="23"/>
          <w:szCs w:val="23"/>
          <w:lang w:val="es-ES_tradnl"/>
        </w:rPr>
      </w:pPr>
      <w:r w:rsidRPr="00267010">
        <w:rPr>
          <w:b/>
          <w:bCs/>
          <w:i/>
          <w:iCs/>
          <w:sz w:val="23"/>
          <w:szCs w:val="23"/>
          <w:lang w:val="es-ES_tradnl"/>
        </w:rPr>
        <w:t>La Secretaría Técnica certifica que la presente resolución cuenta con el voto de los vocales cuyos nombres figuran en el presente documento.</w:t>
      </w:r>
    </w:p>
    <w:p w14:paraId="3207C559" w14:textId="77777777" w:rsidR="009270FF" w:rsidRPr="00267010" w:rsidRDefault="009270FF" w:rsidP="006A36AB">
      <w:pPr>
        <w:jc w:val="both"/>
        <w:rPr>
          <w:b/>
          <w:bCs/>
          <w:i/>
          <w:iCs/>
          <w:sz w:val="23"/>
          <w:szCs w:val="23"/>
          <w:lang w:val="es-ES_tradnl"/>
        </w:rPr>
      </w:pPr>
    </w:p>
    <w:p w14:paraId="54F135C9" w14:textId="0BC98999" w:rsidR="009270FF" w:rsidRPr="00267010" w:rsidRDefault="009270FF" w:rsidP="006A36AB">
      <w:pPr>
        <w:spacing w:line="360" w:lineRule="auto"/>
        <w:jc w:val="center"/>
        <w:rPr>
          <w:b/>
          <w:bCs/>
          <w:sz w:val="23"/>
          <w:szCs w:val="23"/>
        </w:rPr>
      </w:pPr>
      <w:r w:rsidRPr="00267010">
        <w:rPr>
          <w:b/>
          <w:bCs/>
          <w:sz w:val="23"/>
          <w:szCs w:val="23"/>
        </w:rPr>
        <w:t xml:space="preserve">Marco Antonio Ortega Piana – </w:t>
      </w:r>
      <w:proofErr w:type="gramStart"/>
      <w:r w:rsidR="00E047AF" w:rsidRPr="00267010">
        <w:rPr>
          <w:b/>
          <w:bCs/>
          <w:sz w:val="23"/>
          <w:szCs w:val="23"/>
        </w:rPr>
        <w:t>Presidente</w:t>
      </w:r>
      <w:proofErr w:type="gramEnd"/>
    </w:p>
    <w:p w14:paraId="2D1FC96B" w14:textId="3E794715" w:rsidR="00E047AF" w:rsidRPr="00267010" w:rsidRDefault="00E047AF" w:rsidP="00E047AF">
      <w:pPr>
        <w:spacing w:line="360" w:lineRule="auto"/>
        <w:jc w:val="center"/>
        <w:rPr>
          <w:b/>
          <w:bCs/>
          <w:sz w:val="23"/>
          <w:szCs w:val="23"/>
        </w:rPr>
      </w:pPr>
      <w:r w:rsidRPr="00267010">
        <w:rPr>
          <w:b/>
          <w:bCs/>
          <w:sz w:val="23"/>
          <w:szCs w:val="23"/>
        </w:rPr>
        <w:t>María Eugenia Valdez Fernández Baca – Vocal</w:t>
      </w:r>
    </w:p>
    <w:p w14:paraId="44A94F4A" w14:textId="77777777" w:rsidR="009270FF" w:rsidRPr="00267010" w:rsidRDefault="009270FF" w:rsidP="006A36AB">
      <w:pPr>
        <w:spacing w:line="360" w:lineRule="auto"/>
        <w:jc w:val="center"/>
        <w:rPr>
          <w:b/>
          <w:bCs/>
          <w:sz w:val="23"/>
          <w:szCs w:val="23"/>
        </w:rPr>
      </w:pPr>
      <w:r w:rsidRPr="00267010">
        <w:rPr>
          <w:b/>
          <w:bCs/>
          <w:sz w:val="23"/>
          <w:szCs w:val="23"/>
        </w:rPr>
        <w:t xml:space="preserve">Rolando Eyzaguirre </w:t>
      </w:r>
      <w:proofErr w:type="spellStart"/>
      <w:r w:rsidRPr="00267010">
        <w:rPr>
          <w:b/>
          <w:bCs/>
          <w:sz w:val="23"/>
          <w:szCs w:val="23"/>
        </w:rPr>
        <w:t>Maccan</w:t>
      </w:r>
      <w:proofErr w:type="spellEnd"/>
      <w:r w:rsidRPr="00267010">
        <w:rPr>
          <w:b/>
          <w:bCs/>
          <w:sz w:val="23"/>
          <w:szCs w:val="23"/>
        </w:rPr>
        <w:t xml:space="preserve"> – Vocal</w:t>
      </w:r>
    </w:p>
    <w:p w14:paraId="2E53999C" w14:textId="77777777" w:rsidR="009270FF" w:rsidRPr="00267010" w:rsidRDefault="009270FF" w:rsidP="006A36AB">
      <w:pPr>
        <w:spacing w:line="360" w:lineRule="auto"/>
        <w:jc w:val="center"/>
        <w:rPr>
          <w:sz w:val="23"/>
          <w:szCs w:val="23"/>
          <w:lang w:val="es-MX"/>
        </w:rPr>
      </w:pPr>
      <w:r w:rsidRPr="00267010">
        <w:rPr>
          <w:b/>
          <w:bCs/>
          <w:sz w:val="23"/>
          <w:szCs w:val="23"/>
        </w:rPr>
        <w:t>Gonzalo Abad del Busto - Vocal</w:t>
      </w:r>
    </w:p>
    <w:p w14:paraId="0DA96C46" w14:textId="77777777" w:rsidR="001631D6" w:rsidRPr="00267010" w:rsidRDefault="001631D6" w:rsidP="006A36AB">
      <w:pPr>
        <w:jc w:val="both"/>
        <w:rPr>
          <w:lang w:val="es-PE"/>
        </w:rPr>
      </w:pPr>
    </w:p>
    <w:p w14:paraId="22C77427" w14:textId="77777777" w:rsidR="00F15FBA" w:rsidRPr="00267010" w:rsidRDefault="00F15FBA" w:rsidP="00F15FBA"/>
    <w:p w14:paraId="58BFC23A" w14:textId="77777777" w:rsidR="00F15FBA" w:rsidRPr="001631D6" w:rsidRDefault="00F15FBA" w:rsidP="00F15FBA"/>
    <w:p w14:paraId="164CAA9F" w14:textId="77777777" w:rsidR="00517989" w:rsidRPr="001631D6" w:rsidRDefault="00DB167C"/>
    <w:sectPr w:rsidR="00517989" w:rsidRPr="001631D6" w:rsidSect="00F552B2">
      <w:headerReference w:type="default" r:id="rId12"/>
      <w:footerReference w:type="default" r:id="rId13"/>
      <w:pgSz w:w="11907" w:h="16840" w:code="9"/>
      <w:pgMar w:top="1985"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971F3" w14:textId="77777777" w:rsidR="00DB167C" w:rsidRDefault="00DB167C" w:rsidP="005F148C">
      <w:r>
        <w:separator/>
      </w:r>
    </w:p>
  </w:endnote>
  <w:endnote w:type="continuationSeparator" w:id="0">
    <w:p w14:paraId="12AF770D" w14:textId="77777777" w:rsidR="00DB167C" w:rsidRDefault="00DB167C" w:rsidP="005F1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79697348"/>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01AF7AB7" w14:textId="04BD4788" w:rsidR="001631D6" w:rsidRPr="001631D6" w:rsidRDefault="001631D6">
            <w:pPr>
              <w:pStyle w:val="Piedepgina"/>
              <w:jc w:val="right"/>
              <w:rPr>
                <w:sz w:val="18"/>
                <w:szCs w:val="18"/>
              </w:rPr>
            </w:pPr>
            <w:r w:rsidRPr="00045C71">
              <w:rPr>
                <w:sz w:val="20"/>
                <w:szCs w:val="20"/>
              </w:rPr>
              <w:t>Página</w:t>
            </w:r>
            <w:r w:rsidRPr="001F1C40">
              <w:rPr>
                <w:sz w:val="18"/>
                <w:szCs w:val="18"/>
              </w:rPr>
              <w:t xml:space="preserve"> </w:t>
            </w:r>
            <w:r w:rsidRPr="001F1C40">
              <w:rPr>
                <w:b/>
                <w:bCs/>
                <w:sz w:val="18"/>
                <w:szCs w:val="18"/>
              </w:rPr>
              <w:fldChar w:fldCharType="begin"/>
            </w:r>
            <w:r w:rsidRPr="001F1C40">
              <w:rPr>
                <w:b/>
                <w:bCs/>
                <w:sz w:val="18"/>
                <w:szCs w:val="18"/>
              </w:rPr>
              <w:instrText>PAGE</w:instrText>
            </w:r>
            <w:r w:rsidRPr="001F1C40">
              <w:rPr>
                <w:b/>
                <w:bCs/>
                <w:sz w:val="18"/>
                <w:szCs w:val="18"/>
              </w:rPr>
              <w:fldChar w:fldCharType="separate"/>
            </w:r>
            <w:r w:rsidRPr="001F1C40">
              <w:rPr>
                <w:b/>
                <w:bCs/>
                <w:sz w:val="18"/>
                <w:szCs w:val="18"/>
              </w:rPr>
              <w:t>2</w:t>
            </w:r>
            <w:r w:rsidRPr="001F1C40">
              <w:rPr>
                <w:b/>
                <w:bCs/>
                <w:sz w:val="18"/>
                <w:szCs w:val="18"/>
              </w:rPr>
              <w:fldChar w:fldCharType="end"/>
            </w:r>
            <w:r w:rsidRPr="001F1C40">
              <w:rPr>
                <w:sz w:val="18"/>
                <w:szCs w:val="18"/>
              </w:rPr>
              <w:t xml:space="preserve"> de </w:t>
            </w:r>
            <w:r w:rsidRPr="001F1C40">
              <w:rPr>
                <w:b/>
                <w:bCs/>
                <w:sz w:val="18"/>
                <w:szCs w:val="18"/>
              </w:rPr>
              <w:fldChar w:fldCharType="begin"/>
            </w:r>
            <w:r w:rsidRPr="001F1C40">
              <w:rPr>
                <w:b/>
                <w:bCs/>
                <w:sz w:val="18"/>
                <w:szCs w:val="18"/>
              </w:rPr>
              <w:instrText>NUMPAGES</w:instrText>
            </w:r>
            <w:r w:rsidRPr="001F1C40">
              <w:rPr>
                <w:b/>
                <w:bCs/>
                <w:sz w:val="18"/>
                <w:szCs w:val="18"/>
              </w:rPr>
              <w:fldChar w:fldCharType="separate"/>
            </w:r>
            <w:r w:rsidRPr="001F1C40">
              <w:rPr>
                <w:b/>
                <w:bCs/>
                <w:sz w:val="18"/>
                <w:szCs w:val="18"/>
              </w:rPr>
              <w:t>2</w:t>
            </w:r>
            <w:r w:rsidRPr="001F1C40">
              <w:rPr>
                <w:b/>
                <w:bCs/>
                <w:sz w:val="18"/>
                <w:szCs w:val="18"/>
              </w:rPr>
              <w:fldChar w:fldCharType="end"/>
            </w:r>
          </w:p>
        </w:sdtContent>
      </w:sdt>
    </w:sdtContent>
  </w:sdt>
  <w:p w14:paraId="5E55DA88" w14:textId="77777777" w:rsidR="001631D6" w:rsidRDefault="001631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CEB59" w14:textId="77777777" w:rsidR="00DB167C" w:rsidRDefault="00DB167C" w:rsidP="005F148C">
      <w:r>
        <w:separator/>
      </w:r>
    </w:p>
  </w:footnote>
  <w:footnote w:type="continuationSeparator" w:id="0">
    <w:p w14:paraId="18C69496" w14:textId="77777777" w:rsidR="00DB167C" w:rsidRDefault="00DB167C" w:rsidP="005F1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E125" w14:textId="2F2F027B" w:rsidR="001631D6" w:rsidRDefault="001631D6">
    <w:pPr>
      <w:pStyle w:val="Encabezado"/>
    </w:pPr>
    <w:r>
      <w:rPr>
        <w:noProof/>
      </w:rPr>
      <w:drawing>
        <wp:inline distT="0" distB="0" distL="0" distR="0" wp14:anchorId="2EECEDB8" wp14:editId="52687486">
          <wp:extent cx="2095500" cy="7096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9452" b="20309"/>
                  <a:stretch/>
                </pic:blipFill>
                <pic:spPr bwMode="auto">
                  <a:xfrm>
                    <a:off x="0" y="0"/>
                    <a:ext cx="2134010" cy="722713"/>
                  </a:xfrm>
                  <a:prstGeom prst="rect">
                    <a:avLst/>
                  </a:prstGeom>
                  <a:ln>
                    <a:noFill/>
                  </a:ln>
                  <a:extLst>
                    <a:ext uri="{53640926-AAD7-44D8-BBD7-CCE9431645EC}">
                      <a14:shadowObscured xmlns:a14="http://schemas.microsoft.com/office/drawing/2010/main"/>
                    </a:ext>
                  </a:extLst>
                </pic:spPr>
              </pic:pic>
            </a:graphicData>
          </a:graphic>
        </wp:inline>
      </w:drawing>
    </w:r>
  </w:p>
  <w:p w14:paraId="322E2FE4" w14:textId="77777777" w:rsidR="001631D6" w:rsidRDefault="001631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71EF"/>
    <w:multiLevelType w:val="hybridMultilevel"/>
    <w:tmpl w:val="441EC25C"/>
    <w:lvl w:ilvl="0" w:tplc="DD0A6D2E">
      <w:start w:val="1"/>
      <w:numFmt w:val="decimal"/>
      <w:lvlText w:val="%1)"/>
      <w:lvlJc w:val="left"/>
      <w:pPr>
        <w:ind w:left="720" w:hanging="360"/>
      </w:pPr>
      <w:rPr>
        <w:rFonts w:ascii="Arial" w:eastAsiaTheme="minorHAnsi" w:hAnsi="Arial" w:cs="Arial"/>
        <w:b w:val="0"/>
        <w:bCs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 w15:restartNumberingAfterBreak="0">
    <w:nsid w:val="0F48610F"/>
    <w:multiLevelType w:val="hybridMultilevel"/>
    <w:tmpl w:val="3BA8022A"/>
    <w:lvl w:ilvl="0" w:tplc="7C66EBAE">
      <w:start w:val="1"/>
      <w:numFmt w:val="lowerLetter"/>
      <w:lvlText w:val="%1)"/>
      <w:lvlJc w:val="left"/>
      <w:pPr>
        <w:ind w:left="1070" w:hanging="360"/>
      </w:pPr>
      <w:rPr>
        <w:rFonts w:hint="default"/>
      </w:rPr>
    </w:lvl>
    <w:lvl w:ilvl="1" w:tplc="280A0019" w:tentative="1">
      <w:start w:val="1"/>
      <w:numFmt w:val="lowerLetter"/>
      <w:lvlText w:val="%2."/>
      <w:lvlJc w:val="left"/>
      <w:pPr>
        <w:ind w:left="1790" w:hanging="360"/>
      </w:pPr>
    </w:lvl>
    <w:lvl w:ilvl="2" w:tplc="280A001B" w:tentative="1">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2" w15:restartNumberingAfterBreak="0">
    <w:nsid w:val="20563ED4"/>
    <w:multiLevelType w:val="hybridMultilevel"/>
    <w:tmpl w:val="88DA9548"/>
    <w:lvl w:ilvl="0" w:tplc="1808523E">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22281A4D"/>
    <w:multiLevelType w:val="hybridMultilevel"/>
    <w:tmpl w:val="A6A45C98"/>
    <w:lvl w:ilvl="0" w:tplc="C7221400">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2FE05F7D"/>
    <w:multiLevelType w:val="hybridMultilevel"/>
    <w:tmpl w:val="E0524E1C"/>
    <w:lvl w:ilvl="0" w:tplc="1CF2E48E">
      <w:start w:val="9"/>
      <w:numFmt w:val="lowerLetter"/>
      <w:lvlText w:val="%1)"/>
      <w:lvlJc w:val="left"/>
      <w:pPr>
        <w:ind w:left="1069" w:hanging="360"/>
      </w:pPr>
    </w:lvl>
    <w:lvl w:ilvl="1" w:tplc="280A0019">
      <w:start w:val="1"/>
      <w:numFmt w:val="lowerLetter"/>
      <w:lvlText w:val="%2."/>
      <w:lvlJc w:val="left"/>
      <w:pPr>
        <w:ind w:left="1789" w:hanging="360"/>
      </w:pPr>
    </w:lvl>
    <w:lvl w:ilvl="2" w:tplc="280A001B">
      <w:start w:val="1"/>
      <w:numFmt w:val="lowerRoman"/>
      <w:lvlText w:val="%3."/>
      <w:lvlJc w:val="right"/>
      <w:pPr>
        <w:ind w:left="2509" w:hanging="180"/>
      </w:pPr>
    </w:lvl>
    <w:lvl w:ilvl="3" w:tplc="280A000F">
      <w:start w:val="1"/>
      <w:numFmt w:val="decimal"/>
      <w:lvlText w:val="%4."/>
      <w:lvlJc w:val="left"/>
      <w:pPr>
        <w:ind w:left="3229" w:hanging="360"/>
      </w:pPr>
    </w:lvl>
    <w:lvl w:ilvl="4" w:tplc="280A0019">
      <w:start w:val="1"/>
      <w:numFmt w:val="lowerLetter"/>
      <w:lvlText w:val="%5."/>
      <w:lvlJc w:val="left"/>
      <w:pPr>
        <w:ind w:left="3949" w:hanging="360"/>
      </w:pPr>
    </w:lvl>
    <w:lvl w:ilvl="5" w:tplc="280A001B">
      <w:start w:val="1"/>
      <w:numFmt w:val="lowerRoman"/>
      <w:lvlText w:val="%6."/>
      <w:lvlJc w:val="right"/>
      <w:pPr>
        <w:ind w:left="4669" w:hanging="180"/>
      </w:pPr>
    </w:lvl>
    <w:lvl w:ilvl="6" w:tplc="280A000F">
      <w:start w:val="1"/>
      <w:numFmt w:val="decimal"/>
      <w:lvlText w:val="%7."/>
      <w:lvlJc w:val="left"/>
      <w:pPr>
        <w:ind w:left="5389" w:hanging="360"/>
      </w:pPr>
    </w:lvl>
    <w:lvl w:ilvl="7" w:tplc="280A0019">
      <w:start w:val="1"/>
      <w:numFmt w:val="lowerLetter"/>
      <w:lvlText w:val="%8."/>
      <w:lvlJc w:val="left"/>
      <w:pPr>
        <w:ind w:left="6109" w:hanging="360"/>
      </w:pPr>
    </w:lvl>
    <w:lvl w:ilvl="8" w:tplc="280A001B">
      <w:start w:val="1"/>
      <w:numFmt w:val="lowerRoman"/>
      <w:lvlText w:val="%9."/>
      <w:lvlJc w:val="right"/>
      <w:pPr>
        <w:ind w:left="6829" w:hanging="180"/>
      </w:pPr>
    </w:lvl>
  </w:abstractNum>
  <w:abstractNum w:abstractNumId="5" w15:restartNumberingAfterBreak="0">
    <w:nsid w:val="384457AB"/>
    <w:multiLevelType w:val="hybridMultilevel"/>
    <w:tmpl w:val="1C94C2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38FB313C"/>
    <w:multiLevelType w:val="hybridMultilevel"/>
    <w:tmpl w:val="EBFCDB5A"/>
    <w:lvl w:ilvl="0" w:tplc="D4C887D8">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B98757C"/>
    <w:multiLevelType w:val="hybridMultilevel"/>
    <w:tmpl w:val="9EDA9404"/>
    <w:lvl w:ilvl="0" w:tplc="949C8D56">
      <w:start w:val="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E980452"/>
    <w:multiLevelType w:val="hybridMultilevel"/>
    <w:tmpl w:val="98EE5456"/>
    <w:lvl w:ilvl="0" w:tplc="B73629A2">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3FE318C4"/>
    <w:multiLevelType w:val="multilevel"/>
    <w:tmpl w:val="86B42FE8"/>
    <w:lvl w:ilvl="0">
      <w:start w:val="6"/>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EB29E9"/>
    <w:multiLevelType w:val="hybridMultilevel"/>
    <w:tmpl w:val="2160C56E"/>
    <w:lvl w:ilvl="0" w:tplc="280A0001">
      <w:start w:val="1"/>
      <w:numFmt w:val="bullet"/>
      <w:lvlText w:val=""/>
      <w:lvlJc w:val="left"/>
      <w:pPr>
        <w:ind w:left="780" w:hanging="360"/>
      </w:pPr>
      <w:rPr>
        <w:rFonts w:ascii="Symbol" w:hAnsi="Symbol"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1" w15:restartNumberingAfterBreak="0">
    <w:nsid w:val="46F9122A"/>
    <w:multiLevelType w:val="hybridMultilevel"/>
    <w:tmpl w:val="6998635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4940536F"/>
    <w:multiLevelType w:val="hybridMultilevel"/>
    <w:tmpl w:val="252EA214"/>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15:restartNumberingAfterBreak="0">
    <w:nsid w:val="4AF431AD"/>
    <w:multiLevelType w:val="multilevel"/>
    <w:tmpl w:val="F04E959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B2A492E"/>
    <w:multiLevelType w:val="multilevel"/>
    <w:tmpl w:val="62B63FC2"/>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EB8413F"/>
    <w:multiLevelType w:val="hybridMultilevel"/>
    <w:tmpl w:val="7A4C40E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4EDB638B"/>
    <w:multiLevelType w:val="hybridMultilevel"/>
    <w:tmpl w:val="CE74B5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506F06DC"/>
    <w:multiLevelType w:val="hybridMultilevel"/>
    <w:tmpl w:val="58ECE9A4"/>
    <w:lvl w:ilvl="0" w:tplc="B57CE202">
      <w:start w:val="1"/>
      <w:numFmt w:val="lowerLetter"/>
      <w:lvlText w:val="%1)"/>
      <w:lvlJc w:val="left"/>
      <w:pPr>
        <w:ind w:left="720" w:hanging="360"/>
      </w:pPr>
      <w:rPr>
        <w:rFonts w:ascii="Times New Roman" w:eastAsia="Times New Roman" w:hAnsi="Times New Roman" w:cs="Times New Roman"/>
        <w:color w:val="auto"/>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8" w15:restartNumberingAfterBreak="0">
    <w:nsid w:val="525D0C93"/>
    <w:multiLevelType w:val="hybridMultilevel"/>
    <w:tmpl w:val="565222EE"/>
    <w:lvl w:ilvl="0" w:tplc="D5F46800">
      <w:start w:val="2"/>
      <w:numFmt w:val="lowerRoman"/>
      <w:lvlText w:val="%1)"/>
      <w:lvlJc w:val="left"/>
      <w:pPr>
        <w:ind w:left="1429" w:hanging="720"/>
      </w:pPr>
    </w:lvl>
    <w:lvl w:ilvl="1" w:tplc="280A0019">
      <w:start w:val="1"/>
      <w:numFmt w:val="lowerLetter"/>
      <w:lvlText w:val="%2."/>
      <w:lvlJc w:val="left"/>
      <w:pPr>
        <w:ind w:left="1789" w:hanging="360"/>
      </w:pPr>
    </w:lvl>
    <w:lvl w:ilvl="2" w:tplc="280A001B">
      <w:start w:val="1"/>
      <w:numFmt w:val="lowerRoman"/>
      <w:lvlText w:val="%3."/>
      <w:lvlJc w:val="right"/>
      <w:pPr>
        <w:ind w:left="2509" w:hanging="180"/>
      </w:pPr>
    </w:lvl>
    <w:lvl w:ilvl="3" w:tplc="280A000F">
      <w:start w:val="1"/>
      <w:numFmt w:val="decimal"/>
      <w:lvlText w:val="%4."/>
      <w:lvlJc w:val="left"/>
      <w:pPr>
        <w:ind w:left="3229" w:hanging="360"/>
      </w:pPr>
    </w:lvl>
    <w:lvl w:ilvl="4" w:tplc="280A0019">
      <w:start w:val="1"/>
      <w:numFmt w:val="lowerLetter"/>
      <w:lvlText w:val="%5."/>
      <w:lvlJc w:val="left"/>
      <w:pPr>
        <w:ind w:left="3949" w:hanging="360"/>
      </w:pPr>
    </w:lvl>
    <w:lvl w:ilvl="5" w:tplc="280A001B">
      <w:start w:val="1"/>
      <w:numFmt w:val="lowerRoman"/>
      <w:lvlText w:val="%6."/>
      <w:lvlJc w:val="right"/>
      <w:pPr>
        <w:ind w:left="4669" w:hanging="180"/>
      </w:pPr>
    </w:lvl>
    <w:lvl w:ilvl="6" w:tplc="280A000F">
      <w:start w:val="1"/>
      <w:numFmt w:val="decimal"/>
      <w:lvlText w:val="%7."/>
      <w:lvlJc w:val="left"/>
      <w:pPr>
        <w:ind w:left="5389" w:hanging="360"/>
      </w:pPr>
    </w:lvl>
    <w:lvl w:ilvl="7" w:tplc="280A0019">
      <w:start w:val="1"/>
      <w:numFmt w:val="lowerLetter"/>
      <w:lvlText w:val="%8."/>
      <w:lvlJc w:val="left"/>
      <w:pPr>
        <w:ind w:left="6109" w:hanging="360"/>
      </w:pPr>
    </w:lvl>
    <w:lvl w:ilvl="8" w:tplc="280A001B">
      <w:start w:val="1"/>
      <w:numFmt w:val="lowerRoman"/>
      <w:lvlText w:val="%9."/>
      <w:lvlJc w:val="right"/>
      <w:pPr>
        <w:ind w:left="6829" w:hanging="180"/>
      </w:pPr>
    </w:lvl>
  </w:abstractNum>
  <w:abstractNum w:abstractNumId="19" w15:restartNumberingAfterBreak="0">
    <w:nsid w:val="560545E7"/>
    <w:multiLevelType w:val="hybridMultilevel"/>
    <w:tmpl w:val="1E782D0A"/>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57B9116D"/>
    <w:multiLevelType w:val="hybridMultilevel"/>
    <w:tmpl w:val="5B9E20E4"/>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1" w15:restartNumberingAfterBreak="0">
    <w:nsid w:val="591B1696"/>
    <w:multiLevelType w:val="multilevel"/>
    <w:tmpl w:val="7666A58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A77DA8"/>
    <w:multiLevelType w:val="hybridMultilevel"/>
    <w:tmpl w:val="2EC8265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61A36FA4"/>
    <w:multiLevelType w:val="hybridMultilevel"/>
    <w:tmpl w:val="27C4D7C6"/>
    <w:lvl w:ilvl="0" w:tplc="E116B2C0">
      <w:start w:val="1"/>
      <w:numFmt w:val="decimal"/>
      <w:lvlText w:val="%1)"/>
      <w:lvlJc w:val="left"/>
      <w:pPr>
        <w:ind w:left="362" w:hanging="360"/>
      </w:pPr>
      <w:rPr>
        <w:rFonts w:hint="default"/>
      </w:rPr>
    </w:lvl>
    <w:lvl w:ilvl="1" w:tplc="280A0019" w:tentative="1">
      <w:start w:val="1"/>
      <w:numFmt w:val="lowerLetter"/>
      <w:lvlText w:val="%2."/>
      <w:lvlJc w:val="left"/>
      <w:pPr>
        <w:ind w:left="1082" w:hanging="360"/>
      </w:pPr>
    </w:lvl>
    <w:lvl w:ilvl="2" w:tplc="280A001B" w:tentative="1">
      <w:start w:val="1"/>
      <w:numFmt w:val="lowerRoman"/>
      <w:lvlText w:val="%3."/>
      <w:lvlJc w:val="right"/>
      <w:pPr>
        <w:ind w:left="1802" w:hanging="180"/>
      </w:pPr>
    </w:lvl>
    <w:lvl w:ilvl="3" w:tplc="280A000F" w:tentative="1">
      <w:start w:val="1"/>
      <w:numFmt w:val="decimal"/>
      <w:lvlText w:val="%4."/>
      <w:lvlJc w:val="left"/>
      <w:pPr>
        <w:ind w:left="2522" w:hanging="360"/>
      </w:pPr>
    </w:lvl>
    <w:lvl w:ilvl="4" w:tplc="280A0019" w:tentative="1">
      <w:start w:val="1"/>
      <w:numFmt w:val="lowerLetter"/>
      <w:lvlText w:val="%5."/>
      <w:lvlJc w:val="left"/>
      <w:pPr>
        <w:ind w:left="3242" w:hanging="360"/>
      </w:pPr>
    </w:lvl>
    <w:lvl w:ilvl="5" w:tplc="280A001B" w:tentative="1">
      <w:start w:val="1"/>
      <w:numFmt w:val="lowerRoman"/>
      <w:lvlText w:val="%6."/>
      <w:lvlJc w:val="right"/>
      <w:pPr>
        <w:ind w:left="3962" w:hanging="180"/>
      </w:pPr>
    </w:lvl>
    <w:lvl w:ilvl="6" w:tplc="280A000F" w:tentative="1">
      <w:start w:val="1"/>
      <w:numFmt w:val="decimal"/>
      <w:lvlText w:val="%7."/>
      <w:lvlJc w:val="left"/>
      <w:pPr>
        <w:ind w:left="4682" w:hanging="360"/>
      </w:pPr>
    </w:lvl>
    <w:lvl w:ilvl="7" w:tplc="280A0019" w:tentative="1">
      <w:start w:val="1"/>
      <w:numFmt w:val="lowerLetter"/>
      <w:lvlText w:val="%8."/>
      <w:lvlJc w:val="left"/>
      <w:pPr>
        <w:ind w:left="5402" w:hanging="360"/>
      </w:pPr>
    </w:lvl>
    <w:lvl w:ilvl="8" w:tplc="280A001B" w:tentative="1">
      <w:start w:val="1"/>
      <w:numFmt w:val="lowerRoman"/>
      <w:lvlText w:val="%9."/>
      <w:lvlJc w:val="right"/>
      <w:pPr>
        <w:ind w:left="6122" w:hanging="180"/>
      </w:pPr>
    </w:lvl>
  </w:abstractNum>
  <w:abstractNum w:abstractNumId="24" w15:restartNumberingAfterBreak="0">
    <w:nsid w:val="68C771CA"/>
    <w:multiLevelType w:val="multilevel"/>
    <w:tmpl w:val="2D4C3C20"/>
    <w:lvl w:ilvl="0">
      <w:start w:val="6"/>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2237B10"/>
    <w:multiLevelType w:val="hybridMultilevel"/>
    <w:tmpl w:val="BF18A9A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7676708B"/>
    <w:multiLevelType w:val="hybridMultilevel"/>
    <w:tmpl w:val="8A708CDE"/>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15:restartNumberingAfterBreak="0">
    <w:nsid w:val="776813F9"/>
    <w:multiLevelType w:val="hybridMultilevel"/>
    <w:tmpl w:val="84DC83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7EC22469"/>
    <w:multiLevelType w:val="hybridMultilevel"/>
    <w:tmpl w:val="393890B8"/>
    <w:lvl w:ilvl="0" w:tplc="B08EA87C">
      <w:start w:val="1"/>
      <w:numFmt w:val="lowerLetter"/>
      <w:lvlText w:val="%1)"/>
      <w:lvlJc w:val="left"/>
      <w:pPr>
        <w:ind w:left="362" w:hanging="360"/>
      </w:pPr>
      <w:rPr>
        <w:rFonts w:hint="default"/>
      </w:rPr>
    </w:lvl>
    <w:lvl w:ilvl="1" w:tplc="280A0019" w:tentative="1">
      <w:start w:val="1"/>
      <w:numFmt w:val="lowerLetter"/>
      <w:lvlText w:val="%2."/>
      <w:lvlJc w:val="left"/>
      <w:pPr>
        <w:ind w:left="1082" w:hanging="360"/>
      </w:pPr>
    </w:lvl>
    <w:lvl w:ilvl="2" w:tplc="280A001B" w:tentative="1">
      <w:start w:val="1"/>
      <w:numFmt w:val="lowerRoman"/>
      <w:lvlText w:val="%3."/>
      <w:lvlJc w:val="right"/>
      <w:pPr>
        <w:ind w:left="1802" w:hanging="180"/>
      </w:pPr>
    </w:lvl>
    <w:lvl w:ilvl="3" w:tplc="280A000F" w:tentative="1">
      <w:start w:val="1"/>
      <w:numFmt w:val="decimal"/>
      <w:lvlText w:val="%4."/>
      <w:lvlJc w:val="left"/>
      <w:pPr>
        <w:ind w:left="2522" w:hanging="360"/>
      </w:pPr>
    </w:lvl>
    <w:lvl w:ilvl="4" w:tplc="280A0019" w:tentative="1">
      <w:start w:val="1"/>
      <w:numFmt w:val="lowerLetter"/>
      <w:lvlText w:val="%5."/>
      <w:lvlJc w:val="left"/>
      <w:pPr>
        <w:ind w:left="3242" w:hanging="360"/>
      </w:pPr>
    </w:lvl>
    <w:lvl w:ilvl="5" w:tplc="280A001B" w:tentative="1">
      <w:start w:val="1"/>
      <w:numFmt w:val="lowerRoman"/>
      <w:lvlText w:val="%6."/>
      <w:lvlJc w:val="right"/>
      <w:pPr>
        <w:ind w:left="3962" w:hanging="180"/>
      </w:pPr>
    </w:lvl>
    <w:lvl w:ilvl="6" w:tplc="280A000F" w:tentative="1">
      <w:start w:val="1"/>
      <w:numFmt w:val="decimal"/>
      <w:lvlText w:val="%7."/>
      <w:lvlJc w:val="left"/>
      <w:pPr>
        <w:ind w:left="4682" w:hanging="360"/>
      </w:pPr>
    </w:lvl>
    <w:lvl w:ilvl="7" w:tplc="280A0019" w:tentative="1">
      <w:start w:val="1"/>
      <w:numFmt w:val="lowerLetter"/>
      <w:lvlText w:val="%8."/>
      <w:lvlJc w:val="left"/>
      <w:pPr>
        <w:ind w:left="5402" w:hanging="360"/>
      </w:pPr>
    </w:lvl>
    <w:lvl w:ilvl="8" w:tplc="280A001B" w:tentative="1">
      <w:start w:val="1"/>
      <w:numFmt w:val="lowerRoman"/>
      <w:lvlText w:val="%9."/>
      <w:lvlJc w:val="right"/>
      <w:pPr>
        <w:ind w:left="6122" w:hanging="180"/>
      </w:pPr>
    </w:lvl>
  </w:abstractNum>
  <w:num w:numId="1">
    <w:abstractNumId w:val="1"/>
  </w:num>
  <w:num w:numId="2">
    <w:abstractNumId w:val="20"/>
  </w:num>
  <w:num w:numId="3">
    <w:abstractNumId w:val="6"/>
  </w:num>
  <w:num w:numId="4">
    <w:abstractNumId w:val="2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8"/>
  </w:num>
  <w:num w:numId="12">
    <w:abstractNumId w:val="16"/>
  </w:num>
  <w:num w:numId="13">
    <w:abstractNumId w:val="26"/>
  </w:num>
  <w:num w:numId="14">
    <w:abstractNumId w:val="13"/>
  </w:num>
  <w:num w:numId="15">
    <w:abstractNumId w:val="14"/>
  </w:num>
  <w:num w:numId="16">
    <w:abstractNumId w:val="24"/>
  </w:num>
  <w:num w:numId="17">
    <w:abstractNumId w:val="9"/>
  </w:num>
  <w:num w:numId="18">
    <w:abstractNumId w:val="21"/>
  </w:num>
  <w:num w:numId="19">
    <w:abstractNumId w:val="10"/>
  </w:num>
  <w:num w:numId="20">
    <w:abstractNumId w:val="25"/>
  </w:num>
  <w:num w:numId="21">
    <w:abstractNumId w:val="27"/>
  </w:num>
  <w:num w:numId="22">
    <w:abstractNumId w:val="7"/>
  </w:num>
  <w:num w:numId="23">
    <w:abstractNumId w:val="3"/>
  </w:num>
  <w:num w:numId="24">
    <w:abstractNumId w:val="11"/>
  </w:num>
  <w:num w:numId="25">
    <w:abstractNumId w:val="2"/>
  </w:num>
  <w:num w:numId="26">
    <w:abstractNumId w:val="19"/>
  </w:num>
  <w:num w:numId="27">
    <w:abstractNumId w:val="15"/>
  </w:num>
  <w:num w:numId="28">
    <w:abstractNumId w:val="5"/>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FBA"/>
    <w:rsid w:val="00007872"/>
    <w:rsid w:val="0001004C"/>
    <w:rsid w:val="000155B3"/>
    <w:rsid w:val="00020318"/>
    <w:rsid w:val="00026017"/>
    <w:rsid w:val="0002661E"/>
    <w:rsid w:val="00032526"/>
    <w:rsid w:val="00035CCC"/>
    <w:rsid w:val="00045C71"/>
    <w:rsid w:val="00052190"/>
    <w:rsid w:val="00056E9D"/>
    <w:rsid w:val="00084E51"/>
    <w:rsid w:val="00087C49"/>
    <w:rsid w:val="00094DDA"/>
    <w:rsid w:val="000A6362"/>
    <w:rsid w:val="000C443A"/>
    <w:rsid w:val="000D2700"/>
    <w:rsid w:val="000F2C43"/>
    <w:rsid w:val="00103188"/>
    <w:rsid w:val="00131FAD"/>
    <w:rsid w:val="00140C67"/>
    <w:rsid w:val="001454A5"/>
    <w:rsid w:val="001631D6"/>
    <w:rsid w:val="001656DA"/>
    <w:rsid w:val="0019100A"/>
    <w:rsid w:val="00195646"/>
    <w:rsid w:val="001A3593"/>
    <w:rsid w:val="001A6663"/>
    <w:rsid w:val="001B5AC4"/>
    <w:rsid w:val="001B6607"/>
    <w:rsid w:val="001C18C6"/>
    <w:rsid w:val="001C2B16"/>
    <w:rsid w:val="001D01FD"/>
    <w:rsid w:val="001E1429"/>
    <w:rsid w:val="001E6B7D"/>
    <w:rsid w:val="001F004E"/>
    <w:rsid w:val="001F1C40"/>
    <w:rsid w:val="001F1D6D"/>
    <w:rsid w:val="0020442B"/>
    <w:rsid w:val="00233ED8"/>
    <w:rsid w:val="002370F4"/>
    <w:rsid w:val="00267010"/>
    <w:rsid w:val="00281026"/>
    <w:rsid w:val="002A2188"/>
    <w:rsid w:val="002B14D5"/>
    <w:rsid w:val="002D5B13"/>
    <w:rsid w:val="002E35A4"/>
    <w:rsid w:val="002E708C"/>
    <w:rsid w:val="00304A8F"/>
    <w:rsid w:val="00316A1B"/>
    <w:rsid w:val="00316D12"/>
    <w:rsid w:val="0032570B"/>
    <w:rsid w:val="00363714"/>
    <w:rsid w:val="003713B1"/>
    <w:rsid w:val="00395B94"/>
    <w:rsid w:val="003977C8"/>
    <w:rsid w:val="003A7726"/>
    <w:rsid w:val="003B46E3"/>
    <w:rsid w:val="003B4770"/>
    <w:rsid w:val="003B5737"/>
    <w:rsid w:val="003C2DC4"/>
    <w:rsid w:val="003E6BA6"/>
    <w:rsid w:val="00401DE3"/>
    <w:rsid w:val="00417664"/>
    <w:rsid w:val="00417E23"/>
    <w:rsid w:val="00425777"/>
    <w:rsid w:val="00444A49"/>
    <w:rsid w:val="00455A27"/>
    <w:rsid w:val="00467825"/>
    <w:rsid w:val="00474856"/>
    <w:rsid w:val="00477D05"/>
    <w:rsid w:val="004854D9"/>
    <w:rsid w:val="004A5F55"/>
    <w:rsid w:val="004E50D6"/>
    <w:rsid w:val="004F1C73"/>
    <w:rsid w:val="00516549"/>
    <w:rsid w:val="00531FBE"/>
    <w:rsid w:val="0053265E"/>
    <w:rsid w:val="00577AEB"/>
    <w:rsid w:val="0058358B"/>
    <w:rsid w:val="005C5922"/>
    <w:rsid w:val="005D1456"/>
    <w:rsid w:val="005F1349"/>
    <w:rsid w:val="005F148C"/>
    <w:rsid w:val="006024A3"/>
    <w:rsid w:val="00622BDD"/>
    <w:rsid w:val="00647AEE"/>
    <w:rsid w:val="00651449"/>
    <w:rsid w:val="006915F2"/>
    <w:rsid w:val="00691CFB"/>
    <w:rsid w:val="0069382D"/>
    <w:rsid w:val="006A1077"/>
    <w:rsid w:val="006A36AB"/>
    <w:rsid w:val="006B6FAF"/>
    <w:rsid w:val="006D33B8"/>
    <w:rsid w:val="007026C1"/>
    <w:rsid w:val="007224F7"/>
    <w:rsid w:val="00734447"/>
    <w:rsid w:val="00742D07"/>
    <w:rsid w:val="007474DB"/>
    <w:rsid w:val="00747AB9"/>
    <w:rsid w:val="00763851"/>
    <w:rsid w:val="00782489"/>
    <w:rsid w:val="007906A4"/>
    <w:rsid w:val="00791676"/>
    <w:rsid w:val="00793F6A"/>
    <w:rsid w:val="007A3050"/>
    <w:rsid w:val="007B49ED"/>
    <w:rsid w:val="007C2FC5"/>
    <w:rsid w:val="007C3730"/>
    <w:rsid w:val="007C4998"/>
    <w:rsid w:val="007D353F"/>
    <w:rsid w:val="007E71D6"/>
    <w:rsid w:val="008207FA"/>
    <w:rsid w:val="00834B23"/>
    <w:rsid w:val="00834DFE"/>
    <w:rsid w:val="00835D6A"/>
    <w:rsid w:val="00850916"/>
    <w:rsid w:val="00852F98"/>
    <w:rsid w:val="00864800"/>
    <w:rsid w:val="00865B73"/>
    <w:rsid w:val="00881041"/>
    <w:rsid w:val="00892A1F"/>
    <w:rsid w:val="008930FB"/>
    <w:rsid w:val="00895FF5"/>
    <w:rsid w:val="008A1DAB"/>
    <w:rsid w:val="008A67AB"/>
    <w:rsid w:val="008D0547"/>
    <w:rsid w:val="0092266A"/>
    <w:rsid w:val="009262B6"/>
    <w:rsid w:val="009270FF"/>
    <w:rsid w:val="00933218"/>
    <w:rsid w:val="00934888"/>
    <w:rsid w:val="0094741F"/>
    <w:rsid w:val="0096787B"/>
    <w:rsid w:val="009754A4"/>
    <w:rsid w:val="009767BB"/>
    <w:rsid w:val="00977F56"/>
    <w:rsid w:val="009A7580"/>
    <w:rsid w:val="009B3934"/>
    <w:rsid w:val="009C0943"/>
    <w:rsid w:val="009C28AE"/>
    <w:rsid w:val="009C4A1C"/>
    <w:rsid w:val="009F06F2"/>
    <w:rsid w:val="00A14315"/>
    <w:rsid w:val="00A223FC"/>
    <w:rsid w:val="00A23563"/>
    <w:rsid w:val="00A5654F"/>
    <w:rsid w:val="00A80BAD"/>
    <w:rsid w:val="00AC68FA"/>
    <w:rsid w:val="00AC7D5A"/>
    <w:rsid w:val="00AD6704"/>
    <w:rsid w:val="00AE33DC"/>
    <w:rsid w:val="00AE40BA"/>
    <w:rsid w:val="00B04114"/>
    <w:rsid w:val="00B17F4D"/>
    <w:rsid w:val="00B60E25"/>
    <w:rsid w:val="00B66566"/>
    <w:rsid w:val="00B773DA"/>
    <w:rsid w:val="00B81042"/>
    <w:rsid w:val="00B84B2B"/>
    <w:rsid w:val="00B84F66"/>
    <w:rsid w:val="00BA6133"/>
    <w:rsid w:val="00BC6134"/>
    <w:rsid w:val="00BC633A"/>
    <w:rsid w:val="00BD5FD0"/>
    <w:rsid w:val="00BF5BA3"/>
    <w:rsid w:val="00C01AB2"/>
    <w:rsid w:val="00C11655"/>
    <w:rsid w:val="00C168CE"/>
    <w:rsid w:val="00C174E4"/>
    <w:rsid w:val="00C21994"/>
    <w:rsid w:val="00C85630"/>
    <w:rsid w:val="00C9752A"/>
    <w:rsid w:val="00CA4FD6"/>
    <w:rsid w:val="00CB451A"/>
    <w:rsid w:val="00CB7C37"/>
    <w:rsid w:val="00CF3742"/>
    <w:rsid w:val="00CF70CF"/>
    <w:rsid w:val="00D112E9"/>
    <w:rsid w:val="00D128FF"/>
    <w:rsid w:val="00D15C1E"/>
    <w:rsid w:val="00D371A1"/>
    <w:rsid w:val="00D71CAF"/>
    <w:rsid w:val="00D86E87"/>
    <w:rsid w:val="00D9006E"/>
    <w:rsid w:val="00D92FA2"/>
    <w:rsid w:val="00DB167C"/>
    <w:rsid w:val="00DB1EA4"/>
    <w:rsid w:val="00DB7C9A"/>
    <w:rsid w:val="00DC277D"/>
    <w:rsid w:val="00E047AF"/>
    <w:rsid w:val="00E05CF8"/>
    <w:rsid w:val="00E06DE2"/>
    <w:rsid w:val="00E21C09"/>
    <w:rsid w:val="00E908BC"/>
    <w:rsid w:val="00EE20A1"/>
    <w:rsid w:val="00EF4FF0"/>
    <w:rsid w:val="00F029DD"/>
    <w:rsid w:val="00F1075C"/>
    <w:rsid w:val="00F1515F"/>
    <w:rsid w:val="00F15FBA"/>
    <w:rsid w:val="00F202DC"/>
    <w:rsid w:val="00F42DC6"/>
    <w:rsid w:val="00F465F7"/>
    <w:rsid w:val="00F62606"/>
    <w:rsid w:val="00F71D17"/>
    <w:rsid w:val="00F74CEA"/>
    <w:rsid w:val="00F802EF"/>
    <w:rsid w:val="00F96056"/>
    <w:rsid w:val="00F97A17"/>
    <w:rsid w:val="00FC2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208CC"/>
  <w15:chartTrackingRefBased/>
  <w15:docId w15:val="{28E6ABE7-3915-42AC-BE5C-AA8C5B38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FB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15FBA"/>
    <w:pPr>
      <w:jc w:val="center"/>
    </w:pPr>
    <w:rPr>
      <w:b/>
      <w:bCs/>
      <w:lang w:val="es-MX"/>
    </w:rPr>
  </w:style>
  <w:style w:type="character" w:customStyle="1" w:styleId="TtuloCar">
    <w:name w:val="Título Car"/>
    <w:basedOn w:val="Fuentedeprrafopredeter"/>
    <w:link w:val="Ttulo"/>
    <w:rsid w:val="00F15FBA"/>
    <w:rPr>
      <w:rFonts w:ascii="Times New Roman" w:eastAsia="Times New Roman" w:hAnsi="Times New Roman" w:cs="Times New Roman"/>
      <w:b/>
      <w:bCs/>
      <w:sz w:val="24"/>
      <w:szCs w:val="24"/>
      <w:lang w:val="es-MX" w:eastAsia="es-ES"/>
    </w:rPr>
  </w:style>
  <w:style w:type="character" w:styleId="Textoennegrita">
    <w:name w:val="Strong"/>
    <w:qFormat/>
    <w:rsid w:val="00F15FBA"/>
    <w:rPr>
      <w:b/>
      <w:bCs/>
    </w:rPr>
  </w:style>
  <w:style w:type="paragraph" w:styleId="Prrafodelista">
    <w:name w:val="List Paragraph"/>
    <w:aliases w:val="Number List 1"/>
    <w:basedOn w:val="Normal"/>
    <w:link w:val="PrrafodelistaCar"/>
    <w:uiPriority w:val="34"/>
    <w:qFormat/>
    <w:rsid w:val="00F15FBA"/>
    <w:pPr>
      <w:ind w:left="720"/>
      <w:contextualSpacing/>
    </w:pPr>
  </w:style>
  <w:style w:type="paragraph" w:styleId="NormalWeb">
    <w:name w:val="Normal (Web)"/>
    <w:basedOn w:val="Normal"/>
    <w:uiPriority w:val="99"/>
    <w:unhideWhenUsed/>
    <w:rsid w:val="00F15FBA"/>
    <w:pPr>
      <w:spacing w:before="100" w:beforeAutospacing="1" w:after="100" w:afterAutospacing="1"/>
    </w:pPr>
  </w:style>
  <w:style w:type="paragraph" w:styleId="Textonotaalfinal">
    <w:name w:val="endnote text"/>
    <w:basedOn w:val="Normal"/>
    <w:link w:val="TextonotaalfinalCar"/>
    <w:uiPriority w:val="99"/>
    <w:semiHidden/>
    <w:unhideWhenUsed/>
    <w:rsid w:val="005F148C"/>
    <w:rPr>
      <w:sz w:val="20"/>
      <w:szCs w:val="20"/>
    </w:rPr>
  </w:style>
  <w:style w:type="character" w:customStyle="1" w:styleId="TextonotaalfinalCar">
    <w:name w:val="Texto nota al final Car"/>
    <w:basedOn w:val="Fuentedeprrafopredeter"/>
    <w:link w:val="Textonotaalfinal"/>
    <w:uiPriority w:val="99"/>
    <w:semiHidden/>
    <w:rsid w:val="005F148C"/>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5F148C"/>
    <w:rPr>
      <w:vertAlign w:val="superscript"/>
    </w:rPr>
  </w:style>
  <w:style w:type="paragraph" w:styleId="Textonotapie">
    <w:name w:val="footnote text"/>
    <w:basedOn w:val="Normal"/>
    <w:link w:val="TextonotapieCar"/>
    <w:uiPriority w:val="99"/>
    <w:semiHidden/>
    <w:unhideWhenUsed/>
    <w:rsid w:val="005F148C"/>
    <w:rPr>
      <w:sz w:val="20"/>
      <w:szCs w:val="20"/>
    </w:rPr>
  </w:style>
  <w:style w:type="character" w:customStyle="1" w:styleId="TextonotapieCar">
    <w:name w:val="Texto nota pie Car"/>
    <w:basedOn w:val="Fuentedeprrafopredeter"/>
    <w:link w:val="Textonotapie"/>
    <w:uiPriority w:val="99"/>
    <w:semiHidden/>
    <w:rsid w:val="005F148C"/>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5F148C"/>
    <w:rPr>
      <w:vertAlign w:val="superscript"/>
    </w:rPr>
  </w:style>
  <w:style w:type="paragraph" w:styleId="Encabezado">
    <w:name w:val="header"/>
    <w:basedOn w:val="Normal"/>
    <w:link w:val="EncabezadoCar"/>
    <w:uiPriority w:val="99"/>
    <w:unhideWhenUsed/>
    <w:rsid w:val="001631D6"/>
    <w:pPr>
      <w:tabs>
        <w:tab w:val="center" w:pos="4252"/>
        <w:tab w:val="right" w:pos="8504"/>
      </w:tabs>
    </w:pPr>
  </w:style>
  <w:style w:type="character" w:customStyle="1" w:styleId="EncabezadoCar">
    <w:name w:val="Encabezado Car"/>
    <w:basedOn w:val="Fuentedeprrafopredeter"/>
    <w:link w:val="Encabezado"/>
    <w:uiPriority w:val="99"/>
    <w:rsid w:val="001631D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631D6"/>
    <w:pPr>
      <w:tabs>
        <w:tab w:val="center" w:pos="4252"/>
        <w:tab w:val="right" w:pos="8504"/>
      </w:tabs>
    </w:pPr>
  </w:style>
  <w:style w:type="character" w:customStyle="1" w:styleId="PiedepginaCar">
    <w:name w:val="Pie de página Car"/>
    <w:basedOn w:val="Fuentedeprrafopredeter"/>
    <w:link w:val="Piedepgina"/>
    <w:uiPriority w:val="99"/>
    <w:rsid w:val="001631D6"/>
    <w:rPr>
      <w:rFonts w:ascii="Times New Roman" w:eastAsia="Times New Roman" w:hAnsi="Times New Roman" w:cs="Times New Roman"/>
      <w:sz w:val="24"/>
      <w:szCs w:val="24"/>
      <w:lang w:val="es-ES" w:eastAsia="es-ES"/>
    </w:rPr>
  </w:style>
  <w:style w:type="paragraph" w:styleId="Sinespaciado">
    <w:name w:val="No Spacing"/>
    <w:uiPriority w:val="1"/>
    <w:qFormat/>
    <w:rsid w:val="003E6BA6"/>
    <w:pPr>
      <w:spacing w:after="0" w:line="240" w:lineRule="auto"/>
    </w:pPr>
    <w:rPr>
      <w:lang w:val="es-PE"/>
    </w:rPr>
  </w:style>
  <w:style w:type="character" w:styleId="Hipervnculo">
    <w:name w:val="Hyperlink"/>
    <w:basedOn w:val="Fuentedeprrafopredeter"/>
    <w:uiPriority w:val="99"/>
    <w:unhideWhenUsed/>
    <w:rsid w:val="00F62606"/>
    <w:rPr>
      <w:color w:val="0563C1" w:themeColor="hyperlink"/>
      <w:u w:val="single"/>
    </w:rPr>
  </w:style>
  <w:style w:type="paragraph" w:customStyle="1" w:styleId="paragraph">
    <w:name w:val="paragraph"/>
    <w:basedOn w:val="Normal"/>
    <w:rsid w:val="006024A3"/>
    <w:pPr>
      <w:spacing w:before="100" w:beforeAutospacing="1" w:after="100" w:afterAutospacing="1"/>
    </w:pPr>
    <w:rPr>
      <w:lang w:val="es-MX" w:eastAsia="es-MX"/>
    </w:rPr>
  </w:style>
  <w:style w:type="character" w:customStyle="1" w:styleId="normaltextrun">
    <w:name w:val="normaltextrun"/>
    <w:basedOn w:val="Fuentedeprrafopredeter"/>
    <w:rsid w:val="006024A3"/>
  </w:style>
  <w:style w:type="character" w:customStyle="1" w:styleId="eop">
    <w:name w:val="eop"/>
    <w:basedOn w:val="Fuentedeprrafopredeter"/>
    <w:rsid w:val="006024A3"/>
  </w:style>
  <w:style w:type="character" w:customStyle="1" w:styleId="PrrafodelistaCar">
    <w:name w:val="Párrafo de lista Car"/>
    <w:aliases w:val="Number List 1 Car"/>
    <w:link w:val="Prrafodelista"/>
    <w:uiPriority w:val="34"/>
    <w:rsid w:val="003A7726"/>
    <w:rPr>
      <w:rFonts w:ascii="Times New Roman" w:eastAsia="Times New Roman" w:hAnsi="Times New Roman" w:cs="Times New Roman"/>
      <w:sz w:val="24"/>
      <w:szCs w:val="24"/>
      <w:lang w:val="es-ES" w:eastAsia="es-ES"/>
    </w:rPr>
  </w:style>
  <w:style w:type="paragraph" w:customStyle="1" w:styleId="Default">
    <w:name w:val="Default"/>
    <w:rsid w:val="00C01AB2"/>
    <w:pPr>
      <w:autoSpaceDE w:val="0"/>
      <w:autoSpaceDN w:val="0"/>
      <w:adjustRightInd w:val="0"/>
      <w:spacing w:after="0" w:line="240" w:lineRule="auto"/>
    </w:pPr>
    <w:rPr>
      <w:rFonts w:ascii="Arial" w:hAnsi="Arial" w:cs="Arial"/>
      <w:color w:val="000000"/>
      <w:sz w:val="24"/>
      <w:szCs w:val="24"/>
      <w:lang w:val="es-PE"/>
    </w:rPr>
  </w:style>
  <w:style w:type="character" w:styleId="Mencinsinresolver">
    <w:name w:val="Unresolved Mention"/>
    <w:basedOn w:val="Fuentedeprrafopredeter"/>
    <w:uiPriority w:val="99"/>
    <w:semiHidden/>
    <w:unhideWhenUsed/>
    <w:rsid w:val="00045C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959511">
      <w:bodyDiv w:val="1"/>
      <w:marLeft w:val="0"/>
      <w:marRight w:val="0"/>
      <w:marTop w:val="0"/>
      <w:marBottom w:val="0"/>
      <w:divBdr>
        <w:top w:val="none" w:sz="0" w:space="0" w:color="auto"/>
        <w:left w:val="none" w:sz="0" w:space="0" w:color="auto"/>
        <w:bottom w:val="none" w:sz="0" w:space="0" w:color="auto"/>
        <w:right w:val="none" w:sz="0" w:space="0" w:color="auto"/>
      </w:divBdr>
    </w:div>
    <w:div w:id="1752584430">
      <w:bodyDiv w:val="1"/>
      <w:marLeft w:val="0"/>
      <w:marRight w:val="0"/>
      <w:marTop w:val="0"/>
      <w:marBottom w:val="0"/>
      <w:divBdr>
        <w:top w:val="none" w:sz="0" w:space="0" w:color="auto"/>
        <w:left w:val="none" w:sz="0" w:space="0" w:color="auto"/>
        <w:bottom w:val="none" w:sz="0" w:space="0" w:color="auto"/>
        <w:right w:val="none" w:sz="0" w:space="0" w:color="auto"/>
      </w:divBdr>
    </w:div>
    <w:div w:id="210981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5C6F5-1957-4209-835A-9C1861313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5</Pages>
  <Words>1961</Words>
  <Characters>10787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Eugenia Valdez</dc:creator>
  <cp:keywords/>
  <dc:description/>
  <cp:lastModifiedBy>Alicia Martín</cp:lastModifiedBy>
  <cp:revision>75</cp:revision>
  <cp:lastPrinted>2021-05-14T15:20:00Z</cp:lastPrinted>
  <dcterms:created xsi:type="dcterms:W3CDTF">2020-12-18T20:09:00Z</dcterms:created>
  <dcterms:modified xsi:type="dcterms:W3CDTF">2022-02-16T15:25:00Z</dcterms:modified>
</cp:coreProperties>
</file>