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4672D9" w:rsidRDefault="00A43903" w:rsidP="004672D9">
      <w:pPr>
        <w:jc w:val="both"/>
        <w:rPr>
          <w:rFonts w:ascii="Times New Roman" w:hAnsi="Times New Roman"/>
          <w:sz w:val="23"/>
          <w:szCs w:val="23"/>
        </w:rPr>
      </w:pPr>
    </w:p>
    <w:p w:rsidR="0031356D" w:rsidRPr="004672D9" w:rsidRDefault="00F70C08" w:rsidP="004672D9">
      <w:pPr>
        <w:jc w:val="center"/>
        <w:rPr>
          <w:rFonts w:ascii="Times New Roman" w:hAnsi="Times New Roman"/>
          <w:b/>
          <w:bCs/>
          <w:sz w:val="23"/>
          <w:szCs w:val="23"/>
        </w:rPr>
      </w:pPr>
      <w:r w:rsidRPr="004672D9">
        <w:rPr>
          <w:rFonts w:ascii="Times New Roman" w:hAnsi="Times New Roman"/>
          <w:b/>
          <w:bCs/>
          <w:sz w:val="23"/>
          <w:szCs w:val="23"/>
        </w:rPr>
        <w:t>RESOLUC</w:t>
      </w:r>
      <w:r w:rsidR="004A082E" w:rsidRPr="004672D9">
        <w:rPr>
          <w:rFonts w:ascii="Times New Roman" w:hAnsi="Times New Roman"/>
          <w:b/>
          <w:bCs/>
          <w:sz w:val="23"/>
          <w:szCs w:val="23"/>
        </w:rPr>
        <w:t>ION N°</w:t>
      </w:r>
      <w:r w:rsidR="004672D9" w:rsidRPr="004672D9">
        <w:rPr>
          <w:rFonts w:ascii="Times New Roman" w:hAnsi="Times New Roman"/>
          <w:b/>
          <w:bCs/>
          <w:sz w:val="23"/>
          <w:szCs w:val="23"/>
        </w:rPr>
        <w:t xml:space="preserve"> 079</w:t>
      </w:r>
      <w:r w:rsidR="004A082E" w:rsidRPr="004672D9">
        <w:rPr>
          <w:rFonts w:ascii="Times New Roman" w:hAnsi="Times New Roman"/>
          <w:b/>
          <w:bCs/>
          <w:sz w:val="23"/>
          <w:szCs w:val="23"/>
        </w:rPr>
        <w:t xml:space="preserve">/ </w:t>
      </w:r>
      <w:r w:rsidR="005B0B29" w:rsidRPr="004672D9">
        <w:rPr>
          <w:rFonts w:ascii="Times New Roman" w:hAnsi="Times New Roman"/>
          <w:b/>
          <w:bCs/>
          <w:sz w:val="23"/>
          <w:szCs w:val="23"/>
        </w:rPr>
        <w:t>201</w:t>
      </w:r>
      <w:r w:rsidR="00E57894" w:rsidRPr="004672D9">
        <w:rPr>
          <w:rFonts w:ascii="Times New Roman" w:hAnsi="Times New Roman"/>
          <w:b/>
          <w:bCs/>
          <w:sz w:val="23"/>
          <w:szCs w:val="23"/>
        </w:rPr>
        <w:t>9</w:t>
      </w:r>
    </w:p>
    <w:p w:rsidR="004A082E" w:rsidRPr="004672D9" w:rsidRDefault="004A082E" w:rsidP="004672D9">
      <w:pPr>
        <w:jc w:val="both"/>
        <w:rPr>
          <w:rFonts w:ascii="Times New Roman" w:hAnsi="Times New Roman"/>
          <w:sz w:val="23"/>
          <w:szCs w:val="23"/>
        </w:rPr>
      </w:pPr>
    </w:p>
    <w:p w:rsidR="004A082E" w:rsidRPr="004672D9" w:rsidRDefault="004A082E" w:rsidP="004672D9">
      <w:pPr>
        <w:jc w:val="both"/>
        <w:rPr>
          <w:rFonts w:ascii="Times New Roman" w:hAnsi="Times New Roman"/>
          <w:b/>
          <w:sz w:val="23"/>
          <w:szCs w:val="23"/>
        </w:rPr>
      </w:pPr>
      <w:r w:rsidRPr="004672D9">
        <w:rPr>
          <w:rFonts w:ascii="Times New Roman" w:hAnsi="Times New Roman"/>
          <w:b/>
          <w:sz w:val="23"/>
          <w:szCs w:val="23"/>
        </w:rPr>
        <w:t>VISTOS:</w:t>
      </w:r>
    </w:p>
    <w:p w:rsidR="004A082E" w:rsidRPr="004672D9" w:rsidRDefault="00FF4583" w:rsidP="004672D9">
      <w:pPr>
        <w:jc w:val="both"/>
        <w:rPr>
          <w:rFonts w:ascii="Times New Roman" w:hAnsi="Times New Roman"/>
          <w:sz w:val="23"/>
          <w:szCs w:val="23"/>
        </w:rPr>
      </w:pPr>
      <w:r w:rsidRPr="004672D9">
        <w:rPr>
          <w:rFonts w:ascii="Times New Roman" w:hAnsi="Times New Roman"/>
          <w:sz w:val="23"/>
          <w:szCs w:val="23"/>
        </w:rPr>
        <w:t>La</w:t>
      </w:r>
      <w:r w:rsidR="004A082E" w:rsidRPr="004672D9">
        <w:rPr>
          <w:rFonts w:ascii="Times New Roman" w:hAnsi="Times New Roman"/>
          <w:sz w:val="23"/>
          <w:szCs w:val="23"/>
        </w:rPr>
        <w:t xml:space="preserve"> reclam</w:t>
      </w:r>
      <w:r w:rsidRPr="004672D9">
        <w:rPr>
          <w:rFonts w:ascii="Times New Roman" w:hAnsi="Times New Roman"/>
          <w:sz w:val="23"/>
          <w:szCs w:val="23"/>
        </w:rPr>
        <w:t>ación</w:t>
      </w:r>
      <w:r w:rsidR="004A082E" w:rsidRPr="004672D9">
        <w:rPr>
          <w:rFonts w:ascii="Times New Roman" w:hAnsi="Times New Roman"/>
          <w:sz w:val="23"/>
          <w:szCs w:val="23"/>
        </w:rPr>
        <w:t xml:space="preserve"> presentad</w:t>
      </w:r>
      <w:r w:rsidRPr="004672D9">
        <w:rPr>
          <w:rFonts w:ascii="Times New Roman" w:hAnsi="Times New Roman"/>
          <w:sz w:val="23"/>
          <w:szCs w:val="23"/>
        </w:rPr>
        <w:t>a</w:t>
      </w:r>
      <w:r w:rsidR="001D7B40" w:rsidRPr="004672D9">
        <w:rPr>
          <w:rFonts w:ascii="Times New Roman" w:hAnsi="Times New Roman"/>
          <w:sz w:val="23"/>
          <w:szCs w:val="23"/>
        </w:rPr>
        <w:t xml:space="preserve"> ante esta Defensoría del Asegurado (DEFASEG)</w:t>
      </w:r>
      <w:r w:rsidR="004A082E" w:rsidRPr="004672D9">
        <w:rPr>
          <w:rFonts w:ascii="Times New Roman" w:hAnsi="Times New Roman"/>
          <w:sz w:val="23"/>
          <w:szCs w:val="23"/>
        </w:rPr>
        <w:t xml:space="preserve"> </w:t>
      </w:r>
      <w:proofErr w:type="gramStart"/>
      <w:r w:rsidR="004A082E" w:rsidRPr="004672D9">
        <w:rPr>
          <w:rFonts w:ascii="Times New Roman" w:hAnsi="Times New Roman"/>
          <w:sz w:val="23"/>
          <w:szCs w:val="23"/>
        </w:rPr>
        <w:t xml:space="preserve">por </w:t>
      </w:r>
      <w:r w:rsidR="00E51DF3">
        <w:rPr>
          <w:rFonts w:ascii="Times New Roman" w:hAnsi="Times New Roman"/>
          <w:b/>
          <w:bCs/>
          <w:sz w:val="23"/>
          <w:szCs w:val="23"/>
          <w:lang w:val="es-MX"/>
        </w:rPr>
        <w:t>..................</w:t>
      </w:r>
      <w:r w:rsidR="009703AB" w:rsidRPr="004672D9">
        <w:rPr>
          <w:rFonts w:ascii="Times New Roman" w:hAnsi="Times New Roman"/>
          <w:b/>
          <w:bCs/>
          <w:sz w:val="23"/>
          <w:szCs w:val="23"/>
          <w:lang w:val="es-MX"/>
        </w:rPr>
        <w:t>.</w:t>
      </w:r>
      <w:proofErr w:type="gramEnd"/>
      <w:r w:rsidRPr="004672D9">
        <w:rPr>
          <w:rFonts w:ascii="Times New Roman" w:hAnsi="Times New Roman"/>
          <w:b/>
          <w:bCs/>
          <w:sz w:val="23"/>
          <w:szCs w:val="23"/>
          <w:lang w:val="es-MX"/>
        </w:rPr>
        <w:t xml:space="preserve"> </w:t>
      </w:r>
      <w:r w:rsidR="004A082E" w:rsidRPr="004672D9">
        <w:rPr>
          <w:rFonts w:ascii="Times New Roman" w:hAnsi="Times New Roman"/>
          <w:sz w:val="23"/>
          <w:szCs w:val="23"/>
        </w:rPr>
        <w:t xml:space="preserve">contra </w:t>
      </w:r>
      <w:r w:rsidR="00E51DF3">
        <w:rPr>
          <w:rFonts w:ascii="Times New Roman" w:hAnsi="Times New Roman"/>
          <w:b/>
          <w:bCs/>
          <w:sz w:val="23"/>
          <w:szCs w:val="23"/>
          <w:lang w:val="es-MX"/>
        </w:rPr>
        <w:t>..................</w:t>
      </w:r>
      <w:r w:rsidR="008617D6" w:rsidRPr="004672D9">
        <w:rPr>
          <w:rFonts w:ascii="Times New Roman" w:hAnsi="Times New Roman"/>
          <w:b/>
          <w:bCs/>
          <w:sz w:val="23"/>
          <w:szCs w:val="23"/>
          <w:lang w:val="es-MX"/>
        </w:rPr>
        <w:t xml:space="preserve"> </w:t>
      </w:r>
      <w:r w:rsidRPr="004672D9">
        <w:rPr>
          <w:rFonts w:ascii="Times New Roman" w:hAnsi="Times New Roman"/>
          <w:b/>
          <w:bCs/>
          <w:sz w:val="23"/>
          <w:szCs w:val="23"/>
          <w:lang w:val="es-MX"/>
        </w:rPr>
        <w:t>S</w:t>
      </w:r>
      <w:r w:rsidR="008617D6" w:rsidRPr="004672D9">
        <w:rPr>
          <w:rFonts w:ascii="Times New Roman" w:hAnsi="Times New Roman"/>
          <w:b/>
          <w:bCs/>
          <w:sz w:val="23"/>
          <w:szCs w:val="23"/>
          <w:lang w:val="es-MX"/>
        </w:rPr>
        <w:t>eguros</w:t>
      </w:r>
      <w:r w:rsidRPr="004672D9">
        <w:rPr>
          <w:rFonts w:ascii="Times New Roman" w:hAnsi="Times New Roman"/>
          <w:b/>
          <w:bCs/>
          <w:sz w:val="23"/>
          <w:szCs w:val="23"/>
          <w:lang w:val="es-MX"/>
        </w:rPr>
        <w:t xml:space="preserve"> </w:t>
      </w:r>
      <w:r w:rsidR="004A082E" w:rsidRPr="004672D9">
        <w:rPr>
          <w:rFonts w:ascii="Times New Roman" w:hAnsi="Times New Roman"/>
          <w:sz w:val="23"/>
          <w:szCs w:val="23"/>
        </w:rPr>
        <w:t xml:space="preserve">en </w:t>
      </w:r>
      <w:r w:rsidR="003F537C" w:rsidRPr="004672D9">
        <w:rPr>
          <w:rFonts w:ascii="Times New Roman" w:hAnsi="Times New Roman"/>
          <w:sz w:val="23"/>
          <w:szCs w:val="23"/>
        </w:rPr>
        <w:t xml:space="preserve">el </w:t>
      </w:r>
      <w:r w:rsidR="004A082E" w:rsidRPr="004672D9">
        <w:rPr>
          <w:rFonts w:ascii="Times New Roman" w:hAnsi="Times New Roman"/>
          <w:sz w:val="23"/>
          <w:szCs w:val="23"/>
        </w:rPr>
        <w:t xml:space="preserve">que solicita se le otorgue la cobertura </w:t>
      </w:r>
      <w:r w:rsidR="00187AA8" w:rsidRPr="004672D9">
        <w:rPr>
          <w:rFonts w:ascii="Times New Roman" w:hAnsi="Times New Roman"/>
          <w:sz w:val="23"/>
          <w:szCs w:val="23"/>
        </w:rPr>
        <w:t>de</w:t>
      </w:r>
      <w:r w:rsidRPr="004672D9">
        <w:rPr>
          <w:rFonts w:ascii="Times New Roman" w:hAnsi="Times New Roman"/>
          <w:sz w:val="23"/>
          <w:szCs w:val="23"/>
        </w:rPr>
        <w:t xml:space="preserve">l </w:t>
      </w:r>
      <w:r w:rsidR="00E57894" w:rsidRPr="004672D9">
        <w:rPr>
          <w:rFonts w:ascii="Times New Roman" w:hAnsi="Times New Roman"/>
          <w:b/>
          <w:sz w:val="23"/>
          <w:szCs w:val="23"/>
          <w:lang w:val="es-MX"/>
        </w:rPr>
        <w:t>SEGURO TRANSPORTE - PÓLIZA No TRCA-</w:t>
      </w:r>
      <w:r w:rsidR="00E51DF3">
        <w:rPr>
          <w:rFonts w:ascii="Times New Roman" w:hAnsi="Times New Roman"/>
          <w:b/>
          <w:sz w:val="23"/>
          <w:szCs w:val="23"/>
          <w:lang w:val="es-MX"/>
        </w:rPr>
        <w:t>..................</w:t>
      </w:r>
      <w:r w:rsidR="00695274" w:rsidRPr="004672D9">
        <w:rPr>
          <w:rFonts w:ascii="Times New Roman" w:hAnsi="Times New Roman"/>
          <w:sz w:val="23"/>
          <w:szCs w:val="23"/>
        </w:rPr>
        <w:t>,</w:t>
      </w:r>
      <w:r w:rsidR="004A082E" w:rsidRPr="004672D9">
        <w:rPr>
          <w:rFonts w:ascii="Times New Roman" w:hAnsi="Times New Roman"/>
          <w:sz w:val="23"/>
          <w:szCs w:val="23"/>
        </w:rPr>
        <w:t xml:space="preserve"> </w:t>
      </w:r>
      <w:r w:rsidR="00695274" w:rsidRPr="004672D9">
        <w:rPr>
          <w:rFonts w:ascii="Times New Roman" w:hAnsi="Times New Roman"/>
          <w:sz w:val="23"/>
          <w:szCs w:val="23"/>
        </w:rPr>
        <w:t>como consecuencia</w:t>
      </w:r>
      <w:r w:rsidR="008D4B5C" w:rsidRPr="004672D9">
        <w:rPr>
          <w:rFonts w:ascii="Times New Roman" w:hAnsi="Times New Roman"/>
          <w:sz w:val="23"/>
          <w:szCs w:val="23"/>
        </w:rPr>
        <w:t xml:space="preserve"> de</w:t>
      </w:r>
      <w:r w:rsidR="00340C38" w:rsidRPr="004672D9">
        <w:rPr>
          <w:rFonts w:ascii="Times New Roman" w:hAnsi="Times New Roman"/>
          <w:sz w:val="23"/>
          <w:szCs w:val="23"/>
        </w:rPr>
        <w:t xml:space="preserve">l </w:t>
      </w:r>
      <w:r w:rsidR="008617D6" w:rsidRPr="004672D9">
        <w:rPr>
          <w:rFonts w:ascii="Times New Roman" w:hAnsi="Times New Roman"/>
          <w:sz w:val="23"/>
          <w:szCs w:val="23"/>
        </w:rPr>
        <w:t xml:space="preserve">siniestro ocurrido </w:t>
      </w:r>
      <w:r w:rsidR="00E57894" w:rsidRPr="004672D9">
        <w:rPr>
          <w:rFonts w:ascii="Times New Roman" w:hAnsi="Times New Roman"/>
          <w:sz w:val="23"/>
          <w:szCs w:val="23"/>
        </w:rPr>
        <w:t>al producto ACAI Orgánico en polvo (1,000 Kg.)</w:t>
      </w:r>
      <w:r w:rsidR="009703AB" w:rsidRPr="004672D9">
        <w:rPr>
          <w:rFonts w:ascii="Times New Roman" w:hAnsi="Times New Roman"/>
          <w:sz w:val="23"/>
          <w:szCs w:val="23"/>
        </w:rPr>
        <w:t>;</w:t>
      </w:r>
    </w:p>
    <w:p w:rsidR="009703AB" w:rsidRPr="004672D9" w:rsidRDefault="009703AB" w:rsidP="004672D9">
      <w:pPr>
        <w:jc w:val="both"/>
        <w:rPr>
          <w:rFonts w:ascii="Times New Roman" w:eastAsia="Arial Unicode MS" w:hAnsi="Times New Roman"/>
          <w:sz w:val="23"/>
          <w:szCs w:val="23"/>
        </w:rPr>
      </w:pPr>
      <w:r w:rsidRPr="004672D9">
        <w:rPr>
          <w:rFonts w:ascii="Times New Roman" w:eastAsia="Arial Unicode MS" w:hAnsi="Times New Roman"/>
          <w:sz w:val="23"/>
          <w:szCs w:val="23"/>
        </w:rPr>
        <w:t>Que, la señalada reclamación cumple con los requisitos de materia, cuantía y oportunidad establecidos en el Reglamento de la DEFASEG (http://www.defaseg.com.pe/reglamento);</w:t>
      </w:r>
    </w:p>
    <w:p w:rsidR="009703AB" w:rsidRPr="004672D9" w:rsidRDefault="009703AB" w:rsidP="004672D9">
      <w:pPr>
        <w:tabs>
          <w:tab w:val="num" w:pos="720"/>
        </w:tabs>
        <w:jc w:val="both"/>
        <w:rPr>
          <w:rFonts w:ascii="Times New Roman" w:hAnsi="Times New Roman"/>
          <w:sz w:val="23"/>
          <w:szCs w:val="23"/>
        </w:rPr>
      </w:pPr>
      <w:r w:rsidRPr="004672D9">
        <w:rPr>
          <w:rFonts w:ascii="Times New Roman" w:hAnsi="Times New Roman"/>
          <w:sz w:val="23"/>
          <w:szCs w:val="23"/>
        </w:rPr>
        <w:t>Que, habiéndosele corrido traslado de la respectiva reclamación</w:t>
      </w:r>
      <w:proofErr w:type="gramStart"/>
      <w:r w:rsidRPr="004672D9">
        <w:rPr>
          <w:rFonts w:ascii="Times New Roman" w:hAnsi="Times New Roman"/>
          <w:sz w:val="23"/>
          <w:szCs w:val="23"/>
        </w:rPr>
        <w:t xml:space="preserve">, </w:t>
      </w:r>
      <w:r w:rsidR="00E51DF3">
        <w:rPr>
          <w:rFonts w:ascii="Times New Roman" w:hAnsi="Times New Roman"/>
          <w:sz w:val="23"/>
          <w:szCs w:val="23"/>
        </w:rPr>
        <w:t>..................</w:t>
      </w:r>
      <w:proofErr w:type="gramEnd"/>
      <w:r w:rsidRPr="004672D9">
        <w:rPr>
          <w:rFonts w:ascii="Times New Roman" w:hAnsi="Times New Roman"/>
          <w:sz w:val="23"/>
          <w:szCs w:val="23"/>
        </w:rPr>
        <w:t xml:space="preserve"> cumplió con presentar sus respectivos descargos y la documentación solicitada;</w:t>
      </w:r>
    </w:p>
    <w:p w:rsidR="009703AB" w:rsidRPr="004672D9" w:rsidRDefault="009703AB" w:rsidP="004672D9">
      <w:pPr>
        <w:tabs>
          <w:tab w:val="num" w:pos="720"/>
        </w:tabs>
        <w:jc w:val="both"/>
        <w:rPr>
          <w:rFonts w:ascii="Times New Roman" w:hAnsi="Times New Roman"/>
          <w:sz w:val="23"/>
          <w:szCs w:val="23"/>
        </w:rPr>
      </w:pPr>
      <w:r w:rsidRPr="004672D9">
        <w:rPr>
          <w:rFonts w:ascii="Times New Roman" w:hAnsi="Times New Roman"/>
          <w:sz w:val="23"/>
          <w:szCs w:val="23"/>
        </w:rPr>
        <w:t>Que, el 2</w:t>
      </w:r>
      <w:r w:rsidR="00E57894" w:rsidRPr="004672D9">
        <w:rPr>
          <w:rFonts w:ascii="Times New Roman" w:hAnsi="Times New Roman"/>
          <w:sz w:val="23"/>
          <w:szCs w:val="23"/>
        </w:rPr>
        <w:t>5</w:t>
      </w:r>
      <w:r w:rsidRPr="004672D9">
        <w:rPr>
          <w:rFonts w:ascii="Times New Roman" w:hAnsi="Times New Roman"/>
          <w:sz w:val="23"/>
          <w:szCs w:val="23"/>
        </w:rPr>
        <w:t xml:space="preserve"> de </w:t>
      </w:r>
      <w:r w:rsidR="00E57894" w:rsidRPr="004672D9">
        <w:rPr>
          <w:rFonts w:ascii="Times New Roman" w:hAnsi="Times New Roman"/>
          <w:sz w:val="23"/>
          <w:szCs w:val="23"/>
        </w:rPr>
        <w:t>marzo</w:t>
      </w:r>
      <w:r w:rsidRPr="004672D9">
        <w:rPr>
          <w:rFonts w:ascii="Times New Roman" w:hAnsi="Times New Roman"/>
          <w:sz w:val="23"/>
          <w:szCs w:val="23"/>
        </w:rPr>
        <w:t xml:space="preserve"> de 201</w:t>
      </w:r>
      <w:r w:rsidR="00E57894" w:rsidRPr="004672D9">
        <w:rPr>
          <w:rFonts w:ascii="Times New Roman" w:hAnsi="Times New Roman"/>
          <w:sz w:val="23"/>
          <w:szCs w:val="23"/>
        </w:rPr>
        <w:t>9</w:t>
      </w:r>
      <w:r w:rsidRPr="004672D9">
        <w:rPr>
          <w:rFonts w:ascii="Times New Roman" w:hAnsi="Times New Roman"/>
          <w:sz w:val="23"/>
          <w:szCs w:val="23"/>
        </w:rPr>
        <w:t xml:space="preserve"> se realizó la audiencia de vista con la concurrencia de ambas partes, quienes tuvieron oportunidad de exponer sus respectivas posiciones tratándose de la materia reclamada, absolviendo las diversas preguntas que les fueron formuladas;</w:t>
      </w:r>
    </w:p>
    <w:p w:rsidR="00E57894" w:rsidRPr="004672D9" w:rsidRDefault="009703AB" w:rsidP="004672D9">
      <w:pPr>
        <w:jc w:val="both"/>
        <w:rPr>
          <w:rFonts w:ascii="Times New Roman" w:hAnsi="Times New Roman"/>
          <w:sz w:val="23"/>
          <w:szCs w:val="23"/>
          <w:lang w:val="es-MX"/>
        </w:rPr>
      </w:pPr>
      <w:r w:rsidRPr="004672D9">
        <w:rPr>
          <w:rFonts w:ascii="Times New Roman" w:hAnsi="Times New Roman"/>
          <w:sz w:val="23"/>
          <w:szCs w:val="23"/>
        </w:rPr>
        <w:t>Que,</w:t>
      </w:r>
      <w:r w:rsidR="0072483F" w:rsidRPr="004672D9">
        <w:rPr>
          <w:rFonts w:ascii="Times New Roman" w:hAnsi="Times New Roman"/>
          <w:sz w:val="23"/>
          <w:szCs w:val="23"/>
        </w:rPr>
        <w:t xml:space="preserve"> </w:t>
      </w:r>
      <w:r w:rsidRPr="004672D9">
        <w:rPr>
          <w:rFonts w:ascii="Times New Roman" w:hAnsi="Times New Roman"/>
          <w:sz w:val="23"/>
          <w:szCs w:val="23"/>
        </w:rPr>
        <w:t>la reclamante expresa su disconformidad con el rechazo de cobertura, solicitando que la DEFASEG se sirva atender su caso, considerando los antecedentes y fundamentos enunciados resumidamente a continuación:</w:t>
      </w:r>
      <w:r w:rsidR="0072483F" w:rsidRPr="004672D9">
        <w:rPr>
          <w:rFonts w:ascii="Times New Roman" w:hAnsi="Times New Roman"/>
          <w:sz w:val="23"/>
          <w:szCs w:val="23"/>
        </w:rPr>
        <w:t xml:space="preserve"> (1) </w:t>
      </w:r>
      <w:r w:rsidR="00E57894" w:rsidRPr="004672D9">
        <w:rPr>
          <w:rFonts w:ascii="Times New Roman" w:hAnsi="Times New Roman"/>
          <w:sz w:val="23"/>
          <w:szCs w:val="23"/>
          <w:lang w:val="es-MX"/>
        </w:rPr>
        <w:t xml:space="preserve">es una empresa agro exportadora con cuatro años de experiencia en el rubro de </w:t>
      </w:r>
      <w:proofErr w:type="spellStart"/>
      <w:r w:rsidR="00E57894" w:rsidRPr="004672D9">
        <w:rPr>
          <w:rFonts w:ascii="Times New Roman" w:hAnsi="Times New Roman"/>
          <w:sz w:val="23"/>
          <w:szCs w:val="23"/>
          <w:lang w:val="es-MX"/>
        </w:rPr>
        <w:t>Superfoods</w:t>
      </w:r>
      <w:proofErr w:type="spellEnd"/>
      <w:r w:rsidR="00E57894" w:rsidRPr="004672D9">
        <w:rPr>
          <w:rFonts w:ascii="Times New Roman" w:hAnsi="Times New Roman"/>
          <w:sz w:val="23"/>
          <w:szCs w:val="23"/>
          <w:lang w:val="es-MX"/>
        </w:rPr>
        <w:t xml:space="preserve">, que mantiene relación comercial con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desde agosto de 2015; (2) en agosto de 2017 presentó una reclamación de cobertura, debido a una no conformidad en la mercadería exportada a México con fecha 24 de julio de 2017; (3) advierte falta de exactitud en el rechazo al momento de citar fechas en la cronología de la trazabilidad del embarque; (4) no existe un acta de consolidación por parte de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lo cual no da las garantías que la mercadería haya sido almacenada y manipulada adecuadamente. Entiende que ese es el único documento que permite tener la certeza del tiempo de exposición de la carga a algún agente externo en sus instalaciones; (5) la carga fue manipulada por la Brigada de Operaciones Especiales, entidad cuya función dista mucho de evaluar la calidad del producto, la conformidad de dicha brigada no determina la conformidad del producto relacionada a los requisitos del cliente; (6) al inicio de las relaciones comerciales con Terminales Portuarios Peruanos, se le comunicó sobre la correcta manipulación de este tipo de mercadería durante el tránsito, prueba de esto es que realizaron exportaciones del mismo producto con anterioridad tal como consta en las 13 facturas de exportaciones anteriores, correspondientes al mismo producto, las que se realizaron sin contratiempos; (7)  no existe evidencia de una adecuada manipulación de la mercadería por parte de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por lo que no se puede asegurar ello, como lo afirma la aseguradora; (8) el embalaje que se utiliza para los productos consiste en bolsas aluminizadas con zipper y selladas, además de cajas de doble cartón corrugado, la inadecuada manipulación por parte de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ha sido el único causante del estado rancio de la mercadería; (9) las imprecisiones y contradicciones en las que cae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se aprecia en el hecho que dicha aseguradora se retractó en su última carta respecto de una de sus exclusiones (4.4), que no es aplicable puesto que a la fecha del siniestro transcurrieron 2 meses, y la mercadería pertenece a un lote producido en julio del 2017, teniendo 24 meses de vida útil </w:t>
      </w:r>
      <w:r w:rsidR="00E57894" w:rsidRPr="004672D9">
        <w:rPr>
          <w:rFonts w:ascii="Times New Roman" w:hAnsi="Times New Roman"/>
          <w:sz w:val="23"/>
          <w:szCs w:val="23"/>
          <w:lang w:val="es-MX"/>
        </w:rPr>
        <w:lastRenderedPageBreak/>
        <w:t>en condiciones de almacenamiento adecuadas; (10) la última entrega de documentación se realizó el 06 de noviembre de 2018, dejando constancia que completaron toda la información solicitada existente, y no el 21 de noviembre de 2018 como se menciona tanto en la carta del ajustador a la aseguradora del 6 de diciembre de 2018, como en su informe final; (11) cualquier comunicación posterior fue para reafirmar que ya habían enviado toda la información requerida; (12) hubo manipulación de la comunicación por parte del ajustador para aparentar que se está cumpliendo con los tiempos establecidos por la SBS.</w:t>
      </w:r>
    </w:p>
    <w:p w:rsidR="00E57894" w:rsidRPr="004672D9" w:rsidRDefault="0072483F" w:rsidP="004672D9">
      <w:pPr>
        <w:jc w:val="both"/>
        <w:rPr>
          <w:rFonts w:ascii="Times New Roman" w:hAnsi="Times New Roman"/>
          <w:sz w:val="23"/>
          <w:szCs w:val="23"/>
          <w:lang w:val="es-MX"/>
        </w:rPr>
      </w:pPr>
      <w:r w:rsidRPr="004672D9">
        <w:rPr>
          <w:rFonts w:ascii="Times New Roman" w:hAnsi="Times New Roman"/>
          <w:sz w:val="23"/>
          <w:szCs w:val="23"/>
        </w:rPr>
        <w:t>Q</w:t>
      </w:r>
      <w:r w:rsidR="009703AB" w:rsidRPr="004672D9">
        <w:rPr>
          <w:rFonts w:ascii="Times New Roman" w:hAnsi="Times New Roman"/>
          <w:sz w:val="23"/>
          <w:szCs w:val="23"/>
        </w:rPr>
        <w:t xml:space="preserve">ue, por su parte, </w:t>
      </w:r>
      <w:r w:rsidR="00E51DF3">
        <w:rPr>
          <w:rFonts w:ascii="Times New Roman" w:hAnsi="Times New Roman"/>
          <w:sz w:val="23"/>
          <w:szCs w:val="23"/>
        </w:rPr>
        <w:t>..................</w:t>
      </w:r>
      <w:r w:rsidR="009703AB" w:rsidRPr="004672D9">
        <w:rPr>
          <w:rFonts w:ascii="Times New Roman" w:hAnsi="Times New Roman"/>
          <w:sz w:val="23"/>
          <w:szCs w:val="23"/>
        </w:rPr>
        <w:t xml:space="preserve"> solicita que la reclamación sea declarada infundada, atendiendo resumidamente a lo siguiente:</w:t>
      </w:r>
      <w:r w:rsidR="00573CA9" w:rsidRPr="004672D9">
        <w:rPr>
          <w:rFonts w:ascii="Times New Roman" w:hAnsi="Times New Roman"/>
          <w:sz w:val="23"/>
          <w:szCs w:val="23"/>
        </w:rPr>
        <w:t xml:space="preserve"> (1)</w:t>
      </w:r>
      <w:r w:rsidR="00E57894" w:rsidRPr="004672D9">
        <w:rPr>
          <w:rFonts w:ascii="Times New Roman" w:hAnsi="Times New Roman"/>
          <w:sz w:val="23"/>
          <w:szCs w:val="23"/>
        </w:rPr>
        <w:t xml:space="preserve"> </w:t>
      </w:r>
      <w:r w:rsidR="00E57894" w:rsidRPr="004672D9">
        <w:rPr>
          <w:rFonts w:ascii="Times New Roman" w:hAnsi="Times New Roman"/>
          <w:sz w:val="23"/>
          <w:szCs w:val="23"/>
          <w:lang w:val="es-MX"/>
        </w:rPr>
        <w:t xml:space="preserve">de acuerdo a la evaluación de los Ajustadores </w:t>
      </w:r>
      <w:r w:rsidR="00E51DF3">
        <w:rPr>
          <w:rFonts w:ascii="Times New Roman" w:hAnsi="Times New Roman"/>
          <w:sz w:val="23"/>
          <w:szCs w:val="23"/>
          <w:lang w:val="es-MX"/>
        </w:rPr>
        <w:t>..................</w:t>
      </w:r>
      <w:r w:rsidR="00E57894" w:rsidRPr="004672D9">
        <w:rPr>
          <w:rFonts w:ascii="Times New Roman" w:hAnsi="Times New Roman"/>
          <w:sz w:val="23"/>
          <w:szCs w:val="23"/>
          <w:lang w:val="es-MX"/>
        </w:rPr>
        <w:t>, el siniestro no cuenta con cobertura por cuanto, se verifica que el radio de acción</w:t>
      </w:r>
      <w:r w:rsidR="002A2E97" w:rsidRPr="004672D9">
        <w:rPr>
          <w:rFonts w:ascii="Times New Roman" w:hAnsi="Times New Roman"/>
          <w:sz w:val="23"/>
          <w:szCs w:val="23"/>
          <w:lang w:val="es-MX"/>
        </w:rPr>
        <w:t xml:space="preserve"> del seguro</w:t>
      </w:r>
      <w:r w:rsidR="00E57894" w:rsidRPr="004672D9">
        <w:rPr>
          <w:rFonts w:ascii="Times New Roman" w:hAnsi="Times New Roman"/>
          <w:sz w:val="23"/>
          <w:szCs w:val="23"/>
          <w:lang w:val="es-MX"/>
        </w:rPr>
        <w:t xml:space="preserve">, al estar sujeto a los términos del contrato (incoterms), termina cuando se lleva la mercadería al puerto de embarque convenido (FOB), motivo por el cual, al no establecerse la existencia de algún agente externo que haya originado el daño y </w:t>
      </w:r>
      <w:r w:rsidR="002A2E97" w:rsidRPr="004672D9">
        <w:rPr>
          <w:rFonts w:ascii="Times New Roman" w:hAnsi="Times New Roman"/>
          <w:sz w:val="23"/>
          <w:szCs w:val="23"/>
          <w:lang w:val="es-MX"/>
        </w:rPr>
        <w:t xml:space="preserve">al </w:t>
      </w:r>
      <w:r w:rsidR="00E57894" w:rsidRPr="004672D9">
        <w:rPr>
          <w:rFonts w:ascii="Times New Roman" w:hAnsi="Times New Roman"/>
          <w:sz w:val="23"/>
          <w:szCs w:val="23"/>
          <w:lang w:val="es-MX"/>
        </w:rPr>
        <w:t>despacharse la mercadería dentro de los parámetros adecuados de exportación</w:t>
      </w:r>
      <w:r w:rsidR="002A2E97" w:rsidRPr="004672D9">
        <w:rPr>
          <w:rFonts w:ascii="Times New Roman" w:hAnsi="Times New Roman"/>
          <w:sz w:val="23"/>
          <w:szCs w:val="23"/>
          <w:lang w:val="es-MX"/>
        </w:rPr>
        <w:t>, el siniestro no habría ocurrido en ese radio de acción; (2)</w:t>
      </w:r>
      <w:r w:rsidR="00E57894" w:rsidRPr="004672D9">
        <w:rPr>
          <w:rFonts w:ascii="Times New Roman" w:hAnsi="Times New Roman"/>
          <w:sz w:val="23"/>
          <w:szCs w:val="23"/>
          <w:lang w:val="es-MX"/>
        </w:rPr>
        <w:t xml:space="preserve"> conforme a la evaluación del Ajustador de Seguros, los daños observados son a consecuencia de la exposición de la mercadería al sol, hecho que es atribuible a una inadecuada preparación del interés asegurado, lo cual incluye las instrucciones para su correcta manipulación durante el tránsito, lo que resulta comprendido como exclusión en el artículo 4.3 y 4.4 de la Póliza</w:t>
      </w:r>
      <w:r w:rsidR="002A2E97" w:rsidRPr="004672D9">
        <w:rPr>
          <w:rFonts w:ascii="Times New Roman" w:hAnsi="Times New Roman"/>
          <w:sz w:val="23"/>
          <w:szCs w:val="23"/>
          <w:lang w:val="es-MX"/>
        </w:rPr>
        <w:t xml:space="preserve">; (3) </w:t>
      </w:r>
      <w:r w:rsidR="00E57894" w:rsidRPr="004672D9">
        <w:rPr>
          <w:rFonts w:ascii="Times New Roman" w:hAnsi="Times New Roman"/>
          <w:sz w:val="23"/>
          <w:szCs w:val="23"/>
          <w:lang w:val="es-MX"/>
        </w:rPr>
        <w:t xml:space="preserve">el Siniestro ocurrido el día 04 de septiembre de 2017, consistió en la pérdida de 1000 kg de ACAI en polvo que arribaron al puerto de Manzanillo México el 06 de agosto de 2018, en estado rancio, a consecuencia de su exposición al calor durante el tránsito de exportación desde el puerto del Callao a bordo de la nave </w:t>
      </w:r>
      <w:r w:rsidR="00E51DF3">
        <w:rPr>
          <w:rFonts w:ascii="Times New Roman" w:hAnsi="Times New Roman"/>
          <w:sz w:val="23"/>
          <w:szCs w:val="23"/>
          <w:lang w:val="es-MX"/>
        </w:rPr>
        <w:t>..................</w:t>
      </w:r>
      <w:r w:rsidR="002A2E97" w:rsidRPr="004672D9">
        <w:rPr>
          <w:rFonts w:ascii="Times New Roman" w:hAnsi="Times New Roman"/>
          <w:sz w:val="23"/>
          <w:szCs w:val="23"/>
          <w:lang w:val="es-MX"/>
        </w:rPr>
        <w:t xml:space="preserve">; (4) </w:t>
      </w:r>
      <w:r w:rsidR="00E57894" w:rsidRPr="004672D9">
        <w:rPr>
          <w:rFonts w:ascii="Times New Roman" w:hAnsi="Times New Roman"/>
          <w:sz w:val="23"/>
          <w:szCs w:val="23"/>
          <w:lang w:val="es-MX"/>
        </w:rPr>
        <w:t>los daños se produjeron durante el tránsito desde el Callao hasta el puerto de Manzanillo – México, al no haber evidencia de la acción de algún agente externo durante el lapso que la carga salió desde su local el 24 de julio de 2017 y el 30 de julio de 2017 que la embarcaron a bordo de la nave</w:t>
      </w:r>
      <w:r w:rsidR="002A2E97" w:rsidRPr="004672D9">
        <w:rPr>
          <w:rFonts w:ascii="Times New Roman" w:hAnsi="Times New Roman"/>
          <w:sz w:val="23"/>
          <w:szCs w:val="23"/>
          <w:lang w:val="es-MX"/>
        </w:rPr>
        <w:t xml:space="preserve">; (5) </w:t>
      </w:r>
      <w:r w:rsidR="00E57894" w:rsidRPr="004672D9">
        <w:rPr>
          <w:rFonts w:ascii="Times New Roman" w:hAnsi="Times New Roman"/>
          <w:sz w:val="23"/>
          <w:szCs w:val="23"/>
          <w:lang w:val="es-MX"/>
        </w:rPr>
        <w:t xml:space="preserve">si bien no hay un acta de consolidación emitida por el terminal de </w:t>
      </w:r>
      <w:r w:rsidR="00E51DF3">
        <w:rPr>
          <w:rFonts w:ascii="Times New Roman" w:hAnsi="Times New Roman"/>
          <w:sz w:val="23"/>
          <w:szCs w:val="23"/>
          <w:lang w:val="es-MX"/>
        </w:rPr>
        <w:t>..................</w:t>
      </w:r>
      <w:r w:rsidR="00E57894" w:rsidRPr="004672D9">
        <w:rPr>
          <w:rFonts w:ascii="Times New Roman" w:hAnsi="Times New Roman"/>
          <w:sz w:val="23"/>
          <w:szCs w:val="23"/>
          <w:lang w:val="es-MX"/>
        </w:rPr>
        <w:t>, el 30 de julio de 2017 la carga fue inspeccionada conforme, por la Brigada de Operaciones Especiales (BOE-Marítima) de SUNAT-Aduanas</w:t>
      </w:r>
      <w:r w:rsidR="002A2E97" w:rsidRPr="004672D9">
        <w:rPr>
          <w:rFonts w:ascii="Times New Roman" w:hAnsi="Times New Roman"/>
          <w:sz w:val="23"/>
          <w:szCs w:val="23"/>
          <w:lang w:val="es-MX"/>
        </w:rPr>
        <w:t xml:space="preserve">; (6) </w:t>
      </w:r>
      <w:r w:rsidR="00E57894" w:rsidRPr="004672D9">
        <w:rPr>
          <w:rFonts w:ascii="Times New Roman" w:hAnsi="Times New Roman"/>
          <w:sz w:val="23"/>
          <w:szCs w:val="23"/>
          <w:lang w:val="es-MX"/>
        </w:rPr>
        <w:t xml:space="preserve">conforme consta en el correo que el asegurado remitió a los ajustadores el 21 de noviembre de 2018, éste reconoce que no dio instrucciones por escrito a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sobre los cuidados especiales que se deben tener en cuenta con su carga, instrucciones que forman parte de la correcta preparación de un cargamento</w:t>
      </w:r>
      <w:r w:rsidR="002A2E97" w:rsidRPr="004672D9">
        <w:rPr>
          <w:rFonts w:ascii="Times New Roman" w:hAnsi="Times New Roman"/>
          <w:sz w:val="23"/>
          <w:szCs w:val="23"/>
          <w:lang w:val="es-MX"/>
        </w:rPr>
        <w:t xml:space="preserve">; (7) </w:t>
      </w:r>
      <w:r w:rsidR="00E57894" w:rsidRPr="004672D9">
        <w:rPr>
          <w:rFonts w:ascii="Times New Roman" w:hAnsi="Times New Roman"/>
          <w:sz w:val="23"/>
          <w:szCs w:val="23"/>
          <w:lang w:val="es-MX"/>
        </w:rPr>
        <w:t xml:space="preserve">no existe evidencia </w:t>
      </w:r>
      <w:r w:rsidR="002A2E97" w:rsidRPr="004672D9">
        <w:rPr>
          <w:rFonts w:ascii="Times New Roman" w:hAnsi="Times New Roman"/>
          <w:sz w:val="23"/>
          <w:szCs w:val="23"/>
          <w:lang w:val="es-MX"/>
        </w:rPr>
        <w:t xml:space="preserve">de </w:t>
      </w:r>
      <w:r w:rsidR="00E57894" w:rsidRPr="004672D9">
        <w:rPr>
          <w:rFonts w:ascii="Times New Roman" w:hAnsi="Times New Roman"/>
          <w:sz w:val="23"/>
          <w:szCs w:val="23"/>
          <w:lang w:val="es-MX"/>
        </w:rPr>
        <w:t xml:space="preserve">que el único causante del siniestro haya sido la inadecuada manipulación de la mercadería por parte del terminal </w:t>
      </w:r>
      <w:r w:rsidR="00E51DF3">
        <w:rPr>
          <w:rFonts w:ascii="Times New Roman" w:hAnsi="Times New Roman"/>
          <w:sz w:val="23"/>
          <w:szCs w:val="23"/>
          <w:lang w:val="es-MX"/>
        </w:rPr>
        <w:t>..................</w:t>
      </w:r>
      <w:r w:rsidR="002A2E97" w:rsidRPr="004672D9">
        <w:rPr>
          <w:rFonts w:ascii="Times New Roman" w:hAnsi="Times New Roman"/>
          <w:sz w:val="23"/>
          <w:szCs w:val="23"/>
          <w:lang w:val="es-MX"/>
        </w:rPr>
        <w:t xml:space="preserve">; (8) </w:t>
      </w:r>
      <w:r w:rsidR="00E57894" w:rsidRPr="004672D9">
        <w:rPr>
          <w:rFonts w:ascii="Times New Roman" w:hAnsi="Times New Roman"/>
          <w:sz w:val="23"/>
          <w:szCs w:val="23"/>
          <w:lang w:val="es-MX"/>
        </w:rPr>
        <w:t xml:space="preserve">de la revisión del siniestro sólo toman en cuenta la exclusión señalada en el artículo 4.3, </w:t>
      </w:r>
      <w:r w:rsidR="002A2E97" w:rsidRPr="004672D9">
        <w:rPr>
          <w:rFonts w:ascii="Times New Roman" w:hAnsi="Times New Roman"/>
          <w:sz w:val="23"/>
          <w:szCs w:val="23"/>
          <w:lang w:val="es-MX"/>
        </w:rPr>
        <w:t>considerando</w:t>
      </w:r>
      <w:r w:rsidR="00E57894" w:rsidRPr="004672D9">
        <w:rPr>
          <w:rFonts w:ascii="Times New Roman" w:hAnsi="Times New Roman"/>
          <w:sz w:val="23"/>
          <w:szCs w:val="23"/>
          <w:lang w:val="es-MX"/>
        </w:rPr>
        <w:t xml:space="preserve"> que como informa el ajustador, la correcta preparación de un cargamento incluye también las instrucciones o cuidados especiales para la correcta manipulación de los productos , lo cual el asegurado no cumplió, conforme lo reconoce en su correo de fecha 22 de noviembre de 2018, al confirmar que no habían dado ninguna indicación a </w:t>
      </w:r>
      <w:r w:rsidR="00E51DF3">
        <w:rPr>
          <w:rFonts w:ascii="Times New Roman" w:hAnsi="Times New Roman"/>
          <w:sz w:val="23"/>
          <w:szCs w:val="23"/>
          <w:lang w:val="es-MX"/>
        </w:rPr>
        <w:t>..................</w:t>
      </w:r>
      <w:r w:rsidR="002A2E97" w:rsidRPr="004672D9">
        <w:rPr>
          <w:rFonts w:ascii="Times New Roman" w:hAnsi="Times New Roman"/>
          <w:sz w:val="23"/>
          <w:szCs w:val="23"/>
          <w:lang w:val="es-MX"/>
        </w:rPr>
        <w:t>; (8)</w:t>
      </w:r>
      <w:r w:rsidR="00D44A03" w:rsidRPr="004672D9">
        <w:rPr>
          <w:rFonts w:ascii="Times New Roman" w:hAnsi="Times New Roman"/>
          <w:sz w:val="23"/>
          <w:szCs w:val="23"/>
          <w:lang w:val="es-MX"/>
        </w:rPr>
        <w:t xml:space="preserve"> </w:t>
      </w:r>
      <w:r w:rsidR="00E57894" w:rsidRPr="004672D9">
        <w:rPr>
          <w:rFonts w:ascii="Times New Roman" w:hAnsi="Times New Roman"/>
          <w:sz w:val="23"/>
          <w:szCs w:val="23"/>
          <w:lang w:val="es-MX"/>
        </w:rPr>
        <w:t>la causa del siniestro fue una considerable exposición del producto al sol</w:t>
      </w:r>
      <w:r w:rsidR="00D44A03" w:rsidRPr="004672D9">
        <w:rPr>
          <w:rFonts w:ascii="Times New Roman" w:hAnsi="Times New Roman"/>
          <w:sz w:val="23"/>
          <w:szCs w:val="23"/>
          <w:lang w:val="es-MX"/>
        </w:rPr>
        <w:t xml:space="preserve">; (9) </w:t>
      </w:r>
      <w:r w:rsidR="00E57894" w:rsidRPr="004672D9">
        <w:rPr>
          <w:rFonts w:ascii="Times New Roman" w:hAnsi="Times New Roman"/>
          <w:sz w:val="23"/>
          <w:szCs w:val="23"/>
          <w:lang w:val="es-MX"/>
        </w:rPr>
        <w:t xml:space="preserve">a efectos de determinar en qué momento del trayecto de la mercadería (Locales del asegurado a Puerto del Callao – Puerto del Callao a contenedor de la embarcación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 Embarcación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a Puerto de México) se habría producido el daño (la considerable exposición al sol), los ajustadores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realizaron las investigaciones correspondientes en base a los documentos e información aportada por el propio asegurado según su obligación de acreditar el siniestro, sus causas y sus circunstancias</w:t>
      </w:r>
      <w:r w:rsidR="00D44A03" w:rsidRPr="004672D9">
        <w:rPr>
          <w:rFonts w:ascii="Times New Roman" w:hAnsi="Times New Roman"/>
          <w:sz w:val="23"/>
          <w:szCs w:val="23"/>
          <w:lang w:val="es-MX"/>
        </w:rPr>
        <w:t xml:space="preserve">; (10) </w:t>
      </w:r>
      <w:r w:rsidR="00E57894" w:rsidRPr="004672D9">
        <w:rPr>
          <w:rFonts w:ascii="Times New Roman" w:hAnsi="Times New Roman"/>
          <w:sz w:val="23"/>
          <w:szCs w:val="23"/>
          <w:lang w:val="es-MX"/>
        </w:rPr>
        <w:t xml:space="preserve">durante la primera etapa del trayecto (Locales del asegurado a Puerto del Callao) no se habría generado el daño de la mercadería, pues no se estableció la existencia de algún agente externo (fisuras, golpes, </w:t>
      </w:r>
      <w:r w:rsidR="00E57894" w:rsidRPr="004672D9">
        <w:rPr>
          <w:rFonts w:ascii="Times New Roman" w:hAnsi="Times New Roman"/>
          <w:sz w:val="23"/>
          <w:szCs w:val="23"/>
          <w:lang w:val="es-MX"/>
        </w:rPr>
        <w:lastRenderedPageBreak/>
        <w:t>mojadura, entre otros) que haya permitido la afectación del cargamento apreciándose también que el producto se encontraba perfectamente bien empacado y antes de ser embarcado presentó una óptima condición</w:t>
      </w:r>
      <w:r w:rsidR="00D44A03" w:rsidRPr="004672D9">
        <w:rPr>
          <w:rFonts w:ascii="Times New Roman" w:hAnsi="Times New Roman"/>
          <w:sz w:val="23"/>
          <w:szCs w:val="23"/>
          <w:lang w:val="es-MX"/>
        </w:rPr>
        <w:t xml:space="preserve">; (11) </w:t>
      </w:r>
      <w:r w:rsidR="00E57894" w:rsidRPr="004672D9">
        <w:rPr>
          <w:rFonts w:ascii="Times New Roman" w:hAnsi="Times New Roman"/>
          <w:sz w:val="23"/>
          <w:szCs w:val="23"/>
          <w:lang w:val="es-MX"/>
        </w:rPr>
        <w:t xml:space="preserve">durante la segunda etapa del trayecto (Puerto del Callao a contenedor de la embarcación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era materialmente imposible que la mercadería haya sido expuesta al sol considerablemente, pues el mismo día 24 de julio del 2017 se realizó el traslado de la mercadería del local del asegurado al almacén de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y el embarque en el contenedor de la nave </w:t>
      </w:r>
      <w:r w:rsidR="00E51DF3">
        <w:rPr>
          <w:rFonts w:ascii="Times New Roman" w:hAnsi="Times New Roman"/>
          <w:sz w:val="23"/>
          <w:szCs w:val="23"/>
          <w:lang w:val="es-MX"/>
        </w:rPr>
        <w:t>..................</w:t>
      </w:r>
      <w:r w:rsidR="00E57894" w:rsidRPr="004672D9">
        <w:rPr>
          <w:rFonts w:ascii="Times New Roman" w:hAnsi="Times New Roman"/>
          <w:sz w:val="23"/>
          <w:szCs w:val="23"/>
          <w:lang w:val="es-MX"/>
        </w:rPr>
        <w:t>, por lo que se acreditó que el daño a la mercadería no se había dado en esa etapa</w:t>
      </w:r>
      <w:r w:rsidR="00D44A03" w:rsidRPr="004672D9">
        <w:rPr>
          <w:rFonts w:ascii="Times New Roman" w:hAnsi="Times New Roman"/>
          <w:sz w:val="23"/>
          <w:szCs w:val="23"/>
          <w:lang w:val="es-MX"/>
        </w:rPr>
        <w:t xml:space="preserve">; (12) </w:t>
      </w:r>
      <w:r w:rsidR="00E57894" w:rsidRPr="004672D9">
        <w:rPr>
          <w:rFonts w:ascii="Times New Roman" w:hAnsi="Times New Roman"/>
          <w:sz w:val="23"/>
          <w:szCs w:val="23"/>
          <w:lang w:val="es-MX"/>
        </w:rPr>
        <w:t xml:space="preserve">durante la tercera etapa de la trayectoria de la mercadería (Embarcación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a Puerto de México), no existe cobertura por ausencia del radio de acción de la póliza, debido  a que esta solo cubre siniestros que surgieran desde los depósitos del asegurado en el Perú hasta los almacenes finales de los consignatarios en cualquier parte del mundo vía cualquier puerto y/o aeropuerto incluyendo conexiones terrestres, sujeto a los términos del contrato de compra venta (incoterms), siendo que en el presente caso el contrato era uno de tipo FOB (Free </w:t>
      </w:r>
      <w:proofErr w:type="spellStart"/>
      <w:r w:rsidR="00E57894" w:rsidRPr="004672D9">
        <w:rPr>
          <w:rFonts w:ascii="Times New Roman" w:hAnsi="Times New Roman"/>
          <w:sz w:val="23"/>
          <w:szCs w:val="23"/>
          <w:lang w:val="es-MX"/>
        </w:rPr>
        <w:t>On</w:t>
      </w:r>
      <w:proofErr w:type="spellEnd"/>
      <w:r w:rsidR="00E57894" w:rsidRPr="004672D9">
        <w:rPr>
          <w:rFonts w:ascii="Times New Roman" w:hAnsi="Times New Roman"/>
          <w:sz w:val="23"/>
          <w:szCs w:val="23"/>
          <w:lang w:val="es-MX"/>
        </w:rPr>
        <w:t xml:space="preserve"> </w:t>
      </w:r>
      <w:proofErr w:type="spellStart"/>
      <w:r w:rsidR="00E57894" w:rsidRPr="004672D9">
        <w:rPr>
          <w:rFonts w:ascii="Times New Roman" w:hAnsi="Times New Roman"/>
          <w:sz w:val="23"/>
          <w:szCs w:val="23"/>
          <w:lang w:val="es-MX"/>
        </w:rPr>
        <w:t>Board</w:t>
      </w:r>
      <w:proofErr w:type="spellEnd"/>
      <w:r w:rsidR="00E57894" w:rsidRPr="004672D9">
        <w:rPr>
          <w:rFonts w:ascii="Times New Roman" w:hAnsi="Times New Roman"/>
          <w:sz w:val="23"/>
          <w:szCs w:val="23"/>
          <w:lang w:val="es-MX"/>
        </w:rPr>
        <w:t>); por lo que, una vez que la mercadería es puesta a bordo del buque o nave, a partir de dicho punto la responsabilidad recae sobre el receptor (comprador) debiendo este asumir cualquier riesgo y ya no el vendedor (asegurado)</w:t>
      </w:r>
      <w:r w:rsidR="00D44A03" w:rsidRPr="004672D9">
        <w:rPr>
          <w:rFonts w:ascii="Times New Roman" w:hAnsi="Times New Roman"/>
          <w:sz w:val="23"/>
          <w:szCs w:val="23"/>
          <w:lang w:val="es-MX"/>
        </w:rPr>
        <w:t xml:space="preserve">; (13) </w:t>
      </w:r>
      <w:r w:rsidR="00E57894" w:rsidRPr="004672D9">
        <w:rPr>
          <w:rFonts w:ascii="Times New Roman" w:hAnsi="Times New Roman"/>
          <w:sz w:val="23"/>
          <w:szCs w:val="23"/>
          <w:lang w:val="es-MX"/>
        </w:rPr>
        <w:t xml:space="preserve">en el supuesto negado que se considere que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fue la responsable de los daños, el siniestro tampoco gozaría de cobertura, por no haber brindado el asegurado instrucciones a </w:t>
      </w:r>
      <w:r w:rsidR="00E51DF3">
        <w:rPr>
          <w:rFonts w:ascii="Times New Roman" w:hAnsi="Times New Roman"/>
          <w:sz w:val="23"/>
          <w:szCs w:val="23"/>
          <w:lang w:val="es-MX"/>
        </w:rPr>
        <w:t>..................</w:t>
      </w:r>
      <w:r w:rsidR="00E57894" w:rsidRPr="004672D9">
        <w:rPr>
          <w:rFonts w:ascii="Times New Roman" w:hAnsi="Times New Roman"/>
          <w:sz w:val="23"/>
          <w:szCs w:val="23"/>
          <w:lang w:val="es-MX"/>
        </w:rPr>
        <w:t xml:space="preserve"> sobre la adecuada manipulación y cuidados especiales que requería la mercancía</w:t>
      </w:r>
      <w:r w:rsidR="00D44A03" w:rsidRPr="004672D9">
        <w:rPr>
          <w:rFonts w:ascii="Times New Roman" w:hAnsi="Times New Roman"/>
          <w:sz w:val="23"/>
          <w:szCs w:val="23"/>
          <w:lang w:val="es-MX"/>
        </w:rPr>
        <w:t>; (14) r</w:t>
      </w:r>
      <w:r w:rsidR="00E57894" w:rsidRPr="004672D9">
        <w:rPr>
          <w:rFonts w:ascii="Times New Roman" w:hAnsi="Times New Roman"/>
          <w:sz w:val="23"/>
          <w:szCs w:val="23"/>
          <w:lang w:val="es-MX"/>
        </w:rPr>
        <w:t>especto del supuesto siniestro consentido, aclara que el artículo 74° de la Ley del Contrato de Seguro no contempla el supuesto de hecho en el cual el asegurado no cumpla con completar la documentación y aun así el ajustador haya emitido su Informe Final rechazando el siniestro, como en este caso</w:t>
      </w:r>
      <w:r w:rsidR="00D44A03" w:rsidRPr="004672D9">
        <w:rPr>
          <w:rFonts w:ascii="Times New Roman" w:hAnsi="Times New Roman"/>
          <w:sz w:val="23"/>
          <w:szCs w:val="23"/>
          <w:lang w:val="es-MX"/>
        </w:rPr>
        <w:t xml:space="preserve">; (15) </w:t>
      </w:r>
      <w:r w:rsidR="00E57894" w:rsidRPr="004672D9">
        <w:rPr>
          <w:rFonts w:ascii="Times New Roman" w:hAnsi="Times New Roman"/>
          <w:sz w:val="23"/>
          <w:szCs w:val="23"/>
          <w:lang w:val="es-MX"/>
        </w:rPr>
        <w:t>en el supuesto de hecho en que el asegurado no complete la información y/o documentación necesaria para el análisis del siniestro, no se debe computar ningún plazo, y es que, es recién con el informe final del ajustador cuando la aseguradora puede pronunciarse</w:t>
      </w:r>
      <w:r w:rsidR="00D44A03" w:rsidRPr="004672D9">
        <w:rPr>
          <w:rFonts w:ascii="Times New Roman" w:hAnsi="Times New Roman"/>
          <w:sz w:val="23"/>
          <w:szCs w:val="23"/>
          <w:lang w:val="es-MX"/>
        </w:rPr>
        <w:t xml:space="preserve">; (16) </w:t>
      </w:r>
      <w:r w:rsidR="00E57894" w:rsidRPr="004672D9">
        <w:rPr>
          <w:rFonts w:ascii="Times New Roman" w:hAnsi="Times New Roman"/>
          <w:sz w:val="23"/>
          <w:szCs w:val="23"/>
          <w:lang w:val="es-MX"/>
        </w:rPr>
        <w:t>en el presente caso, mediante correo electrónico</w:t>
      </w:r>
      <w:r w:rsidR="00311319" w:rsidRPr="004672D9">
        <w:rPr>
          <w:rFonts w:ascii="Times New Roman" w:hAnsi="Times New Roman"/>
          <w:sz w:val="23"/>
          <w:szCs w:val="23"/>
          <w:lang w:val="es-MX"/>
        </w:rPr>
        <w:t xml:space="preserve"> de fecha 20 de diciembre de 2017,</w:t>
      </w:r>
      <w:r w:rsidR="00E57894" w:rsidRPr="004672D9">
        <w:rPr>
          <w:rFonts w:ascii="Times New Roman" w:hAnsi="Times New Roman"/>
          <w:sz w:val="23"/>
          <w:szCs w:val="23"/>
          <w:lang w:val="es-MX"/>
        </w:rPr>
        <w:t xml:space="preserve"> el ajustador le solicitó al asegurado dos documentos importantes a fin de analizar la cobertura del siniestro: i) el Acta de Consolidación de Mercancía y ii) las instrucciones de manipulación especial de la mercancía. El asegurado no brindó documento sobre el Acta de Consolidación de Mercancía, de esta manera materialmente nunca se completó toda la documentación necesaria y exigida por el ajustador, por lo que el plazo establecido para el pronunciamiento de la aseguradora nunca empezó a computarse.</w:t>
      </w:r>
    </w:p>
    <w:p w:rsidR="007257B0" w:rsidRPr="004672D9" w:rsidRDefault="007257B0" w:rsidP="004672D9">
      <w:pPr>
        <w:jc w:val="both"/>
        <w:rPr>
          <w:rFonts w:ascii="Times New Roman" w:hAnsi="Times New Roman"/>
          <w:sz w:val="23"/>
          <w:szCs w:val="23"/>
        </w:rPr>
      </w:pPr>
      <w:r w:rsidRPr="004672D9">
        <w:rPr>
          <w:rFonts w:ascii="Times New Roman" w:hAnsi="Times New Roman"/>
          <w:sz w:val="23"/>
          <w:szCs w:val="23"/>
        </w:rPr>
        <w:t>Que, a la fecha, el estado del proceso permite que el colegiado pueda expedir su pronunciamiento sobre el presente caso sometido a su conocimiento;</w:t>
      </w:r>
    </w:p>
    <w:p w:rsidR="007F1530" w:rsidRPr="004672D9" w:rsidRDefault="00B36486" w:rsidP="004672D9">
      <w:pPr>
        <w:spacing w:line="240" w:lineRule="auto"/>
        <w:jc w:val="both"/>
        <w:rPr>
          <w:rFonts w:ascii="Times New Roman" w:hAnsi="Times New Roman"/>
          <w:b/>
          <w:sz w:val="23"/>
          <w:szCs w:val="23"/>
        </w:rPr>
      </w:pPr>
      <w:r w:rsidRPr="004672D9">
        <w:rPr>
          <w:rFonts w:ascii="Times New Roman" w:hAnsi="Times New Roman"/>
          <w:b/>
          <w:sz w:val="23"/>
          <w:szCs w:val="23"/>
        </w:rPr>
        <w:t>CONSIDERANDO:</w:t>
      </w:r>
      <w:r w:rsidR="0059543A" w:rsidRPr="004672D9">
        <w:rPr>
          <w:rFonts w:ascii="Times New Roman" w:hAnsi="Times New Roman"/>
          <w:b/>
          <w:sz w:val="23"/>
          <w:szCs w:val="23"/>
        </w:rPr>
        <w:t xml:space="preserve"> </w:t>
      </w:r>
    </w:p>
    <w:p w:rsidR="007257B0" w:rsidRPr="004672D9" w:rsidRDefault="007257B0" w:rsidP="004672D9">
      <w:pPr>
        <w:jc w:val="both"/>
        <w:rPr>
          <w:rStyle w:val="Textoennegrita"/>
          <w:rFonts w:ascii="Times New Roman" w:hAnsi="Times New Roman"/>
          <w:b w:val="0"/>
          <w:sz w:val="23"/>
          <w:szCs w:val="23"/>
        </w:rPr>
      </w:pPr>
      <w:r w:rsidRPr="004672D9">
        <w:rPr>
          <w:rFonts w:ascii="Times New Roman" w:hAnsi="Times New Roman"/>
          <w:b/>
          <w:sz w:val="23"/>
          <w:szCs w:val="23"/>
          <w:u w:val="single"/>
        </w:rPr>
        <w:t>PRIMERO</w:t>
      </w:r>
      <w:r w:rsidRPr="004672D9">
        <w:rPr>
          <w:rFonts w:ascii="Times New Roman" w:hAnsi="Times New Roman"/>
          <w:sz w:val="23"/>
          <w:szCs w:val="23"/>
        </w:rPr>
        <w:t xml:space="preserve">: Conforme al Reglamento de la Defensoría del Asegurado, </w:t>
      </w:r>
      <w:r w:rsidRPr="004672D9">
        <w:rPr>
          <w:rStyle w:val="Textoennegrita"/>
          <w:rFonts w:ascii="Times New Roman" w:hAnsi="Times New Roman"/>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7257B0" w:rsidRPr="004672D9" w:rsidRDefault="007257B0" w:rsidP="004672D9">
      <w:pPr>
        <w:jc w:val="both"/>
        <w:rPr>
          <w:rFonts w:ascii="Times New Roman" w:hAnsi="Times New Roman"/>
          <w:sz w:val="23"/>
          <w:szCs w:val="23"/>
        </w:rPr>
      </w:pPr>
      <w:r w:rsidRPr="004672D9">
        <w:rPr>
          <w:rFonts w:ascii="Times New Roman" w:hAnsi="Times New Roman"/>
          <w:b/>
          <w:sz w:val="23"/>
          <w:szCs w:val="23"/>
          <w:u w:val="single"/>
        </w:rPr>
        <w:t>SEGUNDO</w:t>
      </w:r>
      <w:r w:rsidRPr="004672D9">
        <w:rPr>
          <w:rFonts w:ascii="Times New Roman" w:hAnsi="Times New Roman"/>
          <w:sz w:val="23"/>
          <w:szCs w:val="23"/>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w:t>
      </w:r>
      <w:r w:rsidRPr="004672D9">
        <w:rPr>
          <w:rFonts w:ascii="Times New Roman" w:hAnsi="Times New Roman"/>
          <w:sz w:val="23"/>
          <w:szCs w:val="23"/>
        </w:rPr>
        <w:lastRenderedPageBreak/>
        <w:t>renta u otras prestaciones convenidas, enmarcado en una póliza que la aseguradora debe entregar al contratante, y cuyos requisitos mínimos están previstos en el artículo 26 de la señalada ley.</w:t>
      </w:r>
    </w:p>
    <w:p w:rsidR="007257B0" w:rsidRPr="004672D9" w:rsidRDefault="007257B0" w:rsidP="004672D9">
      <w:pPr>
        <w:contextualSpacing/>
        <w:jc w:val="both"/>
        <w:rPr>
          <w:rFonts w:ascii="Times New Roman" w:hAnsi="Times New Roman"/>
          <w:sz w:val="23"/>
          <w:szCs w:val="23"/>
        </w:rPr>
      </w:pPr>
      <w:r w:rsidRPr="004672D9">
        <w:rPr>
          <w:rStyle w:val="Textoennegrita"/>
          <w:rFonts w:ascii="Times New Roman" w:hAnsi="Times New Roman"/>
          <w:sz w:val="23"/>
          <w:szCs w:val="23"/>
          <w:u w:val="single"/>
        </w:rPr>
        <w:t>TERCERO</w:t>
      </w:r>
      <w:r w:rsidRPr="004672D9">
        <w:rPr>
          <w:rStyle w:val="Textoennegrita"/>
          <w:rFonts w:ascii="Times New Roman" w:hAnsi="Times New Roman"/>
          <w:sz w:val="23"/>
          <w:szCs w:val="23"/>
        </w:rPr>
        <w:t>:</w:t>
      </w:r>
      <w:r w:rsidRPr="004672D9">
        <w:rPr>
          <w:rFonts w:ascii="Times New Roman" w:hAnsi="Times New Roman"/>
          <w:sz w:val="23"/>
          <w:szCs w:val="23"/>
        </w:rPr>
        <w:t xml:space="preserve"> Que, el artículo 1361 del Código Civil dispone que los contratos </w:t>
      </w:r>
      <w:proofErr w:type="gramStart"/>
      <w:r w:rsidRPr="004672D9">
        <w:rPr>
          <w:rFonts w:ascii="Times New Roman" w:hAnsi="Times New Roman"/>
          <w:sz w:val="23"/>
          <w:szCs w:val="23"/>
        </w:rPr>
        <w:t>son</w:t>
      </w:r>
      <w:proofErr w:type="gramEnd"/>
      <w:r w:rsidRPr="004672D9">
        <w:rPr>
          <w:rFonts w:ascii="Times New Roman" w:hAnsi="Times New Roman"/>
          <w:sz w:val="23"/>
          <w:szCs w:val="23"/>
        </w:rPr>
        <w:t xml:space="preserve"> obligatorios en cuanto se haya expresado en ellos, presumiéndose que lo declarado es lo querido por ambas partes, de manera que la parte que sostenga lo contrario debe probarlo.</w:t>
      </w:r>
    </w:p>
    <w:p w:rsidR="007257B0" w:rsidRPr="004672D9" w:rsidRDefault="007257B0" w:rsidP="004672D9">
      <w:pPr>
        <w:contextualSpacing/>
        <w:jc w:val="both"/>
        <w:rPr>
          <w:rFonts w:ascii="Times New Roman" w:hAnsi="Times New Roman"/>
          <w:b/>
          <w:sz w:val="23"/>
          <w:szCs w:val="23"/>
          <w:u w:val="single"/>
        </w:rPr>
      </w:pPr>
    </w:p>
    <w:p w:rsidR="007257B0" w:rsidRPr="004672D9" w:rsidRDefault="007257B0" w:rsidP="004672D9">
      <w:pPr>
        <w:spacing w:line="240" w:lineRule="auto"/>
        <w:jc w:val="both"/>
        <w:rPr>
          <w:rFonts w:ascii="Times New Roman" w:hAnsi="Times New Roman"/>
          <w:sz w:val="23"/>
          <w:szCs w:val="23"/>
        </w:rPr>
      </w:pPr>
      <w:r w:rsidRPr="004672D9">
        <w:rPr>
          <w:rFonts w:ascii="Times New Roman" w:hAnsi="Times New Roman"/>
          <w:b/>
          <w:sz w:val="23"/>
          <w:szCs w:val="23"/>
          <w:u w:val="single"/>
        </w:rPr>
        <w:t>CUARTO</w:t>
      </w:r>
      <w:r w:rsidRPr="004672D9">
        <w:rPr>
          <w:rFonts w:ascii="Times New Roman" w:hAnsi="Times New Roman"/>
          <w:b/>
          <w:sz w:val="23"/>
          <w:szCs w:val="23"/>
        </w:rPr>
        <w:t>:</w:t>
      </w:r>
      <w:r w:rsidRPr="004672D9">
        <w:rPr>
          <w:rFonts w:ascii="Times New Roman" w:hAnsi="Times New Roman"/>
          <w:sz w:val="23"/>
          <w:szCs w:val="23"/>
        </w:rPr>
        <w:t xml:space="preserve"> </w:t>
      </w:r>
      <w:r w:rsidRPr="004672D9">
        <w:rPr>
          <w:rStyle w:val="Textoennegrita"/>
          <w:rFonts w:ascii="Times New Roman" w:hAnsi="Times New Roman"/>
          <w:b w:val="0"/>
          <w:sz w:val="23"/>
          <w:szCs w:val="23"/>
        </w:rPr>
        <w:t>Que, de acuerdo con el ar</w:t>
      </w:r>
      <w:r w:rsidRPr="004672D9">
        <w:rPr>
          <w:rFonts w:ascii="Times New Roman" w:hAnsi="Times New Roman"/>
          <w:sz w:val="23"/>
          <w:szCs w:val="23"/>
        </w:rPr>
        <w:t>tículo 196 del Código Procesal Civil, la carga de la prueba corresponde a quien afirma hechos que configuran su pretensión, o a quien los contradice alegando nuevos hechos, salvo disposición legal diferente.</w:t>
      </w:r>
    </w:p>
    <w:p w:rsidR="007257B0" w:rsidRPr="004672D9" w:rsidRDefault="007257B0" w:rsidP="004672D9">
      <w:pPr>
        <w:jc w:val="both"/>
        <w:rPr>
          <w:rFonts w:ascii="Times New Roman" w:hAnsi="Times New Roman"/>
          <w:sz w:val="23"/>
          <w:szCs w:val="23"/>
        </w:rPr>
      </w:pPr>
      <w:r w:rsidRPr="004672D9">
        <w:rPr>
          <w:rStyle w:val="Textoennegrita"/>
          <w:rFonts w:ascii="Times New Roman" w:hAnsi="Times New Roman"/>
          <w:sz w:val="23"/>
          <w:szCs w:val="23"/>
          <w:u w:val="single"/>
        </w:rPr>
        <w:t>QUINTO</w:t>
      </w:r>
      <w:r w:rsidRPr="004672D9">
        <w:rPr>
          <w:rStyle w:val="Textoennegrita"/>
          <w:rFonts w:ascii="Times New Roman" w:hAnsi="Times New Roman"/>
          <w:sz w:val="23"/>
          <w:szCs w:val="23"/>
        </w:rPr>
        <w:t>:</w:t>
      </w:r>
      <w:r w:rsidRPr="004672D9">
        <w:rPr>
          <w:rStyle w:val="Textoennegrita"/>
          <w:rFonts w:ascii="Times New Roman" w:hAnsi="Times New Roman"/>
          <w:b w:val="0"/>
          <w:sz w:val="23"/>
          <w:szCs w:val="23"/>
        </w:rPr>
        <w:t xml:space="preserve"> </w:t>
      </w:r>
      <w:r w:rsidRPr="004672D9">
        <w:rPr>
          <w:rFonts w:ascii="Times New Roman" w:hAnsi="Times New Roman"/>
          <w:sz w:val="23"/>
          <w:szCs w:val="23"/>
        </w:rPr>
        <w:t>Que, conforme a lo identificado en la audiencia de vista, y sobre la base de los términos contenidos en la reclamación y en la absolución a la misma, la cuestión controvertida radica en determinar si el rechazo de cobertura comunicado por la aseguradora es legítimo o no.</w:t>
      </w:r>
    </w:p>
    <w:p w:rsidR="00311319" w:rsidRPr="004672D9" w:rsidRDefault="0064747E" w:rsidP="004672D9">
      <w:pPr>
        <w:jc w:val="both"/>
        <w:rPr>
          <w:rFonts w:ascii="Times New Roman" w:hAnsi="Times New Roman"/>
          <w:sz w:val="23"/>
          <w:szCs w:val="23"/>
          <w:lang w:val="es-MX"/>
        </w:rPr>
      </w:pPr>
      <w:r w:rsidRPr="004672D9">
        <w:rPr>
          <w:rFonts w:ascii="Times New Roman" w:hAnsi="Times New Roman"/>
          <w:b/>
          <w:sz w:val="23"/>
          <w:szCs w:val="23"/>
          <w:u w:val="single"/>
        </w:rPr>
        <w:t>SEXTO</w:t>
      </w:r>
      <w:r w:rsidR="00E475CB" w:rsidRPr="004672D9">
        <w:rPr>
          <w:rFonts w:ascii="Times New Roman" w:hAnsi="Times New Roman"/>
          <w:b/>
          <w:sz w:val="23"/>
          <w:szCs w:val="23"/>
        </w:rPr>
        <w:t xml:space="preserve">: </w:t>
      </w:r>
      <w:r w:rsidR="00311319" w:rsidRPr="004672D9">
        <w:rPr>
          <w:rFonts w:ascii="Times New Roman" w:hAnsi="Times New Roman"/>
          <w:bCs/>
          <w:sz w:val="23"/>
          <w:szCs w:val="23"/>
        </w:rPr>
        <w:t>D</w:t>
      </w:r>
      <w:proofErr w:type="spellStart"/>
      <w:r w:rsidR="00E475CB" w:rsidRPr="004672D9">
        <w:rPr>
          <w:rFonts w:ascii="Times New Roman" w:hAnsi="Times New Roman"/>
          <w:sz w:val="23"/>
          <w:szCs w:val="23"/>
          <w:lang w:val="es-MX"/>
        </w:rPr>
        <w:t>e</w:t>
      </w:r>
      <w:proofErr w:type="spellEnd"/>
      <w:r w:rsidR="00E475CB" w:rsidRPr="004672D9">
        <w:rPr>
          <w:rFonts w:ascii="Times New Roman" w:hAnsi="Times New Roman"/>
          <w:sz w:val="23"/>
          <w:szCs w:val="23"/>
          <w:lang w:val="es-MX"/>
        </w:rPr>
        <w:t xml:space="preserve"> acuerdo a lo anterior, cabe notar que </w:t>
      </w:r>
      <w:r w:rsidR="00311319" w:rsidRPr="004672D9">
        <w:rPr>
          <w:rFonts w:ascii="Times New Roman" w:hAnsi="Times New Roman"/>
          <w:sz w:val="23"/>
          <w:szCs w:val="23"/>
          <w:lang w:val="es-MX"/>
        </w:rPr>
        <w:t>la reclamante ha observado el pronunciamiento de la aseguradora por considerarlo extemporáneo.</w:t>
      </w:r>
    </w:p>
    <w:p w:rsidR="00581FD8" w:rsidRPr="004672D9" w:rsidRDefault="00311319" w:rsidP="004672D9">
      <w:pPr>
        <w:jc w:val="both"/>
        <w:rPr>
          <w:rFonts w:ascii="Times New Roman" w:hAnsi="Times New Roman"/>
          <w:sz w:val="23"/>
          <w:szCs w:val="23"/>
          <w:lang w:val="es-MX"/>
        </w:rPr>
      </w:pPr>
      <w:r w:rsidRPr="004672D9">
        <w:rPr>
          <w:rFonts w:ascii="Times New Roman" w:hAnsi="Times New Roman"/>
          <w:sz w:val="23"/>
          <w:szCs w:val="23"/>
          <w:lang w:val="es-MX"/>
        </w:rPr>
        <w:t xml:space="preserve">Sobre este extremo, se ha verificado </w:t>
      </w:r>
      <w:r w:rsidR="00581FD8" w:rsidRPr="004672D9">
        <w:rPr>
          <w:rFonts w:ascii="Times New Roman" w:hAnsi="Times New Roman"/>
          <w:sz w:val="23"/>
          <w:szCs w:val="23"/>
          <w:lang w:val="es-MX"/>
        </w:rPr>
        <w:t>de la documentación contemporánea cursada entre el ajustador y el asegurado obrante en autos, los siguientes hechos relevantes:</w:t>
      </w:r>
    </w:p>
    <w:p w:rsidR="00581FD8" w:rsidRPr="004672D9" w:rsidRDefault="00581FD8"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D</w:t>
      </w:r>
      <w:r w:rsidR="00311319" w:rsidRPr="004672D9">
        <w:rPr>
          <w:rFonts w:ascii="Times New Roman" w:hAnsi="Times New Roman"/>
          <w:sz w:val="23"/>
          <w:szCs w:val="23"/>
          <w:lang w:val="es-MX"/>
        </w:rPr>
        <w:t xml:space="preserve">esde el inicio de su evaluación, </w:t>
      </w:r>
      <w:r w:rsidR="0020672C" w:rsidRPr="004672D9">
        <w:rPr>
          <w:rFonts w:ascii="Times New Roman" w:hAnsi="Times New Roman"/>
          <w:sz w:val="23"/>
          <w:szCs w:val="23"/>
          <w:lang w:val="es-MX"/>
        </w:rPr>
        <w:t xml:space="preserve">con fecha 5 de septiembre de 2017, </w:t>
      </w:r>
      <w:r w:rsidR="00311319" w:rsidRPr="004672D9">
        <w:rPr>
          <w:rFonts w:ascii="Times New Roman" w:hAnsi="Times New Roman"/>
          <w:sz w:val="23"/>
          <w:szCs w:val="23"/>
          <w:lang w:val="es-MX"/>
        </w:rPr>
        <w:t xml:space="preserve">los ajustadores de </w:t>
      </w:r>
      <w:proofErr w:type="gramStart"/>
      <w:r w:rsidR="00311319" w:rsidRPr="004672D9">
        <w:rPr>
          <w:rFonts w:ascii="Times New Roman" w:hAnsi="Times New Roman"/>
          <w:sz w:val="23"/>
          <w:szCs w:val="23"/>
          <w:lang w:val="es-MX"/>
        </w:rPr>
        <w:t xml:space="preserve">seguros </w:t>
      </w:r>
      <w:r w:rsidR="00E51DF3">
        <w:rPr>
          <w:rFonts w:ascii="Times New Roman" w:hAnsi="Times New Roman"/>
          <w:sz w:val="23"/>
          <w:szCs w:val="23"/>
          <w:lang w:val="es-MX"/>
        </w:rPr>
        <w:t>..................</w:t>
      </w:r>
      <w:proofErr w:type="gramEnd"/>
      <w:r w:rsidR="00311319" w:rsidRPr="004672D9">
        <w:rPr>
          <w:rFonts w:ascii="Times New Roman" w:hAnsi="Times New Roman"/>
          <w:sz w:val="23"/>
          <w:szCs w:val="23"/>
          <w:lang w:val="es-MX"/>
        </w:rPr>
        <w:t xml:space="preserve">, </w:t>
      </w:r>
      <w:r w:rsidR="00E51DF3">
        <w:rPr>
          <w:rFonts w:ascii="Times New Roman" w:hAnsi="Times New Roman"/>
          <w:sz w:val="23"/>
          <w:szCs w:val="23"/>
          <w:lang w:val="es-MX"/>
        </w:rPr>
        <w:t>..................</w:t>
      </w:r>
      <w:r w:rsidR="00311319" w:rsidRPr="004672D9">
        <w:rPr>
          <w:rFonts w:ascii="Times New Roman" w:hAnsi="Times New Roman"/>
          <w:sz w:val="23"/>
          <w:szCs w:val="23"/>
          <w:lang w:val="es-MX"/>
        </w:rPr>
        <w:t xml:space="preserve"> solicitaron al asegurado que complete como documentación indispensable para la evaluación del caso, entre otros, (i) el Acta de Consolidación de la Carga al Contenedor (Perú). </w:t>
      </w:r>
    </w:p>
    <w:p w:rsidR="00311319" w:rsidRPr="004672D9" w:rsidRDefault="00311319"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Asimismo, durante el proceso de evaluación del siniestro, con fecha 20 de diciembre de 2017</w:t>
      </w:r>
      <w:r w:rsidR="0020672C" w:rsidRPr="004672D9">
        <w:rPr>
          <w:rFonts w:ascii="Times New Roman" w:hAnsi="Times New Roman"/>
          <w:sz w:val="23"/>
          <w:szCs w:val="23"/>
          <w:lang w:val="es-MX"/>
        </w:rPr>
        <w:t xml:space="preserve"> mediante correo electrónico</w:t>
      </w:r>
      <w:r w:rsidRPr="004672D9">
        <w:rPr>
          <w:rFonts w:ascii="Times New Roman" w:hAnsi="Times New Roman"/>
          <w:sz w:val="23"/>
          <w:szCs w:val="23"/>
          <w:lang w:val="es-MX"/>
        </w:rPr>
        <w:t>,</w:t>
      </w:r>
      <w:r w:rsidR="00581FD8" w:rsidRPr="004672D9">
        <w:rPr>
          <w:rFonts w:ascii="Times New Roman" w:hAnsi="Times New Roman"/>
          <w:sz w:val="23"/>
          <w:szCs w:val="23"/>
          <w:lang w:val="es-MX"/>
        </w:rPr>
        <w:t xml:space="preserve"> los ajustadores</w:t>
      </w:r>
      <w:r w:rsidR="0020672C" w:rsidRPr="004672D9">
        <w:rPr>
          <w:rFonts w:ascii="Times New Roman" w:hAnsi="Times New Roman"/>
          <w:sz w:val="23"/>
          <w:szCs w:val="23"/>
          <w:lang w:val="es-MX"/>
        </w:rPr>
        <w:t xml:space="preserve"> requirieron al asegurado que les remita, entre otros, los siguientes documentos (i) el Acta de Consolidación de la Carga al Contenedor (Perú) </w:t>
      </w:r>
      <w:proofErr w:type="gramStart"/>
      <w:r w:rsidR="0020672C" w:rsidRPr="004672D9">
        <w:rPr>
          <w:rFonts w:ascii="Times New Roman" w:hAnsi="Times New Roman"/>
          <w:sz w:val="23"/>
          <w:szCs w:val="23"/>
          <w:lang w:val="es-MX"/>
        </w:rPr>
        <w:t>y</w:t>
      </w:r>
      <w:proofErr w:type="gramEnd"/>
      <w:r w:rsidR="0020672C" w:rsidRPr="004672D9">
        <w:rPr>
          <w:rFonts w:ascii="Times New Roman" w:hAnsi="Times New Roman"/>
          <w:sz w:val="23"/>
          <w:szCs w:val="23"/>
          <w:lang w:val="es-MX"/>
        </w:rPr>
        <w:t xml:space="preserve"> (ii) Instrucciones brindadas a los operadores logísticos respecto al cuidado de la carga.</w:t>
      </w:r>
    </w:p>
    <w:p w:rsidR="00581FD8" w:rsidRPr="004672D9" w:rsidRDefault="0020672C"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Conforme se aprecia en el correo de fecha 26 de marzo de 2018, los ajustadores le rec</w:t>
      </w:r>
      <w:r w:rsidR="00581FD8" w:rsidRPr="004672D9">
        <w:rPr>
          <w:rFonts w:ascii="Times New Roman" w:hAnsi="Times New Roman"/>
          <w:sz w:val="23"/>
          <w:szCs w:val="23"/>
          <w:lang w:val="es-MX"/>
        </w:rPr>
        <w:t xml:space="preserve">ordaron </w:t>
      </w:r>
      <w:r w:rsidRPr="004672D9">
        <w:rPr>
          <w:rFonts w:ascii="Times New Roman" w:hAnsi="Times New Roman"/>
          <w:sz w:val="23"/>
          <w:szCs w:val="23"/>
          <w:lang w:val="es-MX"/>
        </w:rPr>
        <w:t xml:space="preserve">al asegurado que había quedado pendiente el envío de los indicados documentos, resaltando que respecto de las instrucciones brindadas </w:t>
      </w:r>
      <w:proofErr w:type="gramStart"/>
      <w:r w:rsidRPr="004672D9">
        <w:rPr>
          <w:rFonts w:ascii="Times New Roman" w:hAnsi="Times New Roman"/>
          <w:sz w:val="23"/>
          <w:szCs w:val="23"/>
          <w:lang w:val="es-MX"/>
        </w:rPr>
        <w:t xml:space="preserve">a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(operador logístico) el propio asegurado comentó que existían.</w:t>
      </w:r>
      <w:r w:rsidR="00654CB2" w:rsidRPr="004672D9">
        <w:rPr>
          <w:rFonts w:ascii="Times New Roman" w:hAnsi="Times New Roman"/>
          <w:sz w:val="23"/>
          <w:szCs w:val="23"/>
          <w:lang w:val="es-MX"/>
        </w:rPr>
        <w:t xml:space="preserve"> </w:t>
      </w:r>
    </w:p>
    <w:p w:rsidR="00581FD8" w:rsidRPr="004672D9" w:rsidRDefault="00654CB2"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 xml:space="preserve">Igualmente, luego de un correo reiterativo de fecha 19 de abril de 2018, el asegurado responde esa misma fecha que los remitiría sin negar la existencia de estos. Luego, el 19 de junio del 2018, el asegurado comunica al ajustador que enviará el cargo de la carta remitida por ellos </w:t>
      </w:r>
      <w:proofErr w:type="gramStart"/>
      <w:r w:rsidRPr="004672D9">
        <w:rPr>
          <w:rFonts w:ascii="Times New Roman" w:hAnsi="Times New Roman"/>
          <w:sz w:val="23"/>
          <w:szCs w:val="23"/>
          <w:lang w:val="es-MX"/>
        </w:rPr>
        <w:t xml:space="preserve">a </w:t>
      </w:r>
      <w:r w:rsidR="00E51DF3">
        <w:rPr>
          <w:rFonts w:ascii="Times New Roman" w:hAnsi="Times New Roman"/>
          <w:sz w:val="23"/>
          <w:szCs w:val="23"/>
          <w:lang w:val="es-MX"/>
        </w:rPr>
        <w:t>..................</w:t>
      </w:r>
      <w:r w:rsidRPr="004672D9">
        <w:rPr>
          <w:rFonts w:ascii="Times New Roman" w:hAnsi="Times New Roman"/>
          <w:sz w:val="23"/>
          <w:szCs w:val="23"/>
          <w:lang w:val="es-MX"/>
        </w:rPr>
        <w:t>.</w:t>
      </w:r>
      <w:proofErr w:type="gramEnd"/>
      <w:r w:rsidRPr="004672D9">
        <w:rPr>
          <w:rFonts w:ascii="Times New Roman" w:hAnsi="Times New Roman"/>
          <w:sz w:val="23"/>
          <w:szCs w:val="23"/>
          <w:lang w:val="es-MX"/>
        </w:rPr>
        <w:t xml:space="preserve"> </w:t>
      </w:r>
    </w:p>
    <w:p w:rsidR="0020672C" w:rsidRPr="004672D9" w:rsidRDefault="00654CB2"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 xml:space="preserve">El 28 setiembre de 2018, el asegurado informa que el Acta de consolidación debe ser solicitada al agente de </w:t>
      </w:r>
      <w:proofErr w:type="gramStart"/>
      <w:r w:rsidRPr="004672D9">
        <w:rPr>
          <w:rFonts w:ascii="Times New Roman" w:hAnsi="Times New Roman"/>
          <w:sz w:val="23"/>
          <w:szCs w:val="23"/>
          <w:lang w:val="es-MX"/>
        </w:rPr>
        <w:t xml:space="preserve">aduana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y que ellos no han tratado directamente con </w:t>
      </w:r>
      <w:r w:rsidR="00E51DF3">
        <w:rPr>
          <w:rFonts w:ascii="Times New Roman" w:hAnsi="Times New Roman"/>
          <w:sz w:val="23"/>
          <w:szCs w:val="23"/>
          <w:lang w:val="es-MX"/>
        </w:rPr>
        <w:t>..................</w:t>
      </w:r>
      <w:r w:rsidRPr="004672D9">
        <w:rPr>
          <w:rFonts w:ascii="Times New Roman" w:hAnsi="Times New Roman"/>
          <w:sz w:val="23"/>
          <w:szCs w:val="23"/>
          <w:lang w:val="es-MX"/>
        </w:rPr>
        <w:t xml:space="preserve">, sino que lo hace el Agente de Carga a quien el asegurado le envío el correo con las instrucciones para el correcto almacenaje del producto, por lo que supone que el agente debió trasladar la información a </w:t>
      </w:r>
      <w:r w:rsidR="00E51DF3">
        <w:rPr>
          <w:rFonts w:ascii="Times New Roman" w:hAnsi="Times New Roman"/>
          <w:sz w:val="23"/>
          <w:szCs w:val="23"/>
          <w:lang w:val="es-MX"/>
        </w:rPr>
        <w:t>..................</w:t>
      </w:r>
      <w:r w:rsidRPr="004672D9">
        <w:rPr>
          <w:rFonts w:ascii="Times New Roman" w:hAnsi="Times New Roman"/>
          <w:sz w:val="23"/>
          <w:szCs w:val="23"/>
          <w:lang w:val="es-MX"/>
        </w:rPr>
        <w:t>.</w:t>
      </w:r>
      <w:r w:rsidR="0020672C" w:rsidRPr="004672D9">
        <w:rPr>
          <w:rFonts w:ascii="Times New Roman" w:hAnsi="Times New Roman"/>
          <w:sz w:val="23"/>
          <w:szCs w:val="23"/>
          <w:lang w:val="es-MX"/>
        </w:rPr>
        <w:t xml:space="preserve">  </w:t>
      </w:r>
    </w:p>
    <w:p w:rsidR="00E30BE7" w:rsidRPr="004672D9" w:rsidRDefault="00581FD8"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lastRenderedPageBreak/>
        <w:t>El 15 de octubre de 2018, los ajustadores le manifiestan al asegurado que el caso se encuentra entrampado por falta de información y no se puede avanzar a pesar del tiempo transcurrido. Advierten los ajustadores que el Agente de Aduana les comunicó que el Acta de Consolidación lo debe solicitar el asegurado a su Agente de Carga, ya que ellos solo manejan los trámites aduanales. En ese sentido, los ajustadores les solicitan al asegurado que requiera dicho documento pendiente de envío a su Agente de Carga. Igualmente, mediante correo de esa fecha, los ajustadores reiteran al asegurado que no ha hecho llegar el instructivo sobre el correcto almacenaje del producto que habría entregado al Agente de Carga.</w:t>
      </w:r>
    </w:p>
    <w:p w:rsidR="00581FD8" w:rsidRPr="004672D9" w:rsidRDefault="00E30BE7" w:rsidP="004672D9">
      <w:pPr>
        <w:numPr>
          <w:ilvl w:val="0"/>
          <w:numId w:val="9"/>
        </w:numPr>
        <w:jc w:val="both"/>
        <w:rPr>
          <w:rFonts w:ascii="Times New Roman" w:hAnsi="Times New Roman"/>
          <w:sz w:val="23"/>
          <w:szCs w:val="23"/>
          <w:lang w:val="es-MX"/>
        </w:rPr>
      </w:pPr>
      <w:r w:rsidRPr="004672D9">
        <w:rPr>
          <w:rFonts w:ascii="Times New Roman" w:hAnsi="Times New Roman"/>
          <w:sz w:val="23"/>
          <w:szCs w:val="23"/>
          <w:lang w:val="es-MX"/>
        </w:rPr>
        <w:t>Mediante correo de fecha 5 de noviembre de 2018, el</w:t>
      </w:r>
      <w:r w:rsidR="00581FD8" w:rsidRPr="004672D9">
        <w:rPr>
          <w:rFonts w:ascii="Times New Roman" w:hAnsi="Times New Roman"/>
          <w:sz w:val="23"/>
          <w:szCs w:val="23"/>
          <w:lang w:val="es-MX"/>
        </w:rPr>
        <w:t xml:space="preserve"> </w:t>
      </w:r>
      <w:r w:rsidRPr="004672D9">
        <w:rPr>
          <w:rFonts w:ascii="Times New Roman" w:hAnsi="Times New Roman"/>
          <w:sz w:val="23"/>
          <w:szCs w:val="23"/>
          <w:lang w:val="es-MX"/>
        </w:rPr>
        <w:t>asegurado informa que no cuenta con más información.</w:t>
      </w:r>
    </w:p>
    <w:p w:rsidR="0020672C" w:rsidRPr="004672D9" w:rsidRDefault="00E30BE7" w:rsidP="004672D9">
      <w:pPr>
        <w:jc w:val="both"/>
        <w:rPr>
          <w:rFonts w:ascii="Times New Roman" w:hAnsi="Times New Roman"/>
          <w:sz w:val="23"/>
          <w:szCs w:val="23"/>
          <w:lang w:val="es-MX"/>
        </w:rPr>
      </w:pPr>
      <w:r w:rsidRPr="004672D9">
        <w:rPr>
          <w:rFonts w:ascii="Times New Roman" w:hAnsi="Times New Roman"/>
          <w:sz w:val="23"/>
          <w:szCs w:val="23"/>
          <w:lang w:val="es-MX"/>
        </w:rPr>
        <w:t xml:space="preserve">Es un hecho probado y no controvertido que la </w:t>
      </w:r>
      <w:r w:rsidR="0020672C" w:rsidRPr="004672D9">
        <w:rPr>
          <w:rFonts w:ascii="Times New Roman" w:hAnsi="Times New Roman"/>
          <w:sz w:val="23"/>
          <w:szCs w:val="23"/>
          <w:lang w:val="es-MX"/>
        </w:rPr>
        <w:t xml:space="preserve">documentación </w:t>
      </w:r>
      <w:r w:rsidRPr="004672D9">
        <w:rPr>
          <w:rFonts w:ascii="Times New Roman" w:hAnsi="Times New Roman"/>
          <w:sz w:val="23"/>
          <w:szCs w:val="23"/>
          <w:lang w:val="es-MX"/>
        </w:rPr>
        <w:t xml:space="preserve">requerida para la evaluación del caso </w:t>
      </w:r>
      <w:r w:rsidR="0020672C" w:rsidRPr="004672D9">
        <w:rPr>
          <w:rFonts w:ascii="Times New Roman" w:hAnsi="Times New Roman"/>
          <w:sz w:val="23"/>
          <w:szCs w:val="23"/>
          <w:lang w:val="es-MX"/>
        </w:rPr>
        <w:t xml:space="preserve">nunca fue </w:t>
      </w:r>
      <w:r w:rsidRPr="004672D9">
        <w:rPr>
          <w:rFonts w:ascii="Times New Roman" w:hAnsi="Times New Roman"/>
          <w:sz w:val="23"/>
          <w:szCs w:val="23"/>
          <w:lang w:val="es-MX"/>
        </w:rPr>
        <w:t>completada</w:t>
      </w:r>
      <w:r w:rsidR="0020672C" w:rsidRPr="004672D9">
        <w:rPr>
          <w:rFonts w:ascii="Times New Roman" w:hAnsi="Times New Roman"/>
          <w:sz w:val="23"/>
          <w:szCs w:val="23"/>
          <w:lang w:val="es-MX"/>
        </w:rPr>
        <w:t xml:space="preserve">. </w:t>
      </w:r>
    </w:p>
    <w:p w:rsidR="00E30BE7" w:rsidRPr="004672D9" w:rsidRDefault="00E30BE7" w:rsidP="004672D9">
      <w:pPr>
        <w:jc w:val="both"/>
        <w:rPr>
          <w:rFonts w:ascii="Times New Roman" w:hAnsi="Times New Roman"/>
          <w:sz w:val="23"/>
          <w:szCs w:val="23"/>
          <w:lang w:val="es-MX"/>
        </w:rPr>
      </w:pPr>
      <w:r w:rsidRPr="004672D9">
        <w:rPr>
          <w:rFonts w:ascii="Times New Roman" w:hAnsi="Times New Roman"/>
          <w:sz w:val="23"/>
          <w:szCs w:val="23"/>
          <w:lang w:val="es-MX"/>
        </w:rPr>
        <w:t>Como explican los ajustadores, la intensión de revisar el Acta de Consolidación es saber cuánto tiempo estuvo expuesta la carga al medio ambiente antes de ingresar al contenedor. Asimismo, los ajustadores querían comprobar sin el asegurado brindó indicación específica o especial sobre el llenado o el almacenamiento de la carga.</w:t>
      </w:r>
    </w:p>
    <w:p w:rsidR="00E30BE7" w:rsidRPr="004672D9" w:rsidRDefault="00E30BE7" w:rsidP="004672D9">
      <w:pPr>
        <w:jc w:val="both"/>
        <w:rPr>
          <w:rFonts w:ascii="Times New Roman" w:hAnsi="Times New Roman"/>
          <w:sz w:val="23"/>
          <w:szCs w:val="23"/>
          <w:lang w:val="es-MX"/>
        </w:rPr>
      </w:pPr>
      <w:r w:rsidRPr="004672D9">
        <w:rPr>
          <w:rFonts w:ascii="Times New Roman" w:hAnsi="Times New Roman"/>
          <w:sz w:val="23"/>
          <w:szCs w:val="23"/>
          <w:lang w:val="es-MX"/>
        </w:rPr>
        <w:t xml:space="preserve">Pese a que no se completó la documentación, los ajustadores de </w:t>
      </w:r>
      <w:proofErr w:type="gramStart"/>
      <w:r w:rsidRPr="004672D9">
        <w:rPr>
          <w:rFonts w:ascii="Times New Roman" w:hAnsi="Times New Roman"/>
          <w:sz w:val="23"/>
          <w:szCs w:val="23"/>
          <w:lang w:val="es-MX"/>
        </w:rPr>
        <w:t xml:space="preserve">seguros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w:t>
      </w:r>
      <w:r w:rsidR="00E51DF3">
        <w:rPr>
          <w:rFonts w:ascii="Times New Roman" w:hAnsi="Times New Roman"/>
          <w:sz w:val="23"/>
          <w:szCs w:val="23"/>
          <w:lang w:val="es-MX"/>
        </w:rPr>
        <w:t>..................</w:t>
      </w:r>
      <w:r w:rsidR="00CA27F8" w:rsidRPr="004672D9">
        <w:rPr>
          <w:rFonts w:ascii="Times New Roman" w:hAnsi="Times New Roman"/>
          <w:sz w:val="23"/>
          <w:szCs w:val="23"/>
          <w:lang w:val="es-MX"/>
        </w:rPr>
        <w:t xml:space="preserve"> emitieron su informe final el 13 de diciembre de 2018.</w:t>
      </w:r>
    </w:p>
    <w:p w:rsidR="00CA27F8" w:rsidRPr="004672D9" w:rsidRDefault="00CA27F8" w:rsidP="004672D9">
      <w:pPr>
        <w:jc w:val="both"/>
        <w:rPr>
          <w:rFonts w:ascii="Times New Roman" w:hAnsi="Times New Roman"/>
          <w:sz w:val="23"/>
          <w:szCs w:val="23"/>
          <w:lang w:val="es-MX"/>
        </w:rPr>
      </w:pPr>
      <w:r w:rsidRPr="004672D9">
        <w:rPr>
          <w:rFonts w:ascii="Times New Roman" w:hAnsi="Times New Roman"/>
          <w:sz w:val="23"/>
          <w:szCs w:val="23"/>
          <w:lang w:val="es-MX"/>
        </w:rPr>
        <w:t>Tal como lo ha establecido esta Defensoría en reiterados precedentes, el plazo de 10 días con que cuenta la aseguradora para pronunciarse sobre el siniestro, previsto en el artículo 74° de la Ley del Contrato de Seguro, solo resulta aplicable cua</w:t>
      </w:r>
      <w:r w:rsidR="00EB450A" w:rsidRPr="004672D9">
        <w:rPr>
          <w:rFonts w:ascii="Times New Roman" w:hAnsi="Times New Roman"/>
          <w:sz w:val="23"/>
          <w:szCs w:val="23"/>
          <w:lang w:val="es-MX"/>
        </w:rPr>
        <w:t>ndo se presenta un supuesto de existencia de un convenio de ajuste firmado por el asegurado, lo que no ha ocurrido en el presente caso. Cabe tener en cuenta que también en los referidos precedentes, esta Defensoría ha establecido que si bien la ley no prevé expresamente un plazo para que la aseguradora se pronuncie respecto del siniestro luego del informe negativo del ajustador, se puede concluir válidamente que cuando no se ha completado la documentación requerida y pese a ello el ajustador emite un informe negativo respecto a la cobertura del siniestro, la aseguradora debe emitir la carta de rechazo dentro de los 30 días siguientes a la emisión del informe del ajustador.</w:t>
      </w:r>
    </w:p>
    <w:p w:rsidR="00EB450A" w:rsidRPr="004672D9" w:rsidRDefault="00EB450A" w:rsidP="004672D9">
      <w:pPr>
        <w:jc w:val="both"/>
        <w:rPr>
          <w:rFonts w:ascii="Times New Roman" w:hAnsi="Times New Roman"/>
          <w:sz w:val="23"/>
          <w:szCs w:val="23"/>
          <w:lang w:val="es-MX"/>
        </w:rPr>
      </w:pPr>
      <w:r w:rsidRPr="004672D9">
        <w:rPr>
          <w:rFonts w:ascii="Times New Roman" w:hAnsi="Times New Roman"/>
          <w:sz w:val="23"/>
          <w:szCs w:val="23"/>
          <w:lang w:val="es-MX"/>
        </w:rPr>
        <w:t>En el presente caso, la aseguradora ha emitido su carta de rechazo sin exceder el plazo legal, por lo que es claro que el siniestro no ha quedado consentido.</w:t>
      </w:r>
    </w:p>
    <w:p w:rsidR="00EB450A" w:rsidRPr="004672D9" w:rsidRDefault="00EB450A" w:rsidP="004672D9">
      <w:pPr>
        <w:jc w:val="both"/>
        <w:rPr>
          <w:rFonts w:ascii="Times New Roman" w:hAnsi="Times New Roman"/>
          <w:bCs/>
          <w:sz w:val="23"/>
          <w:szCs w:val="23"/>
        </w:rPr>
      </w:pPr>
      <w:r w:rsidRPr="004672D9">
        <w:rPr>
          <w:rFonts w:ascii="Times New Roman" w:hAnsi="Times New Roman"/>
          <w:b/>
          <w:sz w:val="23"/>
          <w:szCs w:val="23"/>
          <w:u w:val="single"/>
        </w:rPr>
        <w:t>SÉPTIMO</w:t>
      </w:r>
      <w:r w:rsidRPr="004672D9">
        <w:rPr>
          <w:rFonts w:ascii="Times New Roman" w:hAnsi="Times New Roman"/>
          <w:b/>
          <w:sz w:val="23"/>
          <w:szCs w:val="23"/>
        </w:rPr>
        <w:t xml:space="preserve">: </w:t>
      </w:r>
      <w:r w:rsidRPr="004672D9">
        <w:rPr>
          <w:rFonts w:ascii="Times New Roman" w:hAnsi="Times New Roman"/>
          <w:bCs/>
          <w:sz w:val="23"/>
          <w:szCs w:val="23"/>
        </w:rPr>
        <w:t>En esa medida, corresponde analizar si el rechazo de cobertura formulado por la aseguradora resulta legítimo o no según sus fundamentos.</w:t>
      </w:r>
    </w:p>
    <w:p w:rsidR="00EB450A" w:rsidRPr="004672D9" w:rsidRDefault="00EB450A" w:rsidP="004672D9">
      <w:pPr>
        <w:jc w:val="both"/>
        <w:rPr>
          <w:rFonts w:ascii="Times New Roman" w:hAnsi="Times New Roman"/>
          <w:bCs/>
          <w:sz w:val="23"/>
          <w:szCs w:val="23"/>
        </w:rPr>
      </w:pPr>
      <w:r w:rsidRPr="004672D9">
        <w:rPr>
          <w:rFonts w:ascii="Times New Roman" w:hAnsi="Times New Roman"/>
          <w:bCs/>
          <w:sz w:val="23"/>
          <w:szCs w:val="23"/>
        </w:rPr>
        <w:t>A este efecto, cabe tener en cuenta que conforme al artículo 77 de la Ley del Contrato de Seguro, al asegurado le corresponde demostrar la ocurrencia del siniestro y a la aseguradora la carga de demostrar las causas que lo liberan de su prestación indemnizatoria.</w:t>
      </w:r>
    </w:p>
    <w:p w:rsidR="00E1339E" w:rsidRPr="004672D9" w:rsidRDefault="00E1339E" w:rsidP="004672D9">
      <w:pPr>
        <w:jc w:val="both"/>
        <w:rPr>
          <w:rFonts w:ascii="Times New Roman" w:hAnsi="Times New Roman"/>
          <w:bCs/>
          <w:sz w:val="23"/>
          <w:szCs w:val="23"/>
        </w:rPr>
      </w:pPr>
      <w:r w:rsidRPr="004672D9">
        <w:rPr>
          <w:rFonts w:ascii="Times New Roman" w:hAnsi="Times New Roman"/>
          <w:bCs/>
          <w:sz w:val="23"/>
          <w:szCs w:val="23"/>
        </w:rPr>
        <w:t>Demostrar la ocurrencia del siniestro consiste en probar la realización o materialización del evento que se había asegurado, lo cual obviamente importa determinar la causa del hecho dañoso en función del riesgo y el seguro contratado.</w:t>
      </w:r>
    </w:p>
    <w:p w:rsidR="00E1339E" w:rsidRPr="004672D9" w:rsidRDefault="00E1339E" w:rsidP="004672D9">
      <w:pPr>
        <w:jc w:val="both"/>
        <w:rPr>
          <w:rFonts w:ascii="Times New Roman" w:hAnsi="Times New Roman"/>
          <w:bCs/>
          <w:sz w:val="23"/>
          <w:szCs w:val="23"/>
        </w:rPr>
      </w:pPr>
      <w:r w:rsidRPr="004672D9">
        <w:rPr>
          <w:rFonts w:ascii="Times New Roman" w:hAnsi="Times New Roman"/>
          <w:bCs/>
          <w:sz w:val="23"/>
          <w:szCs w:val="23"/>
        </w:rPr>
        <w:lastRenderedPageBreak/>
        <w:t>Para l</w:t>
      </w:r>
      <w:r w:rsidR="00EB450A" w:rsidRPr="004672D9">
        <w:rPr>
          <w:rFonts w:ascii="Times New Roman" w:hAnsi="Times New Roman"/>
          <w:bCs/>
          <w:sz w:val="23"/>
          <w:szCs w:val="23"/>
        </w:rPr>
        <w:t>a prueba de la ocurrencia del siniestro</w:t>
      </w:r>
      <w:r w:rsidRPr="004672D9">
        <w:rPr>
          <w:rFonts w:ascii="Times New Roman" w:hAnsi="Times New Roman"/>
          <w:bCs/>
          <w:sz w:val="23"/>
          <w:szCs w:val="23"/>
        </w:rPr>
        <w:t xml:space="preserve">, las partes sometieron la evaluación del caso a los </w:t>
      </w:r>
      <w:r w:rsidRPr="004672D9">
        <w:rPr>
          <w:rFonts w:ascii="Times New Roman" w:hAnsi="Times New Roman"/>
          <w:sz w:val="23"/>
          <w:szCs w:val="23"/>
          <w:lang w:val="es-MX"/>
        </w:rPr>
        <w:t xml:space="preserve">ajustadores de </w:t>
      </w:r>
      <w:proofErr w:type="gramStart"/>
      <w:r w:rsidRPr="004672D9">
        <w:rPr>
          <w:rFonts w:ascii="Times New Roman" w:hAnsi="Times New Roman"/>
          <w:sz w:val="23"/>
          <w:szCs w:val="23"/>
          <w:lang w:val="es-MX"/>
        </w:rPr>
        <w:t xml:space="preserve">seguros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w:t>
      </w:r>
      <w:r w:rsidR="00E51DF3">
        <w:rPr>
          <w:rFonts w:ascii="Times New Roman" w:hAnsi="Times New Roman"/>
          <w:sz w:val="23"/>
          <w:szCs w:val="23"/>
          <w:lang w:val="es-MX"/>
        </w:rPr>
        <w:t>..................</w:t>
      </w:r>
      <w:r w:rsidRPr="004672D9">
        <w:rPr>
          <w:rFonts w:ascii="Times New Roman" w:hAnsi="Times New Roman"/>
          <w:bCs/>
          <w:sz w:val="23"/>
          <w:szCs w:val="23"/>
        </w:rPr>
        <w:t>.</w:t>
      </w:r>
    </w:p>
    <w:p w:rsidR="003A0637" w:rsidRPr="004672D9" w:rsidRDefault="00E1339E" w:rsidP="004672D9">
      <w:pPr>
        <w:jc w:val="both"/>
        <w:rPr>
          <w:rFonts w:ascii="Times New Roman" w:hAnsi="Times New Roman"/>
          <w:bCs/>
          <w:sz w:val="23"/>
          <w:szCs w:val="23"/>
        </w:rPr>
      </w:pPr>
      <w:r w:rsidRPr="004672D9">
        <w:rPr>
          <w:rFonts w:ascii="Times New Roman" w:hAnsi="Times New Roman"/>
          <w:bCs/>
          <w:sz w:val="23"/>
          <w:szCs w:val="23"/>
        </w:rPr>
        <w:t xml:space="preserve">Lo primero que identificaron los ajustadores es que el Seguro de Transportes Póliza </w:t>
      </w:r>
      <w:proofErr w:type="gramStart"/>
      <w:r w:rsidRPr="004672D9">
        <w:rPr>
          <w:rFonts w:ascii="Times New Roman" w:hAnsi="Times New Roman"/>
          <w:bCs/>
          <w:sz w:val="23"/>
          <w:szCs w:val="23"/>
        </w:rPr>
        <w:t xml:space="preserve">TRCA </w:t>
      </w:r>
      <w:r w:rsidR="00E51DF3">
        <w:rPr>
          <w:rFonts w:ascii="Times New Roman" w:hAnsi="Times New Roman"/>
          <w:bCs/>
          <w:sz w:val="23"/>
          <w:szCs w:val="23"/>
        </w:rPr>
        <w:t>..................</w:t>
      </w:r>
      <w:proofErr w:type="gramEnd"/>
      <w:r w:rsidRPr="004672D9">
        <w:rPr>
          <w:rFonts w:ascii="Times New Roman" w:hAnsi="Times New Roman"/>
          <w:bCs/>
          <w:sz w:val="23"/>
          <w:szCs w:val="23"/>
        </w:rPr>
        <w:t>-</w:t>
      </w:r>
      <w:r w:rsidR="00E51DF3">
        <w:rPr>
          <w:rFonts w:ascii="Times New Roman" w:hAnsi="Times New Roman"/>
          <w:bCs/>
          <w:sz w:val="23"/>
          <w:szCs w:val="23"/>
        </w:rPr>
        <w:t>..................</w:t>
      </w:r>
      <w:r w:rsidRPr="004672D9">
        <w:rPr>
          <w:rFonts w:ascii="Times New Roman" w:hAnsi="Times New Roman"/>
          <w:bCs/>
          <w:sz w:val="23"/>
          <w:szCs w:val="23"/>
        </w:rPr>
        <w:t xml:space="preserve"> tiene como primera delimitación del riesgo, el “Radio de </w:t>
      </w:r>
      <w:r w:rsidR="003A0637" w:rsidRPr="004672D9">
        <w:rPr>
          <w:rFonts w:ascii="Times New Roman" w:hAnsi="Times New Roman"/>
          <w:bCs/>
          <w:sz w:val="23"/>
          <w:szCs w:val="23"/>
        </w:rPr>
        <w:t>Acción” establecido</w:t>
      </w:r>
      <w:r w:rsidRPr="004672D9">
        <w:rPr>
          <w:rFonts w:ascii="Times New Roman" w:hAnsi="Times New Roman"/>
          <w:bCs/>
          <w:sz w:val="23"/>
          <w:szCs w:val="23"/>
        </w:rPr>
        <w:t xml:space="preserve"> en las Condiciones Especiales, según el cual: </w:t>
      </w:r>
    </w:p>
    <w:p w:rsidR="003A0637" w:rsidRPr="004672D9" w:rsidRDefault="00E1339E" w:rsidP="004672D9">
      <w:pPr>
        <w:ind w:left="708"/>
        <w:jc w:val="both"/>
        <w:rPr>
          <w:rFonts w:ascii="Times New Roman" w:hAnsi="Times New Roman"/>
          <w:bCs/>
          <w:i/>
          <w:iCs/>
          <w:sz w:val="23"/>
          <w:szCs w:val="23"/>
        </w:rPr>
      </w:pPr>
      <w:r w:rsidRPr="004672D9">
        <w:rPr>
          <w:rFonts w:ascii="Times New Roman" w:hAnsi="Times New Roman"/>
          <w:bCs/>
          <w:sz w:val="23"/>
          <w:szCs w:val="23"/>
        </w:rPr>
        <w:t>“</w:t>
      </w:r>
      <w:r w:rsidRPr="004672D9">
        <w:rPr>
          <w:rFonts w:ascii="Times New Roman" w:hAnsi="Times New Roman"/>
          <w:bCs/>
          <w:i/>
          <w:iCs/>
          <w:sz w:val="23"/>
          <w:szCs w:val="23"/>
        </w:rPr>
        <w:t xml:space="preserve">El Radio de Acción que comprende el presente Contrato de Seguro, es como sigue: </w:t>
      </w:r>
    </w:p>
    <w:p w:rsidR="003A0637" w:rsidRPr="004672D9" w:rsidRDefault="00E1339E" w:rsidP="004672D9">
      <w:pPr>
        <w:ind w:left="708"/>
        <w:jc w:val="both"/>
        <w:rPr>
          <w:rFonts w:ascii="Times New Roman" w:hAnsi="Times New Roman"/>
          <w:bCs/>
          <w:i/>
          <w:iCs/>
          <w:sz w:val="23"/>
          <w:szCs w:val="23"/>
        </w:rPr>
      </w:pPr>
      <w:r w:rsidRPr="004672D9">
        <w:rPr>
          <w:rFonts w:ascii="Times New Roman" w:hAnsi="Times New Roman"/>
          <w:bCs/>
          <w:i/>
          <w:iCs/>
          <w:sz w:val="23"/>
          <w:szCs w:val="23"/>
        </w:rPr>
        <w:t xml:space="preserve">Desde: </w:t>
      </w:r>
      <w:r w:rsidR="003A0637" w:rsidRPr="004672D9">
        <w:rPr>
          <w:rFonts w:ascii="Times New Roman" w:hAnsi="Times New Roman"/>
          <w:bCs/>
          <w:i/>
          <w:iCs/>
          <w:sz w:val="23"/>
          <w:szCs w:val="23"/>
        </w:rPr>
        <w:t>L</w:t>
      </w:r>
      <w:r w:rsidRPr="004672D9">
        <w:rPr>
          <w:rFonts w:ascii="Times New Roman" w:hAnsi="Times New Roman"/>
          <w:bCs/>
          <w:i/>
          <w:iCs/>
          <w:sz w:val="23"/>
          <w:szCs w:val="23"/>
        </w:rPr>
        <w:t>os depósitos del asegurado en el Perú</w:t>
      </w:r>
      <w:r w:rsidR="003A0637" w:rsidRPr="004672D9">
        <w:rPr>
          <w:rFonts w:ascii="Times New Roman" w:hAnsi="Times New Roman"/>
          <w:bCs/>
          <w:i/>
          <w:iCs/>
          <w:sz w:val="23"/>
          <w:szCs w:val="23"/>
        </w:rPr>
        <w:t>.</w:t>
      </w:r>
    </w:p>
    <w:p w:rsidR="003A0637" w:rsidRPr="004672D9" w:rsidRDefault="003A0637" w:rsidP="004672D9">
      <w:pPr>
        <w:ind w:left="708"/>
        <w:jc w:val="both"/>
        <w:rPr>
          <w:rFonts w:ascii="Times New Roman" w:hAnsi="Times New Roman"/>
          <w:bCs/>
          <w:i/>
          <w:iCs/>
          <w:sz w:val="23"/>
          <w:szCs w:val="23"/>
        </w:rPr>
      </w:pPr>
      <w:r w:rsidRPr="004672D9">
        <w:rPr>
          <w:rFonts w:ascii="Times New Roman" w:hAnsi="Times New Roman"/>
          <w:bCs/>
          <w:i/>
          <w:iCs/>
          <w:sz w:val="23"/>
          <w:szCs w:val="23"/>
        </w:rPr>
        <w:t xml:space="preserve"> Hasta: Los almacenes finales de los consignatarios, en cualquier parte del mundo. </w:t>
      </w:r>
    </w:p>
    <w:p w:rsidR="00EB450A" w:rsidRPr="004672D9" w:rsidRDefault="003A0637" w:rsidP="004672D9">
      <w:pPr>
        <w:ind w:left="708"/>
        <w:jc w:val="both"/>
        <w:rPr>
          <w:rFonts w:ascii="Times New Roman" w:hAnsi="Times New Roman"/>
          <w:bCs/>
          <w:sz w:val="23"/>
          <w:szCs w:val="23"/>
          <w:lang w:val="es-MX"/>
        </w:rPr>
      </w:pPr>
      <w:r w:rsidRPr="004672D9">
        <w:rPr>
          <w:rFonts w:ascii="Times New Roman" w:hAnsi="Times New Roman"/>
          <w:bCs/>
          <w:i/>
          <w:iCs/>
          <w:sz w:val="23"/>
          <w:szCs w:val="23"/>
        </w:rPr>
        <w:t>Vía cualquier puerto y/o aeropuerto incluyendo, conexiones terrestres, sujeto a los términos del contrato de compra venta (Incoterms)”.</w:t>
      </w:r>
      <w:r w:rsidR="00EB450A" w:rsidRPr="004672D9">
        <w:rPr>
          <w:rFonts w:ascii="Times New Roman" w:hAnsi="Times New Roman"/>
          <w:bCs/>
          <w:sz w:val="23"/>
          <w:szCs w:val="23"/>
        </w:rPr>
        <w:t xml:space="preserve"> </w:t>
      </w:r>
    </w:p>
    <w:p w:rsidR="00DA2F57" w:rsidRPr="004672D9" w:rsidRDefault="003B0E58" w:rsidP="004672D9">
      <w:pPr>
        <w:jc w:val="both"/>
        <w:rPr>
          <w:rFonts w:ascii="Times New Roman" w:hAnsi="Times New Roman"/>
          <w:bCs/>
          <w:sz w:val="23"/>
          <w:szCs w:val="23"/>
          <w:lang w:val="es-MX"/>
        </w:rPr>
      </w:pPr>
      <w:r w:rsidRPr="004672D9">
        <w:rPr>
          <w:rFonts w:ascii="Times New Roman" w:hAnsi="Times New Roman"/>
          <w:sz w:val="23"/>
          <w:szCs w:val="23"/>
          <w:lang w:val="es-MX"/>
        </w:rPr>
        <w:t xml:space="preserve">Conforme a la condición citada, en la medida que el contrato de compraventa fue uno de la modalidad FOB (Free </w:t>
      </w:r>
      <w:proofErr w:type="spellStart"/>
      <w:r w:rsidRPr="004672D9">
        <w:rPr>
          <w:rFonts w:ascii="Times New Roman" w:hAnsi="Times New Roman"/>
          <w:sz w:val="23"/>
          <w:szCs w:val="23"/>
          <w:lang w:val="es-MX"/>
        </w:rPr>
        <w:t>On</w:t>
      </w:r>
      <w:proofErr w:type="spellEnd"/>
      <w:r w:rsidRPr="004672D9">
        <w:rPr>
          <w:rFonts w:ascii="Times New Roman" w:hAnsi="Times New Roman"/>
          <w:sz w:val="23"/>
          <w:szCs w:val="23"/>
          <w:lang w:val="es-MX"/>
        </w:rPr>
        <w:t xml:space="preserve"> </w:t>
      </w:r>
      <w:proofErr w:type="spellStart"/>
      <w:r w:rsidRPr="004672D9">
        <w:rPr>
          <w:rFonts w:ascii="Times New Roman" w:hAnsi="Times New Roman"/>
          <w:sz w:val="23"/>
          <w:szCs w:val="23"/>
          <w:lang w:val="es-MX"/>
        </w:rPr>
        <w:t>Board</w:t>
      </w:r>
      <w:proofErr w:type="spellEnd"/>
      <w:r w:rsidRPr="004672D9">
        <w:rPr>
          <w:rFonts w:ascii="Times New Roman" w:hAnsi="Times New Roman"/>
          <w:sz w:val="23"/>
          <w:szCs w:val="23"/>
          <w:lang w:val="es-MX"/>
        </w:rPr>
        <w:t xml:space="preserve">), el riesgo de transporte que resulta bajo cobertura en la </w:t>
      </w:r>
      <w:r w:rsidRPr="004672D9">
        <w:rPr>
          <w:rFonts w:ascii="Times New Roman" w:hAnsi="Times New Roman"/>
          <w:bCs/>
          <w:sz w:val="23"/>
          <w:szCs w:val="23"/>
          <w:lang w:val="es-MX"/>
        </w:rPr>
        <w:t>PÓLIZA No TRCA-</w:t>
      </w:r>
      <w:r w:rsidR="00E51DF3">
        <w:rPr>
          <w:rFonts w:ascii="Times New Roman" w:hAnsi="Times New Roman"/>
          <w:bCs/>
          <w:sz w:val="23"/>
          <w:szCs w:val="23"/>
          <w:lang w:val="es-MX"/>
        </w:rPr>
        <w:t>..................</w:t>
      </w:r>
      <w:r w:rsidRPr="004672D9">
        <w:rPr>
          <w:rFonts w:ascii="Times New Roman" w:hAnsi="Times New Roman"/>
          <w:bCs/>
          <w:sz w:val="23"/>
          <w:szCs w:val="23"/>
          <w:lang w:val="es-MX"/>
        </w:rPr>
        <w:t xml:space="preserve"> para este caso, es sobre los siniestros que ocurran desde que la mercadería asegurada es trasladada desde los depósitos del asegurado en el Perú hasta que la mercadería es puesta a bordo del buque o nave.  </w:t>
      </w:r>
    </w:p>
    <w:p w:rsidR="003B0E58" w:rsidRPr="004672D9" w:rsidRDefault="003B0E58" w:rsidP="004672D9">
      <w:pPr>
        <w:jc w:val="both"/>
        <w:rPr>
          <w:rFonts w:ascii="Times New Roman" w:hAnsi="Times New Roman"/>
          <w:bCs/>
          <w:sz w:val="23"/>
          <w:szCs w:val="23"/>
          <w:lang w:val="es-MX"/>
        </w:rPr>
      </w:pPr>
      <w:r w:rsidRPr="004672D9">
        <w:rPr>
          <w:rFonts w:ascii="Times New Roman" w:hAnsi="Times New Roman"/>
          <w:bCs/>
          <w:sz w:val="23"/>
          <w:szCs w:val="23"/>
          <w:lang w:val="es-MX"/>
        </w:rPr>
        <w:t xml:space="preserve">Es decir, sólo resultan bajo cobertura las pérdidas de mercadería asegurada que tuvieran como causa de ocurrencia </w:t>
      </w:r>
      <w:r w:rsidR="00DA2F57" w:rsidRPr="004672D9">
        <w:rPr>
          <w:rFonts w:ascii="Times New Roman" w:hAnsi="Times New Roman"/>
          <w:bCs/>
          <w:sz w:val="23"/>
          <w:szCs w:val="23"/>
          <w:lang w:val="es-MX"/>
        </w:rPr>
        <w:t xml:space="preserve">del daño un evento producido en el trayecto de la mercadería desde los locales del asegurado a Puerto del Callao, así como del Puerto del Callao al contenedor en la </w:t>
      </w:r>
      <w:proofErr w:type="gramStart"/>
      <w:r w:rsidR="00DA2F57" w:rsidRPr="004672D9">
        <w:rPr>
          <w:rFonts w:ascii="Times New Roman" w:hAnsi="Times New Roman"/>
          <w:bCs/>
          <w:sz w:val="23"/>
          <w:szCs w:val="23"/>
          <w:lang w:val="es-MX"/>
        </w:rPr>
        <w:t xml:space="preserve">embarcación </w:t>
      </w:r>
      <w:r w:rsidR="00E51DF3">
        <w:rPr>
          <w:rFonts w:ascii="Times New Roman" w:hAnsi="Times New Roman"/>
          <w:bCs/>
          <w:sz w:val="23"/>
          <w:szCs w:val="23"/>
          <w:lang w:val="es-MX"/>
        </w:rPr>
        <w:t>..................</w:t>
      </w:r>
      <w:r w:rsidR="00DA2F57" w:rsidRPr="004672D9">
        <w:rPr>
          <w:rFonts w:ascii="Times New Roman" w:hAnsi="Times New Roman"/>
          <w:bCs/>
          <w:sz w:val="23"/>
          <w:szCs w:val="23"/>
          <w:lang w:val="es-MX"/>
        </w:rPr>
        <w:t>.</w:t>
      </w:r>
      <w:proofErr w:type="gramEnd"/>
      <w:r w:rsidR="00DA2F57" w:rsidRPr="004672D9">
        <w:rPr>
          <w:rFonts w:ascii="Times New Roman" w:hAnsi="Times New Roman"/>
          <w:bCs/>
          <w:sz w:val="23"/>
          <w:szCs w:val="23"/>
          <w:lang w:val="es-MX"/>
        </w:rPr>
        <w:t xml:space="preserve"> En cambio, aquellas pérdidas que se originen en eventos producidos en el trayecto de la mercadería en la </w:t>
      </w:r>
      <w:proofErr w:type="gramStart"/>
      <w:r w:rsidR="00DA2F57" w:rsidRPr="004672D9">
        <w:rPr>
          <w:rFonts w:ascii="Times New Roman" w:hAnsi="Times New Roman"/>
          <w:bCs/>
          <w:sz w:val="23"/>
          <w:szCs w:val="23"/>
          <w:lang w:val="es-MX"/>
        </w:rPr>
        <w:t xml:space="preserve">embarcación </w:t>
      </w:r>
      <w:r w:rsidR="00E51DF3">
        <w:rPr>
          <w:rFonts w:ascii="Times New Roman" w:hAnsi="Times New Roman"/>
          <w:bCs/>
          <w:sz w:val="23"/>
          <w:szCs w:val="23"/>
          <w:lang w:val="es-MX"/>
        </w:rPr>
        <w:t>..................</w:t>
      </w:r>
      <w:proofErr w:type="gramEnd"/>
      <w:r w:rsidR="00DA2F57" w:rsidRPr="004672D9">
        <w:rPr>
          <w:rFonts w:ascii="Times New Roman" w:hAnsi="Times New Roman"/>
          <w:bCs/>
          <w:sz w:val="23"/>
          <w:szCs w:val="23"/>
          <w:lang w:val="es-MX"/>
        </w:rPr>
        <w:t xml:space="preserve"> a México no resultan cubiertas, puesto que en una compraventa FOB el riesgo recae sobre el comprador y no en el vendedor (asegurado).</w:t>
      </w:r>
    </w:p>
    <w:p w:rsidR="00DA2F57" w:rsidRPr="004672D9" w:rsidRDefault="00DA2F57" w:rsidP="004672D9">
      <w:pPr>
        <w:jc w:val="both"/>
        <w:rPr>
          <w:rFonts w:ascii="Times New Roman" w:hAnsi="Times New Roman"/>
          <w:sz w:val="23"/>
          <w:szCs w:val="23"/>
          <w:lang w:val="es-MX"/>
        </w:rPr>
      </w:pPr>
      <w:r w:rsidRPr="004672D9">
        <w:rPr>
          <w:rFonts w:ascii="Times New Roman" w:hAnsi="Times New Roman"/>
          <w:bCs/>
          <w:sz w:val="23"/>
          <w:szCs w:val="23"/>
          <w:lang w:val="es-MX"/>
        </w:rPr>
        <w:t xml:space="preserve">De acuerdo a la evaluación de los mencionados peritos, </w:t>
      </w:r>
      <w:r w:rsidRPr="004672D9">
        <w:rPr>
          <w:rFonts w:ascii="Times New Roman" w:hAnsi="Times New Roman"/>
          <w:bCs/>
          <w:sz w:val="23"/>
          <w:szCs w:val="23"/>
        </w:rPr>
        <w:t xml:space="preserve">los </w:t>
      </w:r>
      <w:r w:rsidRPr="004672D9">
        <w:rPr>
          <w:rFonts w:ascii="Times New Roman" w:hAnsi="Times New Roman"/>
          <w:sz w:val="23"/>
          <w:szCs w:val="23"/>
          <w:lang w:val="es-MX"/>
        </w:rPr>
        <w:t xml:space="preserve">ajustadores de </w:t>
      </w:r>
      <w:proofErr w:type="gramStart"/>
      <w:r w:rsidRPr="004672D9">
        <w:rPr>
          <w:rFonts w:ascii="Times New Roman" w:hAnsi="Times New Roman"/>
          <w:sz w:val="23"/>
          <w:szCs w:val="23"/>
          <w:lang w:val="es-MX"/>
        </w:rPr>
        <w:t xml:space="preserve">seguros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w:t>
      </w:r>
      <w:r w:rsidR="00E51DF3">
        <w:rPr>
          <w:rFonts w:ascii="Times New Roman" w:hAnsi="Times New Roman"/>
          <w:sz w:val="23"/>
          <w:szCs w:val="23"/>
          <w:lang w:val="es-MX"/>
        </w:rPr>
        <w:t>..................</w:t>
      </w:r>
      <w:r w:rsidR="009114C2" w:rsidRPr="004672D9">
        <w:rPr>
          <w:rFonts w:ascii="Times New Roman" w:hAnsi="Times New Roman"/>
          <w:sz w:val="23"/>
          <w:szCs w:val="23"/>
          <w:lang w:val="es-MX"/>
        </w:rPr>
        <w:t>,</w:t>
      </w:r>
      <w:r w:rsidRPr="004672D9">
        <w:rPr>
          <w:rFonts w:ascii="Times New Roman" w:hAnsi="Times New Roman"/>
          <w:sz w:val="23"/>
          <w:szCs w:val="23"/>
          <w:lang w:val="es-MX"/>
        </w:rPr>
        <w:t xml:space="preserve"> la pérdida de la mercadería fue causada por una considerable exposición del producto al sol, descartándose un daño por mal empacado o manipulación externa. Asimismo, </w:t>
      </w:r>
      <w:r w:rsidR="002E0BEE" w:rsidRPr="004672D9">
        <w:rPr>
          <w:rFonts w:ascii="Times New Roman" w:hAnsi="Times New Roman"/>
          <w:sz w:val="23"/>
          <w:szCs w:val="23"/>
          <w:lang w:val="es-MX"/>
        </w:rPr>
        <w:t>los peritos concluyen que hasta el momento en que la mercadería se encontraba bajo riesgo del asegurado, esto es, hasta que el contenedor es puesto a bordo de la</w:t>
      </w:r>
      <w:r w:rsidR="002E0BEE" w:rsidRPr="004672D9">
        <w:rPr>
          <w:rFonts w:ascii="Times New Roman" w:hAnsi="Times New Roman"/>
          <w:bCs/>
          <w:sz w:val="23"/>
          <w:szCs w:val="23"/>
          <w:lang w:val="es-MX"/>
        </w:rPr>
        <w:t xml:space="preserve"> </w:t>
      </w:r>
      <w:proofErr w:type="gramStart"/>
      <w:r w:rsidR="002E0BEE" w:rsidRPr="004672D9">
        <w:rPr>
          <w:rFonts w:ascii="Times New Roman" w:hAnsi="Times New Roman"/>
          <w:bCs/>
          <w:sz w:val="23"/>
          <w:szCs w:val="23"/>
          <w:lang w:val="es-MX"/>
        </w:rPr>
        <w:t xml:space="preserve">embarcación </w:t>
      </w:r>
      <w:r w:rsidR="00E51DF3">
        <w:rPr>
          <w:rFonts w:ascii="Times New Roman" w:hAnsi="Times New Roman"/>
          <w:bCs/>
          <w:sz w:val="23"/>
          <w:szCs w:val="23"/>
          <w:lang w:val="es-MX"/>
        </w:rPr>
        <w:t>..................</w:t>
      </w:r>
      <w:proofErr w:type="gramEnd"/>
      <w:r w:rsidR="002E0BEE" w:rsidRPr="004672D9">
        <w:rPr>
          <w:rFonts w:ascii="Times New Roman" w:hAnsi="Times New Roman"/>
          <w:bCs/>
          <w:sz w:val="23"/>
          <w:szCs w:val="23"/>
          <w:lang w:val="es-MX"/>
        </w:rPr>
        <w:t xml:space="preserve">, </w:t>
      </w:r>
      <w:r w:rsidR="002E0BEE" w:rsidRPr="004672D9">
        <w:rPr>
          <w:rFonts w:ascii="Times New Roman" w:hAnsi="Times New Roman"/>
          <w:sz w:val="23"/>
          <w:szCs w:val="23"/>
          <w:lang w:val="es-MX"/>
        </w:rPr>
        <w:t>el producto no presentó ni alteración ni daños:</w:t>
      </w:r>
    </w:p>
    <w:p w:rsidR="002E0BEE" w:rsidRPr="004672D9" w:rsidRDefault="002E0BEE" w:rsidP="004672D9">
      <w:pPr>
        <w:jc w:val="both"/>
        <w:rPr>
          <w:rFonts w:ascii="Times New Roman" w:hAnsi="Times New Roman"/>
          <w:sz w:val="23"/>
          <w:szCs w:val="23"/>
          <w:lang w:val="es-MX"/>
        </w:rPr>
      </w:pPr>
    </w:p>
    <w:p w:rsidR="002E0BEE" w:rsidRPr="004672D9" w:rsidRDefault="002E0BEE" w:rsidP="004672D9">
      <w:pPr>
        <w:ind w:left="708"/>
        <w:jc w:val="both"/>
        <w:rPr>
          <w:rFonts w:ascii="Times New Roman" w:hAnsi="Times New Roman"/>
          <w:i/>
          <w:iCs/>
          <w:sz w:val="23"/>
          <w:szCs w:val="23"/>
          <w:lang w:val="es-MX"/>
        </w:rPr>
      </w:pPr>
      <w:r w:rsidRPr="004672D9">
        <w:rPr>
          <w:rFonts w:ascii="Times New Roman" w:hAnsi="Times New Roman"/>
          <w:i/>
          <w:iCs/>
          <w:sz w:val="23"/>
          <w:szCs w:val="23"/>
          <w:lang w:val="es-MX"/>
        </w:rPr>
        <w:t>“</w:t>
      </w:r>
      <w:r w:rsidRPr="004672D9">
        <w:rPr>
          <w:rFonts w:ascii="Times New Roman" w:hAnsi="Times New Roman"/>
          <w:i/>
          <w:iCs/>
          <w:sz w:val="23"/>
          <w:szCs w:val="23"/>
          <w:u w:val="single"/>
          <w:lang w:val="es-MX"/>
        </w:rPr>
        <w:t>FUNDAMENTOS DE LA NO COBERTURA</w:t>
      </w:r>
    </w:p>
    <w:p w:rsidR="002E0BEE" w:rsidRPr="004672D9" w:rsidRDefault="002E0BEE" w:rsidP="004672D9">
      <w:pPr>
        <w:ind w:left="708"/>
        <w:jc w:val="both"/>
        <w:rPr>
          <w:rFonts w:ascii="Times New Roman" w:hAnsi="Times New Roman"/>
          <w:i/>
          <w:iCs/>
          <w:sz w:val="23"/>
          <w:szCs w:val="23"/>
          <w:lang w:val="es-MX"/>
        </w:rPr>
      </w:pPr>
      <w:r w:rsidRPr="004672D9">
        <w:rPr>
          <w:rFonts w:ascii="Times New Roman" w:hAnsi="Times New Roman"/>
          <w:i/>
          <w:iCs/>
          <w:sz w:val="23"/>
          <w:szCs w:val="23"/>
          <w:lang w:val="es-MX"/>
        </w:rPr>
        <w:t>En base a la ocurrencia de los hechos, se determina que el presente caso carece de cobertura por los siguientes motivos:</w:t>
      </w:r>
    </w:p>
    <w:p w:rsidR="002E0BEE" w:rsidRPr="004672D9" w:rsidRDefault="002E0BEE" w:rsidP="004672D9">
      <w:pPr>
        <w:numPr>
          <w:ilvl w:val="0"/>
          <w:numId w:val="10"/>
        </w:numPr>
        <w:jc w:val="both"/>
        <w:rPr>
          <w:rFonts w:ascii="Times New Roman" w:hAnsi="Times New Roman"/>
          <w:i/>
          <w:iCs/>
          <w:sz w:val="23"/>
          <w:szCs w:val="23"/>
          <w:lang w:val="es-MX"/>
        </w:rPr>
      </w:pPr>
      <w:r w:rsidRPr="004672D9">
        <w:rPr>
          <w:rFonts w:ascii="Times New Roman" w:hAnsi="Times New Roman"/>
          <w:i/>
          <w:iCs/>
          <w:sz w:val="23"/>
          <w:szCs w:val="23"/>
          <w:lang w:val="es-MX"/>
        </w:rPr>
        <w:t>En principio, no se ha establecido la existencia de algún agente externo que haya permitido la afectación del cargamento; esto, corroborado en la inspección realizada en destino final, conjuntamente con el receptor.</w:t>
      </w:r>
    </w:p>
    <w:p w:rsidR="002E0BEE" w:rsidRPr="004672D9" w:rsidRDefault="002E0BEE" w:rsidP="004672D9">
      <w:pPr>
        <w:numPr>
          <w:ilvl w:val="0"/>
          <w:numId w:val="10"/>
        </w:numPr>
        <w:jc w:val="both"/>
        <w:rPr>
          <w:rFonts w:ascii="Times New Roman" w:hAnsi="Times New Roman"/>
          <w:i/>
          <w:iCs/>
          <w:sz w:val="23"/>
          <w:szCs w:val="23"/>
          <w:lang w:val="es-MX"/>
        </w:rPr>
      </w:pPr>
      <w:r w:rsidRPr="004672D9">
        <w:rPr>
          <w:rFonts w:ascii="Times New Roman" w:hAnsi="Times New Roman"/>
          <w:i/>
          <w:iCs/>
          <w:sz w:val="23"/>
          <w:szCs w:val="23"/>
          <w:lang w:val="es-MX"/>
        </w:rPr>
        <w:t xml:space="preserve">Basado en el tipo de compraventa, se corrobora con los resultados de calidad del producto tomado como muestra, que antes de ser embarcado presentó </w:t>
      </w:r>
      <w:r w:rsidR="00125A84" w:rsidRPr="004672D9">
        <w:rPr>
          <w:rFonts w:ascii="Times New Roman" w:hAnsi="Times New Roman"/>
          <w:i/>
          <w:iCs/>
          <w:sz w:val="23"/>
          <w:szCs w:val="23"/>
          <w:lang w:val="es-MX"/>
        </w:rPr>
        <w:t xml:space="preserve">optima </w:t>
      </w:r>
      <w:r w:rsidR="00125A84" w:rsidRPr="004672D9">
        <w:rPr>
          <w:rFonts w:ascii="Times New Roman" w:hAnsi="Times New Roman"/>
          <w:i/>
          <w:iCs/>
          <w:sz w:val="23"/>
          <w:szCs w:val="23"/>
          <w:lang w:val="es-MX"/>
        </w:rPr>
        <w:lastRenderedPageBreak/>
        <w:t>condición, lo que denota que hasta el momento en que la carga se encontraba bajo riesgo del Asegurado, el producto no presentó ningún tipo de alteración ni daños.</w:t>
      </w:r>
    </w:p>
    <w:p w:rsidR="00125A84" w:rsidRPr="004672D9" w:rsidRDefault="00125A84" w:rsidP="004672D9">
      <w:pPr>
        <w:ind w:left="1068"/>
        <w:jc w:val="both"/>
        <w:rPr>
          <w:rFonts w:ascii="Times New Roman" w:hAnsi="Times New Roman"/>
          <w:i/>
          <w:iCs/>
          <w:sz w:val="23"/>
          <w:szCs w:val="23"/>
          <w:lang w:val="es-MX"/>
        </w:rPr>
      </w:pPr>
      <w:r w:rsidRPr="004672D9">
        <w:rPr>
          <w:rFonts w:ascii="Times New Roman" w:hAnsi="Times New Roman"/>
          <w:i/>
          <w:iCs/>
          <w:sz w:val="23"/>
          <w:szCs w:val="23"/>
          <w:lang w:val="es-MX"/>
        </w:rPr>
        <w:t xml:space="preserve">El Informe de Ensayo de fecha 16/08/2017 indica resultados satisfactorios, lo que demuestra que el producto fue embarcado en perfecto estado. Es preciso indicar que lo analizado corresponde a muestras entregadas por el Asegurado y no tomadas por la </w:t>
      </w:r>
      <w:proofErr w:type="gramStart"/>
      <w:r w:rsidRPr="004672D9">
        <w:rPr>
          <w:rFonts w:ascii="Times New Roman" w:hAnsi="Times New Roman"/>
          <w:i/>
          <w:iCs/>
          <w:sz w:val="23"/>
          <w:szCs w:val="23"/>
          <w:lang w:val="es-MX"/>
        </w:rPr>
        <w:t xml:space="preserve">empresa </w:t>
      </w:r>
      <w:bookmarkStart w:id="0" w:name="_GoBack"/>
      <w:r w:rsidR="00E51DF3">
        <w:rPr>
          <w:rFonts w:ascii="Times New Roman" w:hAnsi="Times New Roman"/>
          <w:i/>
          <w:iCs/>
          <w:sz w:val="23"/>
          <w:szCs w:val="23"/>
          <w:lang w:val="es-MX"/>
        </w:rPr>
        <w:t>..................</w:t>
      </w:r>
      <w:bookmarkEnd w:id="0"/>
      <w:r w:rsidRPr="004672D9">
        <w:rPr>
          <w:rFonts w:ascii="Times New Roman" w:hAnsi="Times New Roman"/>
          <w:i/>
          <w:iCs/>
          <w:sz w:val="23"/>
          <w:szCs w:val="23"/>
          <w:lang w:val="es-MX"/>
        </w:rPr>
        <w:t>.</w:t>
      </w:r>
      <w:proofErr w:type="gramEnd"/>
    </w:p>
    <w:p w:rsidR="00125A84" w:rsidRPr="004672D9" w:rsidRDefault="00125A84" w:rsidP="004672D9">
      <w:pPr>
        <w:numPr>
          <w:ilvl w:val="0"/>
          <w:numId w:val="10"/>
        </w:numPr>
        <w:jc w:val="both"/>
        <w:rPr>
          <w:rFonts w:ascii="Times New Roman" w:hAnsi="Times New Roman"/>
          <w:i/>
          <w:iCs/>
          <w:sz w:val="23"/>
          <w:szCs w:val="23"/>
          <w:lang w:val="es-MX"/>
        </w:rPr>
      </w:pPr>
      <w:r w:rsidRPr="004672D9">
        <w:rPr>
          <w:rFonts w:ascii="Times New Roman" w:hAnsi="Times New Roman"/>
          <w:i/>
          <w:iCs/>
          <w:sz w:val="23"/>
          <w:szCs w:val="23"/>
          <w:lang w:val="es-MX"/>
        </w:rPr>
        <w:t>No existe ninguna anotación e instrucción alguna del Asegurado respecto al cuidado extremo que debía tener la carga y el manejo de estos, como por ejemplo, a decir del Asegurado, no debía estar expuesto demasiado tiempo a la luz solar.</w:t>
      </w:r>
    </w:p>
    <w:p w:rsidR="00125A84" w:rsidRPr="004672D9" w:rsidRDefault="00125A84" w:rsidP="004672D9">
      <w:pPr>
        <w:numPr>
          <w:ilvl w:val="0"/>
          <w:numId w:val="10"/>
        </w:numPr>
        <w:jc w:val="both"/>
        <w:rPr>
          <w:rFonts w:ascii="Times New Roman" w:hAnsi="Times New Roman"/>
          <w:i/>
          <w:iCs/>
          <w:sz w:val="23"/>
          <w:szCs w:val="23"/>
          <w:lang w:val="es-MX"/>
        </w:rPr>
      </w:pPr>
      <w:r w:rsidRPr="004672D9">
        <w:rPr>
          <w:rFonts w:ascii="Times New Roman" w:hAnsi="Times New Roman"/>
          <w:i/>
          <w:iCs/>
          <w:sz w:val="23"/>
          <w:szCs w:val="23"/>
          <w:lang w:val="es-MX"/>
        </w:rPr>
        <w:t xml:space="preserve">Se desconoce el tratamiento que tuvo la carga una vez arribada a puerto de destino ya que </w:t>
      </w:r>
      <w:r w:rsidRPr="004672D9">
        <w:rPr>
          <w:rFonts w:ascii="Times New Roman" w:hAnsi="Times New Roman"/>
          <w:i/>
          <w:iCs/>
          <w:sz w:val="23"/>
          <w:szCs w:val="23"/>
          <w:u w:val="single"/>
          <w:lang w:val="es-MX"/>
        </w:rPr>
        <w:t>no se ha aportado el acta de desconsolidación</w:t>
      </w:r>
      <w:r w:rsidRPr="004672D9">
        <w:rPr>
          <w:rFonts w:ascii="Times New Roman" w:hAnsi="Times New Roman"/>
          <w:i/>
          <w:iCs/>
          <w:sz w:val="23"/>
          <w:szCs w:val="23"/>
          <w:lang w:val="es-MX"/>
        </w:rPr>
        <w:t>.</w:t>
      </w:r>
    </w:p>
    <w:p w:rsidR="00125A84" w:rsidRPr="004672D9" w:rsidRDefault="00125A84" w:rsidP="004672D9">
      <w:pPr>
        <w:numPr>
          <w:ilvl w:val="0"/>
          <w:numId w:val="10"/>
        </w:numPr>
        <w:jc w:val="both"/>
        <w:rPr>
          <w:rFonts w:ascii="Times New Roman" w:hAnsi="Times New Roman"/>
          <w:i/>
          <w:iCs/>
          <w:sz w:val="23"/>
          <w:szCs w:val="23"/>
          <w:lang w:val="es-MX"/>
        </w:rPr>
      </w:pPr>
      <w:r w:rsidRPr="004672D9">
        <w:rPr>
          <w:rFonts w:ascii="Times New Roman" w:hAnsi="Times New Roman"/>
          <w:i/>
          <w:iCs/>
          <w:sz w:val="23"/>
          <w:szCs w:val="23"/>
          <w:lang w:val="es-MX"/>
        </w:rPr>
        <w:t>Acerca de los embarques pasados y posteriores al caso que nos ocupa, aportados por el Asegurado y que según indican no presentaron problemas en la entrega, nos daría una explicación de que en el caso que nos ocupa, la carga no haya sido adecuadamente manipulada en destino.</w:t>
      </w:r>
    </w:p>
    <w:p w:rsidR="009114C2" w:rsidRPr="004672D9" w:rsidRDefault="009114C2" w:rsidP="004672D9">
      <w:pPr>
        <w:ind w:left="708"/>
        <w:jc w:val="both"/>
        <w:rPr>
          <w:rFonts w:ascii="Times New Roman" w:hAnsi="Times New Roman"/>
          <w:i/>
          <w:iCs/>
          <w:sz w:val="23"/>
          <w:szCs w:val="23"/>
          <w:lang w:val="es-MX"/>
        </w:rPr>
      </w:pPr>
      <w:r w:rsidRPr="004672D9">
        <w:rPr>
          <w:rFonts w:ascii="Times New Roman" w:hAnsi="Times New Roman"/>
          <w:i/>
          <w:iCs/>
          <w:sz w:val="23"/>
          <w:szCs w:val="23"/>
          <w:lang w:val="es-MX"/>
        </w:rPr>
        <w:t>Ante ello, en la evaluación del presente no hemos encontrado evidencias de que los daños se hayan originado en el curso ordinario de la vigencia de la póliza, basados principalmente en cuanto a los términos de compra/venta acordados (FOB)</w:t>
      </w:r>
    </w:p>
    <w:p w:rsidR="009114C2" w:rsidRPr="004672D9" w:rsidRDefault="009114C2" w:rsidP="004672D9">
      <w:pPr>
        <w:ind w:left="708"/>
        <w:jc w:val="both"/>
        <w:rPr>
          <w:rFonts w:ascii="Times New Roman" w:hAnsi="Times New Roman"/>
          <w:sz w:val="23"/>
          <w:szCs w:val="23"/>
          <w:lang w:val="es-MX"/>
        </w:rPr>
      </w:pPr>
      <w:r w:rsidRPr="004672D9">
        <w:rPr>
          <w:rFonts w:ascii="Times New Roman" w:hAnsi="Times New Roman"/>
          <w:i/>
          <w:iCs/>
          <w:sz w:val="23"/>
          <w:szCs w:val="23"/>
          <w:lang w:val="es-MX"/>
        </w:rPr>
        <w:t>Siendo que, al haberse despachado la carga en perfecto estado hasta la puesta de esta a bordo del buque y siendo la responsabilidad del receptor a partir de dicho punto, consideramos que el riesgo debe ser asumido por el receptor. El tratamiento de la carga en destino escapó al control, manejo y responsabilidad del Asegurado”</w:t>
      </w:r>
      <w:r w:rsidRPr="004672D9">
        <w:rPr>
          <w:rFonts w:ascii="Times New Roman" w:hAnsi="Times New Roman"/>
          <w:sz w:val="23"/>
          <w:szCs w:val="23"/>
          <w:lang w:val="es-MX"/>
        </w:rPr>
        <w:t>.</w:t>
      </w:r>
    </w:p>
    <w:p w:rsidR="009114C2" w:rsidRPr="004672D9" w:rsidRDefault="009114C2" w:rsidP="004672D9">
      <w:pPr>
        <w:jc w:val="both"/>
        <w:rPr>
          <w:rFonts w:ascii="Times New Roman" w:hAnsi="Times New Roman"/>
          <w:sz w:val="23"/>
          <w:szCs w:val="23"/>
          <w:lang w:val="es-MX"/>
        </w:rPr>
      </w:pPr>
      <w:r w:rsidRPr="004672D9">
        <w:rPr>
          <w:rFonts w:ascii="Times New Roman" w:hAnsi="Times New Roman"/>
          <w:sz w:val="23"/>
          <w:szCs w:val="23"/>
          <w:lang w:val="es-MX"/>
        </w:rPr>
        <w:t xml:space="preserve">Como puede apreciarse, la prueba pericial actuada para evaluar la causa del siniestro descarta que ésta se haya presentado en la etapa en que la mercadería se encontraba en el puerto de embarque. </w:t>
      </w:r>
    </w:p>
    <w:p w:rsidR="002E0BEE" w:rsidRPr="004672D9" w:rsidRDefault="009114C2" w:rsidP="004672D9">
      <w:pPr>
        <w:jc w:val="both"/>
        <w:rPr>
          <w:rFonts w:ascii="Times New Roman" w:hAnsi="Times New Roman"/>
          <w:sz w:val="23"/>
          <w:szCs w:val="23"/>
          <w:lang w:val="es-MX"/>
        </w:rPr>
      </w:pPr>
      <w:r w:rsidRPr="004672D9">
        <w:rPr>
          <w:rFonts w:ascii="Times New Roman" w:hAnsi="Times New Roman"/>
          <w:sz w:val="23"/>
          <w:szCs w:val="23"/>
          <w:lang w:val="es-MX"/>
        </w:rPr>
        <w:t>En el presente caso, para los peritos no existe evidencia que permita concluir que los daños a la mercadería como consecuencia de una considerable exposición del producto al sol se hayan generado durante el proceso de manipulación en el Puerto de Embarque (Callao).</w:t>
      </w:r>
    </w:p>
    <w:p w:rsidR="009114C2" w:rsidRPr="004672D9" w:rsidRDefault="0040038A" w:rsidP="004672D9">
      <w:pPr>
        <w:jc w:val="both"/>
        <w:rPr>
          <w:rFonts w:ascii="Times New Roman" w:hAnsi="Times New Roman"/>
          <w:sz w:val="23"/>
          <w:szCs w:val="23"/>
          <w:lang w:val="es-MX"/>
        </w:rPr>
      </w:pPr>
      <w:r w:rsidRPr="004672D9">
        <w:rPr>
          <w:rFonts w:ascii="Times New Roman" w:hAnsi="Times New Roman"/>
          <w:sz w:val="23"/>
          <w:szCs w:val="23"/>
          <w:lang w:val="es-MX"/>
        </w:rPr>
        <w:t xml:space="preserve">Incluso, los peritos al analizar como hipótesis que el daño se hubiera producido por una inadecuada manipulación de la mercadería durante los procesos aduaneros y embarque de exportación en el Puerto del Callao, </w:t>
      </w:r>
      <w:r w:rsidR="00332340" w:rsidRPr="004672D9">
        <w:rPr>
          <w:rFonts w:ascii="Times New Roman" w:hAnsi="Times New Roman"/>
          <w:sz w:val="23"/>
          <w:szCs w:val="23"/>
          <w:lang w:val="es-MX"/>
        </w:rPr>
        <w:t xml:space="preserve">los ajustadores de seguros determinan que no existe evidencia que el asegurado haya brindado al operador de la carga la suficiente y apropiada información sobre los cuidados especiales que debía tenerse en consideración en las operaciones de embarque, de manera que en la eventualidad de haberse probado tal hipótesis, tampoco procedería la cobertura por operar la exclusión por </w:t>
      </w:r>
      <w:r w:rsidR="00A32F5E" w:rsidRPr="004672D9">
        <w:rPr>
          <w:rFonts w:ascii="Times New Roman" w:hAnsi="Times New Roman"/>
          <w:sz w:val="23"/>
          <w:szCs w:val="23"/>
          <w:lang w:val="es-MX"/>
        </w:rPr>
        <w:t>“pérdida, daño o gasto causado por insuficiencia o inapropiado embalaje o preparación del interés asegurado para prevenir accidentes ordinarios del tránsito asegurado”</w:t>
      </w:r>
      <w:r w:rsidR="00332340" w:rsidRPr="004672D9">
        <w:rPr>
          <w:rFonts w:ascii="Times New Roman" w:hAnsi="Times New Roman"/>
          <w:sz w:val="23"/>
          <w:szCs w:val="23"/>
          <w:lang w:val="es-MX"/>
        </w:rPr>
        <w:t>:</w:t>
      </w:r>
    </w:p>
    <w:p w:rsidR="00A32F5E" w:rsidRPr="004672D9" w:rsidRDefault="00A32F5E" w:rsidP="004672D9">
      <w:pPr>
        <w:ind w:left="708"/>
        <w:jc w:val="both"/>
        <w:rPr>
          <w:rFonts w:ascii="Times New Roman" w:hAnsi="Times New Roman"/>
          <w:i/>
          <w:iCs/>
          <w:sz w:val="23"/>
          <w:szCs w:val="23"/>
          <w:u w:val="single"/>
          <w:lang w:val="es-MX"/>
        </w:rPr>
      </w:pPr>
      <w:r w:rsidRPr="004672D9">
        <w:rPr>
          <w:rFonts w:ascii="Times New Roman" w:hAnsi="Times New Roman"/>
          <w:i/>
          <w:iCs/>
          <w:sz w:val="23"/>
          <w:szCs w:val="23"/>
          <w:lang w:val="es-MX"/>
        </w:rPr>
        <w:t>“</w:t>
      </w:r>
      <w:r w:rsidRPr="004672D9">
        <w:rPr>
          <w:rFonts w:ascii="Times New Roman" w:hAnsi="Times New Roman"/>
          <w:i/>
          <w:iCs/>
          <w:sz w:val="23"/>
          <w:szCs w:val="23"/>
          <w:u w:val="single"/>
          <w:lang w:val="es-MX"/>
        </w:rPr>
        <w:t>CAUSAS</w:t>
      </w:r>
    </w:p>
    <w:p w:rsidR="00A32F5E" w:rsidRPr="004672D9" w:rsidRDefault="00A32F5E" w:rsidP="004672D9">
      <w:pPr>
        <w:numPr>
          <w:ilvl w:val="0"/>
          <w:numId w:val="10"/>
        </w:numPr>
        <w:jc w:val="both"/>
        <w:rPr>
          <w:rFonts w:ascii="Times New Roman" w:hAnsi="Times New Roman"/>
          <w:i/>
          <w:iCs/>
          <w:sz w:val="23"/>
          <w:szCs w:val="23"/>
          <w:u w:val="single"/>
          <w:lang w:val="es-MX"/>
        </w:rPr>
      </w:pPr>
      <w:r w:rsidRPr="004672D9">
        <w:rPr>
          <w:rFonts w:ascii="Times New Roman" w:hAnsi="Times New Roman"/>
          <w:i/>
          <w:iCs/>
          <w:sz w:val="23"/>
          <w:szCs w:val="23"/>
          <w:lang w:val="es-MX"/>
        </w:rPr>
        <w:lastRenderedPageBreak/>
        <w:t>Pérdida, daño o gasto causado por la insuficiencia o lo inapropiado del embalaje o preparación del interés asegurado</w:t>
      </w:r>
    </w:p>
    <w:p w:rsidR="00A32F5E" w:rsidRPr="004672D9" w:rsidRDefault="00A32F5E" w:rsidP="004672D9">
      <w:pPr>
        <w:ind w:left="708"/>
        <w:jc w:val="both"/>
        <w:rPr>
          <w:rFonts w:ascii="Times New Roman" w:hAnsi="Times New Roman"/>
          <w:i/>
          <w:iCs/>
          <w:sz w:val="23"/>
          <w:szCs w:val="23"/>
          <w:u w:val="single"/>
          <w:lang w:val="es-MX"/>
        </w:rPr>
      </w:pPr>
      <w:r w:rsidRPr="004672D9">
        <w:rPr>
          <w:rFonts w:ascii="Times New Roman" w:hAnsi="Times New Roman"/>
          <w:i/>
          <w:iCs/>
          <w:sz w:val="23"/>
          <w:szCs w:val="23"/>
          <w:lang w:val="es-MX"/>
        </w:rPr>
        <w:t>La correcta preparación de un cargamento para la aventura incluye las instrucciones que se deben brindar para la correcta manipulación de productos que pueden ser considerados delicados, situación que en el presente caso el operador de la carga no lo tomó en cuenta en las operaciones de estiba al no haberlas recibido, tal como se desprende de la respuesta a las cartas de reclamo que les hicieron llegar y que se adjuntan al presente”.</w:t>
      </w:r>
    </w:p>
    <w:p w:rsidR="00A32F5E" w:rsidRPr="004672D9" w:rsidRDefault="00A32F5E" w:rsidP="004672D9">
      <w:pPr>
        <w:jc w:val="both"/>
        <w:rPr>
          <w:rFonts w:ascii="Times New Roman" w:hAnsi="Times New Roman"/>
          <w:sz w:val="23"/>
          <w:szCs w:val="23"/>
          <w:lang w:val="es-MX"/>
        </w:rPr>
      </w:pPr>
      <w:r w:rsidRPr="004672D9">
        <w:rPr>
          <w:rFonts w:ascii="Times New Roman" w:hAnsi="Times New Roman"/>
          <w:sz w:val="23"/>
          <w:szCs w:val="23"/>
          <w:lang w:val="es-MX"/>
        </w:rPr>
        <w:t>El asegurado no está de acuerdo con el análisis ni las conclusiones del perito. Si bien</w:t>
      </w:r>
      <w:r w:rsidR="008F54D9" w:rsidRPr="004672D9">
        <w:rPr>
          <w:rFonts w:ascii="Times New Roman" w:hAnsi="Times New Roman"/>
          <w:sz w:val="23"/>
          <w:szCs w:val="23"/>
          <w:lang w:val="es-MX"/>
        </w:rPr>
        <w:t xml:space="preserve"> el reclamante </w:t>
      </w:r>
      <w:r w:rsidRPr="004672D9">
        <w:rPr>
          <w:rFonts w:ascii="Times New Roman" w:hAnsi="Times New Roman"/>
          <w:sz w:val="23"/>
          <w:szCs w:val="23"/>
          <w:lang w:val="es-MX"/>
        </w:rPr>
        <w:t xml:space="preserve">formula sus apreciaciones y argumentos relativos a las causas del siniestro, </w:t>
      </w:r>
      <w:r w:rsidR="008F54D9" w:rsidRPr="004672D9">
        <w:rPr>
          <w:rFonts w:ascii="Times New Roman" w:hAnsi="Times New Roman"/>
          <w:sz w:val="23"/>
          <w:szCs w:val="23"/>
          <w:lang w:val="es-MX"/>
        </w:rPr>
        <w:t>empero se</w:t>
      </w:r>
      <w:r w:rsidRPr="004672D9">
        <w:rPr>
          <w:rFonts w:ascii="Times New Roman" w:hAnsi="Times New Roman"/>
          <w:sz w:val="23"/>
          <w:szCs w:val="23"/>
          <w:lang w:val="es-MX"/>
        </w:rPr>
        <w:t xml:space="preserve"> aprecia que el asegurado no ha solicitado otro ajuste, tampoco ha aportado otro informe de experto que permita contrastar el análisis y conclusiones </w:t>
      </w:r>
      <w:proofErr w:type="gramStart"/>
      <w:r w:rsidRPr="004672D9">
        <w:rPr>
          <w:rFonts w:ascii="Times New Roman" w:hAnsi="Times New Roman"/>
          <w:sz w:val="23"/>
          <w:szCs w:val="23"/>
          <w:lang w:val="es-MX"/>
        </w:rPr>
        <w:t xml:space="preserve">de </w:t>
      </w:r>
      <w:r w:rsidR="00E51DF3">
        <w:rPr>
          <w:rFonts w:ascii="Times New Roman" w:hAnsi="Times New Roman"/>
          <w:sz w:val="23"/>
          <w:szCs w:val="23"/>
          <w:lang w:val="es-MX"/>
        </w:rPr>
        <w:t>..................</w:t>
      </w:r>
      <w:proofErr w:type="gramEnd"/>
      <w:r w:rsidRPr="004672D9">
        <w:rPr>
          <w:rFonts w:ascii="Times New Roman" w:hAnsi="Times New Roman"/>
          <w:sz w:val="23"/>
          <w:szCs w:val="23"/>
          <w:lang w:val="es-MX"/>
        </w:rPr>
        <w:t xml:space="preserve">, </w:t>
      </w:r>
      <w:r w:rsidR="00E51DF3">
        <w:rPr>
          <w:rFonts w:ascii="Times New Roman" w:hAnsi="Times New Roman"/>
          <w:sz w:val="23"/>
          <w:szCs w:val="23"/>
          <w:lang w:val="es-MX"/>
        </w:rPr>
        <w:t>..................</w:t>
      </w:r>
      <w:r w:rsidRPr="004672D9">
        <w:rPr>
          <w:rFonts w:ascii="Times New Roman" w:hAnsi="Times New Roman"/>
          <w:sz w:val="23"/>
          <w:szCs w:val="23"/>
          <w:lang w:val="es-MX"/>
        </w:rPr>
        <w:t>.</w:t>
      </w:r>
    </w:p>
    <w:p w:rsidR="00A32F5E" w:rsidRPr="004672D9" w:rsidRDefault="00A32F5E" w:rsidP="004672D9">
      <w:pPr>
        <w:jc w:val="both"/>
        <w:rPr>
          <w:rFonts w:ascii="Times New Roman" w:hAnsi="Times New Roman"/>
          <w:sz w:val="23"/>
          <w:szCs w:val="23"/>
          <w:lang w:val="es-MX"/>
        </w:rPr>
      </w:pPr>
      <w:r w:rsidRPr="004672D9">
        <w:rPr>
          <w:rFonts w:ascii="Times New Roman" w:hAnsi="Times New Roman"/>
          <w:sz w:val="23"/>
          <w:szCs w:val="23"/>
          <w:lang w:val="es-MX"/>
        </w:rPr>
        <w:t>En ese sentido,</w:t>
      </w:r>
      <w:r w:rsidR="008F54D9" w:rsidRPr="004672D9">
        <w:rPr>
          <w:rFonts w:ascii="Times New Roman" w:hAnsi="Times New Roman"/>
          <w:sz w:val="23"/>
          <w:szCs w:val="23"/>
          <w:lang w:val="es-MX"/>
        </w:rPr>
        <w:t xml:space="preserve"> para el colegiado está probado en autos que el asegurado no ha demostrado la ocurrencia de un siniestro bajo cobertura, tal como lo establece el </w:t>
      </w:r>
      <w:r w:rsidR="008F54D9" w:rsidRPr="004672D9">
        <w:rPr>
          <w:rFonts w:ascii="Times New Roman" w:hAnsi="Times New Roman"/>
          <w:bCs/>
          <w:sz w:val="23"/>
          <w:szCs w:val="23"/>
        </w:rPr>
        <w:t>artículo 77 de la Ley del Contrato de Seguro.</w:t>
      </w:r>
      <w:r w:rsidRPr="004672D9">
        <w:rPr>
          <w:rFonts w:ascii="Times New Roman" w:hAnsi="Times New Roman"/>
          <w:sz w:val="23"/>
          <w:szCs w:val="23"/>
          <w:lang w:val="es-MX"/>
        </w:rPr>
        <w:t xml:space="preserve"> </w:t>
      </w:r>
    </w:p>
    <w:p w:rsidR="00CE7EED" w:rsidRPr="004672D9" w:rsidRDefault="008F54D9" w:rsidP="004672D9">
      <w:pPr>
        <w:tabs>
          <w:tab w:val="left" w:pos="2386"/>
        </w:tabs>
        <w:jc w:val="both"/>
        <w:outlineLvl w:val="0"/>
        <w:rPr>
          <w:rFonts w:ascii="Times New Roman" w:hAnsi="Times New Roman"/>
          <w:sz w:val="23"/>
          <w:szCs w:val="23"/>
        </w:rPr>
      </w:pPr>
      <w:r w:rsidRPr="004672D9">
        <w:rPr>
          <w:rFonts w:ascii="Times New Roman" w:hAnsi="Times New Roman"/>
          <w:b/>
          <w:sz w:val="23"/>
          <w:szCs w:val="23"/>
          <w:u w:val="single"/>
        </w:rPr>
        <w:t>OCTAVO</w:t>
      </w:r>
      <w:r w:rsidR="003E51A0" w:rsidRPr="004672D9">
        <w:rPr>
          <w:rFonts w:ascii="Times New Roman" w:hAnsi="Times New Roman"/>
          <w:b/>
          <w:sz w:val="23"/>
          <w:szCs w:val="23"/>
        </w:rPr>
        <w:t>:</w:t>
      </w:r>
      <w:r w:rsidR="003E51A0" w:rsidRPr="004672D9">
        <w:rPr>
          <w:rFonts w:ascii="Times New Roman" w:hAnsi="Times New Roman"/>
          <w:sz w:val="23"/>
          <w:szCs w:val="23"/>
          <w:lang w:val="es-MX"/>
        </w:rPr>
        <w:t xml:space="preserve"> </w:t>
      </w:r>
      <w:r w:rsidR="00CE7EED" w:rsidRPr="004672D9">
        <w:rPr>
          <w:rFonts w:ascii="Times New Roman" w:hAnsi="Times New Roman"/>
          <w:sz w:val="23"/>
          <w:szCs w:val="23"/>
        </w:rPr>
        <w:t>Que, en esa medida, este colegiado concluye su apreciación razonada y conjunta al amparo de lo establecido en su Reglamento estimando que existen razones fundadas para calificar que el rechazo de cobertura al cual se contrae la presente reclamación es legítimo por ajustarse a derecho, por lo que;</w:t>
      </w:r>
    </w:p>
    <w:p w:rsidR="004710D8" w:rsidRPr="004672D9" w:rsidRDefault="00EA6CE7" w:rsidP="004672D9">
      <w:pPr>
        <w:jc w:val="both"/>
        <w:rPr>
          <w:rFonts w:ascii="Times New Roman" w:hAnsi="Times New Roman"/>
          <w:b/>
          <w:sz w:val="23"/>
          <w:szCs w:val="23"/>
        </w:rPr>
      </w:pPr>
      <w:r w:rsidRPr="004672D9">
        <w:rPr>
          <w:rFonts w:ascii="Times New Roman" w:hAnsi="Times New Roman"/>
          <w:b/>
          <w:sz w:val="23"/>
          <w:szCs w:val="23"/>
        </w:rPr>
        <w:t>RESUELVE:</w:t>
      </w:r>
    </w:p>
    <w:p w:rsidR="00CE7EED" w:rsidRPr="004672D9" w:rsidRDefault="00CE7EED" w:rsidP="004672D9">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sz w:val="23"/>
          <w:szCs w:val="23"/>
        </w:rPr>
      </w:pPr>
      <w:r w:rsidRPr="004672D9">
        <w:rPr>
          <w:rFonts w:ascii="Times New Roman" w:eastAsia="Arial Unicode MS" w:hAnsi="Times New Roman"/>
          <w:sz w:val="23"/>
          <w:szCs w:val="23"/>
        </w:rPr>
        <w:t xml:space="preserve">Declarar </w:t>
      </w:r>
      <w:r w:rsidRPr="004672D9">
        <w:rPr>
          <w:rFonts w:ascii="Times New Roman" w:eastAsia="Arial Unicode MS" w:hAnsi="Times New Roman"/>
          <w:b/>
          <w:sz w:val="23"/>
          <w:szCs w:val="23"/>
        </w:rPr>
        <w:t>INFUNDADA</w:t>
      </w:r>
      <w:r w:rsidRPr="004672D9">
        <w:rPr>
          <w:rFonts w:ascii="Times New Roman" w:eastAsia="Arial Unicode MS" w:hAnsi="Times New Roman"/>
          <w:sz w:val="23"/>
          <w:szCs w:val="23"/>
        </w:rPr>
        <w:t xml:space="preserve"> la reclamación interpuesta </w:t>
      </w:r>
      <w:proofErr w:type="gramStart"/>
      <w:r w:rsidRPr="004672D9">
        <w:rPr>
          <w:rFonts w:ascii="Times New Roman" w:eastAsia="Arial Unicode MS" w:hAnsi="Times New Roman"/>
          <w:sz w:val="23"/>
          <w:szCs w:val="23"/>
        </w:rPr>
        <w:t>por</w:t>
      </w:r>
      <w:r w:rsidRPr="004672D9">
        <w:rPr>
          <w:rFonts w:ascii="Times New Roman" w:hAnsi="Times New Roman"/>
          <w:sz w:val="23"/>
          <w:szCs w:val="23"/>
        </w:rPr>
        <w:t xml:space="preserve"> </w:t>
      </w:r>
      <w:r w:rsidR="00E51DF3">
        <w:rPr>
          <w:rFonts w:ascii="Times New Roman" w:hAnsi="Times New Roman"/>
          <w:b/>
          <w:bCs/>
          <w:sz w:val="23"/>
          <w:szCs w:val="23"/>
          <w:lang w:val="es-MX"/>
        </w:rPr>
        <w:t>..................</w:t>
      </w:r>
      <w:r w:rsidR="008F54D9" w:rsidRPr="004672D9">
        <w:rPr>
          <w:rFonts w:ascii="Times New Roman" w:hAnsi="Times New Roman"/>
          <w:b/>
          <w:bCs/>
          <w:sz w:val="23"/>
          <w:szCs w:val="23"/>
          <w:lang w:val="es-MX"/>
        </w:rPr>
        <w:t>.</w:t>
      </w:r>
      <w:proofErr w:type="gramEnd"/>
      <w:r w:rsidR="008F54D9" w:rsidRPr="004672D9">
        <w:rPr>
          <w:rFonts w:ascii="Times New Roman" w:hAnsi="Times New Roman"/>
          <w:b/>
          <w:bCs/>
          <w:sz w:val="23"/>
          <w:szCs w:val="23"/>
          <w:lang w:val="es-MX"/>
        </w:rPr>
        <w:t xml:space="preserve"> </w:t>
      </w:r>
      <w:r w:rsidR="008F54D9" w:rsidRPr="004672D9">
        <w:rPr>
          <w:rFonts w:ascii="Times New Roman" w:hAnsi="Times New Roman"/>
          <w:sz w:val="23"/>
          <w:szCs w:val="23"/>
        </w:rPr>
        <w:t xml:space="preserve">contra </w:t>
      </w:r>
      <w:r w:rsidR="00E51DF3">
        <w:rPr>
          <w:rFonts w:ascii="Times New Roman" w:hAnsi="Times New Roman"/>
          <w:b/>
          <w:bCs/>
          <w:sz w:val="23"/>
          <w:szCs w:val="23"/>
          <w:lang w:val="es-MX"/>
        </w:rPr>
        <w:t>..................</w:t>
      </w:r>
      <w:r w:rsidR="008F54D9" w:rsidRPr="004672D9">
        <w:rPr>
          <w:rFonts w:ascii="Times New Roman" w:hAnsi="Times New Roman"/>
          <w:b/>
          <w:bCs/>
          <w:sz w:val="23"/>
          <w:szCs w:val="23"/>
          <w:lang w:val="es-MX"/>
        </w:rPr>
        <w:t xml:space="preserve"> Seguros</w:t>
      </w:r>
      <w:r w:rsidRPr="004672D9">
        <w:rPr>
          <w:rFonts w:ascii="Times New Roman" w:hAnsi="Times New Roman"/>
          <w:sz w:val="23"/>
          <w:szCs w:val="23"/>
        </w:rPr>
        <w:t>, dejando a salvo el derecho de la empresa reclamante de recurrir a las instancias que considere pertinentes.</w:t>
      </w:r>
    </w:p>
    <w:p w:rsidR="00CE7EED" w:rsidRPr="004672D9" w:rsidRDefault="00CE7EED" w:rsidP="004672D9">
      <w:pPr>
        <w:jc w:val="both"/>
        <w:outlineLvl w:val="0"/>
        <w:rPr>
          <w:rFonts w:ascii="Times New Roman" w:hAnsi="Times New Roman"/>
          <w:sz w:val="23"/>
          <w:szCs w:val="23"/>
        </w:rPr>
      </w:pPr>
      <w:r w:rsidRPr="004672D9">
        <w:rPr>
          <w:rFonts w:ascii="Times New Roman" w:hAnsi="Times New Roman"/>
          <w:sz w:val="23"/>
          <w:szCs w:val="23"/>
        </w:rPr>
        <w:t xml:space="preserve"> </w:t>
      </w:r>
    </w:p>
    <w:p w:rsidR="00CE7EED" w:rsidRDefault="00CE7EED" w:rsidP="004672D9">
      <w:pPr>
        <w:ind w:left="5664"/>
        <w:jc w:val="both"/>
        <w:outlineLvl w:val="0"/>
        <w:rPr>
          <w:rFonts w:ascii="Times New Roman" w:hAnsi="Times New Roman"/>
          <w:sz w:val="23"/>
          <w:szCs w:val="23"/>
        </w:rPr>
      </w:pPr>
      <w:r w:rsidRPr="004672D9">
        <w:rPr>
          <w:rFonts w:ascii="Times New Roman" w:hAnsi="Times New Roman"/>
          <w:sz w:val="23"/>
          <w:szCs w:val="23"/>
        </w:rPr>
        <w:t xml:space="preserve">Lima, </w:t>
      </w:r>
      <w:r w:rsidR="004672D9">
        <w:rPr>
          <w:rFonts w:ascii="Times New Roman" w:hAnsi="Times New Roman"/>
          <w:sz w:val="23"/>
          <w:szCs w:val="23"/>
        </w:rPr>
        <w:t>17</w:t>
      </w:r>
      <w:r w:rsidRPr="004672D9">
        <w:rPr>
          <w:rFonts w:ascii="Times New Roman" w:hAnsi="Times New Roman"/>
          <w:sz w:val="23"/>
          <w:szCs w:val="23"/>
        </w:rPr>
        <w:t xml:space="preserve"> de </w:t>
      </w:r>
      <w:r w:rsidR="008F54D9" w:rsidRPr="004672D9">
        <w:rPr>
          <w:rFonts w:ascii="Times New Roman" w:hAnsi="Times New Roman"/>
          <w:sz w:val="23"/>
          <w:szCs w:val="23"/>
        </w:rPr>
        <w:t>junio</w:t>
      </w:r>
      <w:r w:rsidRPr="004672D9">
        <w:rPr>
          <w:rFonts w:ascii="Times New Roman" w:hAnsi="Times New Roman"/>
          <w:sz w:val="23"/>
          <w:szCs w:val="23"/>
        </w:rPr>
        <w:t xml:space="preserve"> de 201</w:t>
      </w:r>
      <w:r w:rsidR="004672D9">
        <w:rPr>
          <w:rFonts w:ascii="Times New Roman" w:hAnsi="Times New Roman"/>
          <w:sz w:val="23"/>
          <w:szCs w:val="23"/>
        </w:rPr>
        <w:t>9</w:t>
      </w:r>
    </w:p>
    <w:p w:rsidR="004672D9" w:rsidRDefault="004672D9" w:rsidP="004672D9">
      <w:pPr>
        <w:jc w:val="both"/>
        <w:outlineLvl w:val="0"/>
        <w:rPr>
          <w:rFonts w:ascii="Times New Roman" w:hAnsi="Times New Roman"/>
          <w:sz w:val="23"/>
          <w:szCs w:val="23"/>
        </w:rPr>
      </w:pPr>
    </w:p>
    <w:p w:rsidR="004672D9" w:rsidRDefault="004672D9" w:rsidP="004672D9">
      <w:pPr>
        <w:jc w:val="both"/>
        <w:outlineLvl w:val="0"/>
        <w:rPr>
          <w:rFonts w:ascii="Times New Roman" w:hAnsi="Times New Roman"/>
          <w:sz w:val="23"/>
          <w:szCs w:val="23"/>
        </w:rPr>
      </w:pPr>
    </w:p>
    <w:p w:rsidR="004672D9" w:rsidRPr="004672D9" w:rsidRDefault="004672D9" w:rsidP="004672D9">
      <w:pPr>
        <w:spacing w:after="0"/>
        <w:jc w:val="both"/>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r w:rsidRPr="004672D9">
        <w:rPr>
          <w:rFonts w:ascii="Times New Roman" w:hAnsi="Times New Roman"/>
          <w:sz w:val="23"/>
          <w:szCs w:val="23"/>
        </w:rPr>
        <w:t xml:space="preserve">Rolando Eyzaguirre </w:t>
      </w:r>
      <w:proofErr w:type="spellStart"/>
      <w:r w:rsidRPr="004672D9">
        <w:rPr>
          <w:rFonts w:ascii="Times New Roman" w:hAnsi="Times New Roman"/>
          <w:sz w:val="23"/>
          <w:szCs w:val="23"/>
        </w:rPr>
        <w:t>Maccan</w:t>
      </w:r>
      <w:proofErr w:type="spellEnd"/>
      <w:r w:rsidRPr="004672D9">
        <w:rPr>
          <w:rFonts w:ascii="Times New Roman" w:hAnsi="Times New Roman"/>
          <w:sz w:val="23"/>
          <w:szCs w:val="23"/>
        </w:rPr>
        <w:t xml:space="preserve"> </w:t>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t>Marco Antonio Ortega Piana</w:t>
      </w:r>
    </w:p>
    <w:p w:rsidR="004672D9" w:rsidRPr="004672D9" w:rsidRDefault="004672D9" w:rsidP="004672D9">
      <w:pPr>
        <w:spacing w:after="0"/>
        <w:ind w:hanging="708"/>
        <w:rPr>
          <w:rFonts w:ascii="Times New Roman" w:hAnsi="Times New Roman"/>
          <w:sz w:val="23"/>
          <w:szCs w:val="23"/>
        </w:rPr>
      </w:pPr>
      <w:r w:rsidRPr="004672D9">
        <w:rPr>
          <w:rFonts w:ascii="Times New Roman" w:hAnsi="Times New Roman"/>
          <w:sz w:val="23"/>
          <w:szCs w:val="23"/>
        </w:rPr>
        <w:t xml:space="preserve">                    </w:t>
      </w:r>
      <w:r w:rsidRPr="004672D9">
        <w:rPr>
          <w:rFonts w:ascii="Times New Roman" w:hAnsi="Times New Roman"/>
          <w:sz w:val="23"/>
          <w:szCs w:val="23"/>
        </w:rPr>
        <w:tab/>
        <w:t xml:space="preserve">  Presidente</w:t>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t xml:space="preserve">                 </w:t>
      </w:r>
      <w:r w:rsidRPr="004672D9">
        <w:rPr>
          <w:rFonts w:ascii="Times New Roman" w:hAnsi="Times New Roman"/>
          <w:sz w:val="23"/>
          <w:szCs w:val="23"/>
        </w:rPr>
        <w:tab/>
        <w:t xml:space="preserve">      Vocal                                   </w:t>
      </w:r>
    </w:p>
    <w:p w:rsidR="004672D9" w:rsidRPr="004672D9" w:rsidRDefault="004672D9" w:rsidP="004672D9">
      <w:pPr>
        <w:spacing w:after="0"/>
        <w:rPr>
          <w:rFonts w:ascii="Times New Roman" w:hAnsi="Times New Roman"/>
          <w:sz w:val="23"/>
          <w:szCs w:val="23"/>
        </w:rPr>
      </w:pPr>
    </w:p>
    <w:p w:rsidR="004672D9" w:rsidRDefault="004672D9" w:rsidP="004672D9">
      <w:pPr>
        <w:spacing w:after="0"/>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p>
    <w:p w:rsidR="004672D9" w:rsidRPr="004672D9" w:rsidRDefault="004672D9" w:rsidP="004672D9">
      <w:pPr>
        <w:spacing w:after="0"/>
        <w:rPr>
          <w:rFonts w:ascii="Times New Roman" w:hAnsi="Times New Roman"/>
          <w:sz w:val="23"/>
          <w:szCs w:val="23"/>
        </w:rPr>
      </w:pPr>
      <w:r w:rsidRPr="004672D9">
        <w:rPr>
          <w:rFonts w:ascii="Times New Roman" w:hAnsi="Times New Roman"/>
          <w:sz w:val="23"/>
          <w:szCs w:val="23"/>
        </w:rPr>
        <w:t>María Eugenia Valdez Fernández Baca</w:t>
      </w:r>
      <w:r w:rsidRPr="004672D9">
        <w:rPr>
          <w:rFonts w:ascii="Times New Roman" w:hAnsi="Times New Roman"/>
          <w:sz w:val="23"/>
          <w:szCs w:val="23"/>
        </w:rPr>
        <w:tab/>
      </w:r>
      <w:r w:rsidRPr="004672D9">
        <w:rPr>
          <w:rFonts w:ascii="Times New Roman" w:hAnsi="Times New Roman"/>
          <w:sz w:val="23"/>
          <w:szCs w:val="23"/>
        </w:rPr>
        <w:tab/>
      </w:r>
      <w:r w:rsidRPr="004672D9">
        <w:rPr>
          <w:rFonts w:ascii="Times New Roman" w:hAnsi="Times New Roman"/>
          <w:sz w:val="23"/>
          <w:szCs w:val="23"/>
        </w:rPr>
        <w:tab/>
        <w:t>Gonzalo Abad del Busto</w:t>
      </w:r>
    </w:p>
    <w:p w:rsidR="00CE7EED" w:rsidRPr="004672D9" w:rsidRDefault="004672D9" w:rsidP="004672D9">
      <w:pPr>
        <w:spacing w:after="0"/>
        <w:rPr>
          <w:rFonts w:ascii="Times New Roman" w:hAnsi="Times New Roman"/>
          <w:sz w:val="23"/>
          <w:szCs w:val="23"/>
        </w:rPr>
      </w:pPr>
      <w:r w:rsidRPr="004672D9">
        <w:rPr>
          <w:rFonts w:ascii="Times New Roman" w:hAnsi="Times New Roman"/>
          <w:sz w:val="23"/>
          <w:szCs w:val="23"/>
        </w:rPr>
        <w:t xml:space="preserve">               </w:t>
      </w:r>
      <w:r w:rsidRPr="004672D9">
        <w:rPr>
          <w:rFonts w:ascii="Times New Roman" w:hAnsi="Times New Roman"/>
          <w:sz w:val="23"/>
          <w:szCs w:val="23"/>
        </w:rPr>
        <w:tab/>
        <w:t>Vocal</w:t>
      </w:r>
      <w:r w:rsidRPr="004672D9">
        <w:rPr>
          <w:rFonts w:ascii="Times New Roman" w:hAnsi="Times New Roman"/>
          <w:sz w:val="23"/>
          <w:szCs w:val="23"/>
        </w:rPr>
        <w:tab/>
        <w:t xml:space="preserve">                                                                   </w:t>
      </w:r>
      <w:r w:rsidRPr="004672D9">
        <w:rPr>
          <w:rFonts w:ascii="Times New Roman" w:hAnsi="Times New Roman"/>
          <w:sz w:val="23"/>
          <w:szCs w:val="23"/>
        </w:rPr>
        <w:tab/>
        <w:t>Vocal</w:t>
      </w:r>
    </w:p>
    <w:sectPr w:rsidR="00CE7EED" w:rsidRPr="004672D9" w:rsidSect="004672D9">
      <w:pgSz w:w="12240" w:h="15840"/>
      <w:pgMar w:top="1560"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82" w:rsidRDefault="00CD1782" w:rsidP="008709DC">
      <w:pPr>
        <w:spacing w:after="0" w:line="240" w:lineRule="auto"/>
      </w:pPr>
      <w:r>
        <w:separator/>
      </w:r>
    </w:p>
  </w:endnote>
  <w:endnote w:type="continuationSeparator" w:id="0">
    <w:p w:rsidR="00CD1782" w:rsidRDefault="00CD1782"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82" w:rsidRDefault="00CD1782" w:rsidP="008709DC">
      <w:pPr>
        <w:spacing w:after="0" w:line="240" w:lineRule="auto"/>
      </w:pPr>
      <w:r>
        <w:separator/>
      </w:r>
    </w:p>
  </w:footnote>
  <w:footnote w:type="continuationSeparator" w:id="0">
    <w:p w:rsidR="00CD1782" w:rsidRDefault="00CD1782"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5E"/>
    <w:multiLevelType w:val="hybridMultilevel"/>
    <w:tmpl w:val="723CF4AE"/>
    <w:lvl w:ilvl="0" w:tplc="BAE20CA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3513CE"/>
    <w:multiLevelType w:val="hybridMultilevel"/>
    <w:tmpl w:val="C8AAC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36842A7C"/>
    <w:multiLevelType w:val="hybridMultilevel"/>
    <w:tmpl w:val="38CC6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E5C6F92"/>
    <w:multiLevelType w:val="hybridMultilevel"/>
    <w:tmpl w:val="1C7619C0"/>
    <w:lvl w:ilvl="0" w:tplc="8D4C45B8">
      <w:numFmt w:val="bullet"/>
      <w:lvlText w:val="-"/>
      <w:lvlJc w:val="left"/>
      <w:pPr>
        <w:ind w:left="1068" w:hanging="360"/>
      </w:pPr>
      <w:rPr>
        <w:rFonts w:ascii="Georgia" w:eastAsia="Calibri" w:hAnsi="Georgia"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5BCE3BCA"/>
    <w:multiLevelType w:val="hybridMultilevel"/>
    <w:tmpl w:val="F536CA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9"/>
  </w:num>
  <w:num w:numId="2">
    <w:abstractNumId w:val="3"/>
  </w:num>
  <w:num w:numId="3">
    <w:abstractNumId w:val="7"/>
  </w:num>
  <w:num w:numId="4">
    <w:abstractNumId w:val="2"/>
  </w:num>
  <w:num w:numId="5">
    <w:abstractNumId w:val="8"/>
  </w:num>
  <w:num w:numId="6">
    <w:abstractNumId w:val="4"/>
  </w:num>
  <w:num w:numId="7">
    <w:abstractNumId w:val="0"/>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10F18"/>
    <w:rsid w:val="00014D43"/>
    <w:rsid w:val="00021603"/>
    <w:rsid w:val="00027177"/>
    <w:rsid w:val="0003047E"/>
    <w:rsid w:val="00033ECB"/>
    <w:rsid w:val="0003696E"/>
    <w:rsid w:val="000461EC"/>
    <w:rsid w:val="0005042F"/>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386C"/>
    <w:rsid w:val="000C52AB"/>
    <w:rsid w:val="000C7321"/>
    <w:rsid w:val="000D3EC7"/>
    <w:rsid w:val="000E2F2A"/>
    <w:rsid w:val="000E590B"/>
    <w:rsid w:val="000F25BF"/>
    <w:rsid w:val="000F37A4"/>
    <w:rsid w:val="000F68B7"/>
    <w:rsid w:val="000F76F6"/>
    <w:rsid w:val="0010599E"/>
    <w:rsid w:val="00110B47"/>
    <w:rsid w:val="0011380E"/>
    <w:rsid w:val="00116D9A"/>
    <w:rsid w:val="001215CD"/>
    <w:rsid w:val="00124269"/>
    <w:rsid w:val="00125A84"/>
    <w:rsid w:val="0012787E"/>
    <w:rsid w:val="00130F5B"/>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C0854"/>
    <w:rsid w:val="001C0E79"/>
    <w:rsid w:val="001C14BA"/>
    <w:rsid w:val="001C1C18"/>
    <w:rsid w:val="001D40FE"/>
    <w:rsid w:val="001D6939"/>
    <w:rsid w:val="001D7B40"/>
    <w:rsid w:val="001E1DAC"/>
    <w:rsid w:val="001E2F03"/>
    <w:rsid w:val="001E359C"/>
    <w:rsid w:val="001E45B8"/>
    <w:rsid w:val="001E47B7"/>
    <w:rsid w:val="001F2806"/>
    <w:rsid w:val="00202588"/>
    <w:rsid w:val="00202696"/>
    <w:rsid w:val="0020672C"/>
    <w:rsid w:val="0020737E"/>
    <w:rsid w:val="00211EC6"/>
    <w:rsid w:val="00212BA6"/>
    <w:rsid w:val="00213D98"/>
    <w:rsid w:val="0021633E"/>
    <w:rsid w:val="00221DD4"/>
    <w:rsid w:val="00224DBD"/>
    <w:rsid w:val="002320EC"/>
    <w:rsid w:val="002342AC"/>
    <w:rsid w:val="0023570A"/>
    <w:rsid w:val="00243A12"/>
    <w:rsid w:val="0025179E"/>
    <w:rsid w:val="00251B45"/>
    <w:rsid w:val="00251C15"/>
    <w:rsid w:val="00254EDC"/>
    <w:rsid w:val="00254F18"/>
    <w:rsid w:val="0025643E"/>
    <w:rsid w:val="00260014"/>
    <w:rsid w:val="002604E2"/>
    <w:rsid w:val="00260E2B"/>
    <w:rsid w:val="002653E2"/>
    <w:rsid w:val="00266021"/>
    <w:rsid w:val="002732F8"/>
    <w:rsid w:val="00282E0A"/>
    <w:rsid w:val="0029055C"/>
    <w:rsid w:val="0029093C"/>
    <w:rsid w:val="00291B65"/>
    <w:rsid w:val="00292701"/>
    <w:rsid w:val="00292938"/>
    <w:rsid w:val="00292D38"/>
    <w:rsid w:val="00296EBB"/>
    <w:rsid w:val="002A2B0B"/>
    <w:rsid w:val="002A2E97"/>
    <w:rsid w:val="002A7D31"/>
    <w:rsid w:val="002B0806"/>
    <w:rsid w:val="002B0E0E"/>
    <w:rsid w:val="002B0FE1"/>
    <w:rsid w:val="002B3BD8"/>
    <w:rsid w:val="002B4E33"/>
    <w:rsid w:val="002C57AC"/>
    <w:rsid w:val="002D533D"/>
    <w:rsid w:val="002E0BEE"/>
    <w:rsid w:val="002E1284"/>
    <w:rsid w:val="002E2D9C"/>
    <w:rsid w:val="002E3797"/>
    <w:rsid w:val="002E4B43"/>
    <w:rsid w:val="002F0CCE"/>
    <w:rsid w:val="002F60FC"/>
    <w:rsid w:val="002F625B"/>
    <w:rsid w:val="002F6751"/>
    <w:rsid w:val="0030068B"/>
    <w:rsid w:val="003015B0"/>
    <w:rsid w:val="00303DAD"/>
    <w:rsid w:val="003079D3"/>
    <w:rsid w:val="00311319"/>
    <w:rsid w:val="0031356D"/>
    <w:rsid w:val="00323B70"/>
    <w:rsid w:val="00324A95"/>
    <w:rsid w:val="00324CCA"/>
    <w:rsid w:val="003276A2"/>
    <w:rsid w:val="00330E9D"/>
    <w:rsid w:val="003322C3"/>
    <w:rsid w:val="00332340"/>
    <w:rsid w:val="00334375"/>
    <w:rsid w:val="00334EA4"/>
    <w:rsid w:val="003407E6"/>
    <w:rsid w:val="00340C38"/>
    <w:rsid w:val="00344DDB"/>
    <w:rsid w:val="003505B8"/>
    <w:rsid w:val="00352583"/>
    <w:rsid w:val="00353C49"/>
    <w:rsid w:val="003558E4"/>
    <w:rsid w:val="0035778B"/>
    <w:rsid w:val="00360C8B"/>
    <w:rsid w:val="00360F57"/>
    <w:rsid w:val="003633AC"/>
    <w:rsid w:val="003633BA"/>
    <w:rsid w:val="00364DE7"/>
    <w:rsid w:val="0036521F"/>
    <w:rsid w:val="00366417"/>
    <w:rsid w:val="00373C21"/>
    <w:rsid w:val="00376062"/>
    <w:rsid w:val="003823AC"/>
    <w:rsid w:val="00383C1E"/>
    <w:rsid w:val="003855B5"/>
    <w:rsid w:val="00387723"/>
    <w:rsid w:val="00391783"/>
    <w:rsid w:val="003963A8"/>
    <w:rsid w:val="003A0637"/>
    <w:rsid w:val="003A120F"/>
    <w:rsid w:val="003B0E58"/>
    <w:rsid w:val="003B17D8"/>
    <w:rsid w:val="003B3F77"/>
    <w:rsid w:val="003B4058"/>
    <w:rsid w:val="003B7353"/>
    <w:rsid w:val="003C245B"/>
    <w:rsid w:val="003D2574"/>
    <w:rsid w:val="003D2BF9"/>
    <w:rsid w:val="003D551D"/>
    <w:rsid w:val="003D5B96"/>
    <w:rsid w:val="003D6924"/>
    <w:rsid w:val="003E4AFF"/>
    <w:rsid w:val="003E51A0"/>
    <w:rsid w:val="003E6774"/>
    <w:rsid w:val="003E6C54"/>
    <w:rsid w:val="003F03EF"/>
    <w:rsid w:val="003F3BAD"/>
    <w:rsid w:val="003F3D0D"/>
    <w:rsid w:val="003F537C"/>
    <w:rsid w:val="003F53DD"/>
    <w:rsid w:val="0040038A"/>
    <w:rsid w:val="00400CC4"/>
    <w:rsid w:val="004046B6"/>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672D9"/>
    <w:rsid w:val="00470150"/>
    <w:rsid w:val="004710D8"/>
    <w:rsid w:val="004725B2"/>
    <w:rsid w:val="00473B63"/>
    <w:rsid w:val="00476803"/>
    <w:rsid w:val="004856BD"/>
    <w:rsid w:val="00485EBA"/>
    <w:rsid w:val="004873AF"/>
    <w:rsid w:val="004954A9"/>
    <w:rsid w:val="0049682E"/>
    <w:rsid w:val="004A082E"/>
    <w:rsid w:val="004A436D"/>
    <w:rsid w:val="004A7A48"/>
    <w:rsid w:val="004B1384"/>
    <w:rsid w:val="004B3A49"/>
    <w:rsid w:val="004B441D"/>
    <w:rsid w:val="004C2729"/>
    <w:rsid w:val="004C75F9"/>
    <w:rsid w:val="004D08E9"/>
    <w:rsid w:val="004D1A39"/>
    <w:rsid w:val="004D1A4D"/>
    <w:rsid w:val="004D56CC"/>
    <w:rsid w:val="004E2D74"/>
    <w:rsid w:val="004E36BC"/>
    <w:rsid w:val="004E5598"/>
    <w:rsid w:val="004E637C"/>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66C8F"/>
    <w:rsid w:val="0057201C"/>
    <w:rsid w:val="00573CA9"/>
    <w:rsid w:val="00574F1E"/>
    <w:rsid w:val="00575616"/>
    <w:rsid w:val="005760ED"/>
    <w:rsid w:val="0057643E"/>
    <w:rsid w:val="00577721"/>
    <w:rsid w:val="00581FD8"/>
    <w:rsid w:val="005829DD"/>
    <w:rsid w:val="005943DA"/>
    <w:rsid w:val="0059543A"/>
    <w:rsid w:val="005967F4"/>
    <w:rsid w:val="00597ECF"/>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5F7AF8"/>
    <w:rsid w:val="00605EED"/>
    <w:rsid w:val="0061051B"/>
    <w:rsid w:val="006207C4"/>
    <w:rsid w:val="00622C74"/>
    <w:rsid w:val="006231E5"/>
    <w:rsid w:val="00623D31"/>
    <w:rsid w:val="00631ED3"/>
    <w:rsid w:val="00635193"/>
    <w:rsid w:val="00636475"/>
    <w:rsid w:val="00641F94"/>
    <w:rsid w:val="00642DF1"/>
    <w:rsid w:val="0064747E"/>
    <w:rsid w:val="00650EC4"/>
    <w:rsid w:val="00654CB2"/>
    <w:rsid w:val="00655A71"/>
    <w:rsid w:val="00655A77"/>
    <w:rsid w:val="00655D53"/>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59CE"/>
    <w:rsid w:val="006B6570"/>
    <w:rsid w:val="006C5D63"/>
    <w:rsid w:val="006C68DF"/>
    <w:rsid w:val="006C7EDE"/>
    <w:rsid w:val="006D15A7"/>
    <w:rsid w:val="006D2249"/>
    <w:rsid w:val="006D4656"/>
    <w:rsid w:val="006D787C"/>
    <w:rsid w:val="006D79BF"/>
    <w:rsid w:val="006E5FCA"/>
    <w:rsid w:val="006E722D"/>
    <w:rsid w:val="006F1148"/>
    <w:rsid w:val="006F150A"/>
    <w:rsid w:val="006F498E"/>
    <w:rsid w:val="007019FB"/>
    <w:rsid w:val="00704C9C"/>
    <w:rsid w:val="00704D40"/>
    <w:rsid w:val="007050BC"/>
    <w:rsid w:val="007069CD"/>
    <w:rsid w:val="007204B7"/>
    <w:rsid w:val="007241C7"/>
    <w:rsid w:val="0072483F"/>
    <w:rsid w:val="007257B0"/>
    <w:rsid w:val="007317D9"/>
    <w:rsid w:val="00736982"/>
    <w:rsid w:val="0073779B"/>
    <w:rsid w:val="00740822"/>
    <w:rsid w:val="0074150E"/>
    <w:rsid w:val="00743A74"/>
    <w:rsid w:val="007441D4"/>
    <w:rsid w:val="007500AB"/>
    <w:rsid w:val="00751E67"/>
    <w:rsid w:val="00752758"/>
    <w:rsid w:val="00752A05"/>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3F63"/>
    <w:rsid w:val="00806085"/>
    <w:rsid w:val="00810173"/>
    <w:rsid w:val="0082482E"/>
    <w:rsid w:val="00824E69"/>
    <w:rsid w:val="008274F6"/>
    <w:rsid w:val="00832C62"/>
    <w:rsid w:val="00833194"/>
    <w:rsid w:val="00835557"/>
    <w:rsid w:val="00835B03"/>
    <w:rsid w:val="00841EFE"/>
    <w:rsid w:val="00850FE6"/>
    <w:rsid w:val="008524DA"/>
    <w:rsid w:val="00853E58"/>
    <w:rsid w:val="008544E5"/>
    <w:rsid w:val="00854F99"/>
    <w:rsid w:val="00856C1D"/>
    <w:rsid w:val="0086178A"/>
    <w:rsid w:val="008617D6"/>
    <w:rsid w:val="008632F3"/>
    <w:rsid w:val="008709DC"/>
    <w:rsid w:val="00871A07"/>
    <w:rsid w:val="0087323D"/>
    <w:rsid w:val="00873841"/>
    <w:rsid w:val="008752D5"/>
    <w:rsid w:val="00875590"/>
    <w:rsid w:val="00880B4A"/>
    <w:rsid w:val="00883323"/>
    <w:rsid w:val="00883612"/>
    <w:rsid w:val="00883A22"/>
    <w:rsid w:val="00890C18"/>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D553A"/>
    <w:rsid w:val="008E28BA"/>
    <w:rsid w:val="008E4F68"/>
    <w:rsid w:val="008E647C"/>
    <w:rsid w:val="008E7D5C"/>
    <w:rsid w:val="008F3532"/>
    <w:rsid w:val="008F3ECF"/>
    <w:rsid w:val="008F4DD2"/>
    <w:rsid w:val="008F54D9"/>
    <w:rsid w:val="009012FA"/>
    <w:rsid w:val="00904186"/>
    <w:rsid w:val="00905147"/>
    <w:rsid w:val="009114C2"/>
    <w:rsid w:val="00913A86"/>
    <w:rsid w:val="00915627"/>
    <w:rsid w:val="009236D1"/>
    <w:rsid w:val="00923998"/>
    <w:rsid w:val="0093209D"/>
    <w:rsid w:val="00935702"/>
    <w:rsid w:val="009367B3"/>
    <w:rsid w:val="009433B1"/>
    <w:rsid w:val="00944FB2"/>
    <w:rsid w:val="00946FE7"/>
    <w:rsid w:val="00947C01"/>
    <w:rsid w:val="009542B0"/>
    <w:rsid w:val="00956EC6"/>
    <w:rsid w:val="009703AB"/>
    <w:rsid w:val="009737C2"/>
    <w:rsid w:val="00983CAB"/>
    <w:rsid w:val="009844B2"/>
    <w:rsid w:val="00984550"/>
    <w:rsid w:val="0099080F"/>
    <w:rsid w:val="0099195E"/>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2F5E"/>
    <w:rsid w:val="00A331F3"/>
    <w:rsid w:val="00A33AA1"/>
    <w:rsid w:val="00A34B58"/>
    <w:rsid w:val="00A37060"/>
    <w:rsid w:val="00A37568"/>
    <w:rsid w:val="00A40719"/>
    <w:rsid w:val="00A41909"/>
    <w:rsid w:val="00A41ED4"/>
    <w:rsid w:val="00A43903"/>
    <w:rsid w:val="00A47B15"/>
    <w:rsid w:val="00A53DCE"/>
    <w:rsid w:val="00A549A0"/>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77F8"/>
    <w:rsid w:val="00AB08C5"/>
    <w:rsid w:val="00AB0D3C"/>
    <w:rsid w:val="00AB2E46"/>
    <w:rsid w:val="00AC1688"/>
    <w:rsid w:val="00AC568D"/>
    <w:rsid w:val="00AD0086"/>
    <w:rsid w:val="00AD1808"/>
    <w:rsid w:val="00AD1B5A"/>
    <w:rsid w:val="00AD39E3"/>
    <w:rsid w:val="00AD40E0"/>
    <w:rsid w:val="00AD50CE"/>
    <w:rsid w:val="00AD5E73"/>
    <w:rsid w:val="00AD6EB5"/>
    <w:rsid w:val="00AE3C88"/>
    <w:rsid w:val="00AF30EE"/>
    <w:rsid w:val="00AF5FA3"/>
    <w:rsid w:val="00B006B1"/>
    <w:rsid w:val="00B05AA2"/>
    <w:rsid w:val="00B123B0"/>
    <w:rsid w:val="00B12C36"/>
    <w:rsid w:val="00B14EF9"/>
    <w:rsid w:val="00B15272"/>
    <w:rsid w:val="00B15BC3"/>
    <w:rsid w:val="00B16855"/>
    <w:rsid w:val="00B2174B"/>
    <w:rsid w:val="00B23F00"/>
    <w:rsid w:val="00B326A4"/>
    <w:rsid w:val="00B36486"/>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5468"/>
    <w:rsid w:val="00BC1BF4"/>
    <w:rsid w:val="00BC4899"/>
    <w:rsid w:val="00BC4E8F"/>
    <w:rsid w:val="00BE00B6"/>
    <w:rsid w:val="00BE0ADE"/>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828B1"/>
    <w:rsid w:val="00C83028"/>
    <w:rsid w:val="00C83895"/>
    <w:rsid w:val="00C8635D"/>
    <w:rsid w:val="00C879DF"/>
    <w:rsid w:val="00C91657"/>
    <w:rsid w:val="00CA1080"/>
    <w:rsid w:val="00CA27F8"/>
    <w:rsid w:val="00CA7491"/>
    <w:rsid w:val="00CA7E79"/>
    <w:rsid w:val="00CB3601"/>
    <w:rsid w:val="00CB3684"/>
    <w:rsid w:val="00CB4E94"/>
    <w:rsid w:val="00CB5234"/>
    <w:rsid w:val="00CC1D89"/>
    <w:rsid w:val="00CC3D0B"/>
    <w:rsid w:val="00CC6681"/>
    <w:rsid w:val="00CC7CC1"/>
    <w:rsid w:val="00CD1782"/>
    <w:rsid w:val="00CD2C15"/>
    <w:rsid w:val="00CD5B4B"/>
    <w:rsid w:val="00CD669E"/>
    <w:rsid w:val="00CD6DF4"/>
    <w:rsid w:val="00CE182A"/>
    <w:rsid w:val="00CE3B89"/>
    <w:rsid w:val="00CE6002"/>
    <w:rsid w:val="00CE7EED"/>
    <w:rsid w:val="00CF29F7"/>
    <w:rsid w:val="00CF2AC5"/>
    <w:rsid w:val="00CF3563"/>
    <w:rsid w:val="00CF644D"/>
    <w:rsid w:val="00CF7B73"/>
    <w:rsid w:val="00D00FE5"/>
    <w:rsid w:val="00D03921"/>
    <w:rsid w:val="00D16259"/>
    <w:rsid w:val="00D163BD"/>
    <w:rsid w:val="00D20CF2"/>
    <w:rsid w:val="00D21376"/>
    <w:rsid w:val="00D21C2A"/>
    <w:rsid w:val="00D263C4"/>
    <w:rsid w:val="00D27598"/>
    <w:rsid w:val="00D308FE"/>
    <w:rsid w:val="00D30E16"/>
    <w:rsid w:val="00D406F7"/>
    <w:rsid w:val="00D40D63"/>
    <w:rsid w:val="00D44A03"/>
    <w:rsid w:val="00D536C2"/>
    <w:rsid w:val="00D54012"/>
    <w:rsid w:val="00D566C0"/>
    <w:rsid w:val="00D570ED"/>
    <w:rsid w:val="00D571E1"/>
    <w:rsid w:val="00D57B69"/>
    <w:rsid w:val="00D65196"/>
    <w:rsid w:val="00D72614"/>
    <w:rsid w:val="00D75D21"/>
    <w:rsid w:val="00D76A91"/>
    <w:rsid w:val="00D833F5"/>
    <w:rsid w:val="00D91BDC"/>
    <w:rsid w:val="00D96938"/>
    <w:rsid w:val="00DA0107"/>
    <w:rsid w:val="00DA2F57"/>
    <w:rsid w:val="00DB7575"/>
    <w:rsid w:val="00DC3308"/>
    <w:rsid w:val="00DC47AA"/>
    <w:rsid w:val="00DC4CD2"/>
    <w:rsid w:val="00DC78D6"/>
    <w:rsid w:val="00DC7DC0"/>
    <w:rsid w:val="00DD2526"/>
    <w:rsid w:val="00DD3B38"/>
    <w:rsid w:val="00DE5136"/>
    <w:rsid w:val="00DF1D4C"/>
    <w:rsid w:val="00DF6E7F"/>
    <w:rsid w:val="00E04AB7"/>
    <w:rsid w:val="00E1012B"/>
    <w:rsid w:val="00E10FCE"/>
    <w:rsid w:val="00E12ECA"/>
    <w:rsid w:val="00E1339E"/>
    <w:rsid w:val="00E16A33"/>
    <w:rsid w:val="00E243E7"/>
    <w:rsid w:val="00E30BE7"/>
    <w:rsid w:val="00E418B8"/>
    <w:rsid w:val="00E46631"/>
    <w:rsid w:val="00E475CB"/>
    <w:rsid w:val="00E50794"/>
    <w:rsid w:val="00E50AE2"/>
    <w:rsid w:val="00E51DF3"/>
    <w:rsid w:val="00E52C95"/>
    <w:rsid w:val="00E55201"/>
    <w:rsid w:val="00E570F0"/>
    <w:rsid w:val="00E57894"/>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4BA5"/>
    <w:rsid w:val="00EA58BA"/>
    <w:rsid w:val="00EA6CE7"/>
    <w:rsid w:val="00EB450A"/>
    <w:rsid w:val="00EB6CB9"/>
    <w:rsid w:val="00EC4A7D"/>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3A48"/>
    <w:rsid w:val="00F63B3B"/>
    <w:rsid w:val="00F642FC"/>
    <w:rsid w:val="00F70C08"/>
    <w:rsid w:val="00F7182B"/>
    <w:rsid w:val="00F730E3"/>
    <w:rsid w:val="00F75AD8"/>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4583"/>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4B3B-9DA3-40A2-9484-714BFF4D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3924</Words>
  <Characters>21584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25458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2020-04-06T02:50:00Z</dcterms:created>
  <dcterms:modified xsi:type="dcterms:W3CDTF">2020-04-06T02:50:00Z</dcterms:modified>
</cp:coreProperties>
</file>