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A29BA" w14:textId="04EE697E" w:rsidR="001276D8" w:rsidRPr="007C32F6" w:rsidRDefault="001276D8" w:rsidP="001276D8">
      <w:pPr>
        <w:pStyle w:val="Ttulo"/>
        <w:outlineLvl w:val="0"/>
        <w:rPr>
          <w:lang w:val="es-PE"/>
        </w:rPr>
      </w:pPr>
      <w:r w:rsidRPr="007C32F6">
        <w:rPr>
          <w:lang w:val="es-PE"/>
        </w:rPr>
        <w:t>RESOLUCIÓN N</w:t>
      </w:r>
      <w:r w:rsidR="007C32F6" w:rsidRPr="007C32F6">
        <w:rPr>
          <w:lang w:val="es-PE"/>
        </w:rPr>
        <w:t>° 10</w:t>
      </w:r>
      <w:r w:rsidR="00E34310">
        <w:rPr>
          <w:lang w:val="es-PE"/>
        </w:rPr>
        <w:t>5</w:t>
      </w:r>
      <w:r w:rsidR="007C32F6" w:rsidRPr="007C32F6">
        <w:rPr>
          <w:lang w:val="es-PE"/>
        </w:rPr>
        <w:t>/19</w:t>
      </w:r>
    </w:p>
    <w:p w14:paraId="72DF8861" w14:textId="77777777" w:rsidR="001276D8" w:rsidRPr="007C32F6" w:rsidRDefault="001276D8" w:rsidP="001276D8">
      <w:pPr>
        <w:pStyle w:val="Ttulo"/>
        <w:rPr>
          <w:lang w:val="es-PE"/>
        </w:rPr>
      </w:pPr>
    </w:p>
    <w:p w14:paraId="047FD9D8" w14:textId="77777777" w:rsidR="001276D8" w:rsidRPr="007C32F6" w:rsidRDefault="001276D8" w:rsidP="001276D8">
      <w:pPr>
        <w:spacing w:after="0" w:line="240" w:lineRule="auto"/>
        <w:rPr>
          <w:rFonts w:ascii="Times New Roman" w:hAnsi="Times New Roman" w:cs="Times New Roman"/>
          <w:b/>
          <w:bCs/>
          <w:sz w:val="24"/>
          <w:szCs w:val="24"/>
          <w:lang w:val="es-PE"/>
        </w:rPr>
      </w:pPr>
    </w:p>
    <w:p w14:paraId="37D4D676" w14:textId="77777777" w:rsidR="001276D8" w:rsidRPr="007C32F6" w:rsidRDefault="001276D8" w:rsidP="001276D8">
      <w:pPr>
        <w:spacing w:after="0" w:line="240" w:lineRule="auto"/>
        <w:jc w:val="both"/>
        <w:outlineLvl w:val="0"/>
        <w:rPr>
          <w:rFonts w:ascii="Times New Roman" w:hAnsi="Times New Roman" w:cs="Times New Roman"/>
          <w:b/>
          <w:bCs/>
          <w:sz w:val="24"/>
          <w:szCs w:val="24"/>
          <w:lang w:val="es-PE"/>
        </w:rPr>
      </w:pPr>
      <w:r w:rsidRPr="007C32F6">
        <w:rPr>
          <w:rFonts w:ascii="Times New Roman" w:hAnsi="Times New Roman" w:cs="Times New Roman"/>
          <w:b/>
          <w:bCs/>
          <w:sz w:val="24"/>
          <w:szCs w:val="24"/>
          <w:lang w:val="es-PE"/>
        </w:rPr>
        <w:t>Vistos:</w:t>
      </w:r>
    </w:p>
    <w:p w14:paraId="7B344009" w14:textId="77777777" w:rsidR="001276D8" w:rsidRPr="007C32F6" w:rsidRDefault="001276D8" w:rsidP="001276D8">
      <w:pPr>
        <w:spacing w:after="0" w:line="240" w:lineRule="auto"/>
        <w:jc w:val="both"/>
        <w:rPr>
          <w:rFonts w:ascii="Times New Roman" w:hAnsi="Times New Roman" w:cs="Times New Roman"/>
          <w:b/>
          <w:bCs/>
          <w:sz w:val="24"/>
          <w:szCs w:val="24"/>
          <w:lang w:val="es-PE"/>
        </w:rPr>
      </w:pPr>
    </w:p>
    <w:p w14:paraId="1E898AF0" w14:textId="0CDC0598" w:rsidR="001276D8" w:rsidRPr="007C32F6" w:rsidRDefault="001276D8" w:rsidP="001276D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Que, con fecha 13 de junio de 2019 </w:t>
      </w:r>
      <w:proofErr w:type="gramStart"/>
      <w:r w:rsidRPr="007C32F6">
        <w:rPr>
          <w:rFonts w:ascii="Times New Roman" w:hAnsi="Times New Roman" w:cs="Times New Roman"/>
          <w:sz w:val="24"/>
          <w:szCs w:val="24"/>
          <w:lang w:val="es-PE"/>
        </w:rPr>
        <w:t xml:space="preserve">doña </w:t>
      </w:r>
      <w:r w:rsidR="00DA06A1">
        <w:rPr>
          <w:rFonts w:ascii="Times New Roman" w:hAnsi="Times New Roman" w:cs="Times New Roman"/>
          <w:sz w:val="24"/>
          <w:szCs w:val="24"/>
          <w:lang w:val="es-PE"/>
        </w:rPr>
        <w:t>....................</w:t>
      </w:r>
      <w:proofErr w:type="gramEnd"/>
      <w:r w:rsidRPr="007C32F6">
        <w:rPr>
          <w:rFonts w:ascii="Times New Roman" w:hAnsi="Times New Roman" w:cs="Times New Roman"/>
          <w:sz w:val="24"/>
          <w:szCs w:val="24"/>
          <w:lang w:val="es-PE"/>
        </w:rPr>
        <w:t xml:space="preserve"> </w:t>
      </w:r>
      <w:proofErr w:type="gramStart"/>
      <w:r w:rsidRPr="007C32F6">
        <w:rPr>
          <w:rFonts w:ascii="Times New Roman" w:hAnsi="Times New Roman" w:cs="Times New Roman"/>
          <w:sz w:val="24"/>
          <w:szCs w:val="24"/>
          <w:lang w:val="es-PE"/>
        </w:rPr>
        <w:t>interpone</w:t>
      </w:r>
      <w:proofErr w:type="gramEnd"/>
      <w:r w:rsidRPr="007C32F6">
        <w:rPr>
          <w:rFonts w:ascii="Times New Roman" w:hAnsi="Times New Roman" w:cs="Times New Roman"/>
          <w:sz w:val="24"/>
          <w:szCs w:val="24"/>
          <w:lang w:val="es-PE"/>
        </w:rPr>
        <w:t xml:space="preserve"> reclamación ante esta Defensoría del Asegurado (DEFASEG) solicitando que </w:t>
      </w:r>
      <w:r w:rsidR="00DA06A1">
        <w:rPr>
          <w:rFonts w:ascii="Times New Roman" w:hAnsi="Times New Roman" w:cs="Times New Roman"/>
          <w:sz w:val="24"/>
          <w:szCs w:val="24"/>
          <w:lang w:val="es-PE"/>
        </w:rPr>
        <w:t>....................</w:t>
      </w:r>
      <w:r w:rsidRPr="007C32F6">
        <w:rPr>
          <w:rFonts w:ascii="Times New Roman" w:hAnsi="Times New Roman" w:cs="Times New Roman"/>
          <w:sz w:val="24"/>
          <w:szCs w:val="24"/>
          <w:lang w:val="es-PE"/>
        </w:rPr>
        <w:t xml:space="preserve"> SEGUROS otorgue cobertura por robo conforme a la Póliza de Seguro de Hogar N</w:t>
      </w:r>
      <w:proofErr w:type="gramStart"/>
      <w:r w:rsidRPr="007C32F6">
        <w:rPr>
          <w:rFonts w:ascii="Times New Roman" w:hAnsi="Times New Roman" w:cs="Times New Roman"/>
          <w:sz w:val="24"/>
          <w:szCs w:val="24"/>
          <w:lang w:val="es-PE"/>
        </w:rPr>
        <w:t xml:space="preserve">° </w:t>
      </w:r>
      <w:r w:rsidR="00DA06A1">
        <w:rPr>
          <w:rFonts w:ascii="Times New Roman" w:hAnsi="Times New Roman" w:cs="Times New Roman"/>
          <w:sz w:val="24"/>
          <w:szCs w:val="24"/>
          <w:lang w:val="es-PE"/>
        </w:rPr>
        <w:t>....................</w:t>
      </w:r>
      <w:r w:rsidRPr="007C32F6">
        <w:rPr>
          <w:rFonts w:ascii="Times New Roman" w:hAnsi="Times New Roman" w:cs="Times New Roman"/>
          <w:sz w:val="24"/>
          <w:szCs w:val="24"/>
          <w:lang w:val="es-PE"/>
        </w:rPr>
        <w:t>.</w:t>
      </w:r>
      <w:bookmarkStart w:id="0" w:name="OLE_LINK2"/>
      <w:proofErr w:type="gramEnd"/>
    </w:p>
    <w:bookmarkEnd w:id="0"/>
    <w:p w14:paraId="1DA3E1CC" w14:textId="77777777" w:rsidR="001276D8" w:rsidRPr="007C32F6" w:rsidRDefault="001276D8" w:rsidP="001276D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331A02F6" w14:textId="77777777" w:rsidR="001276D8" w:rsidRPr="007C32F6" w:rsidRDefault="001276D8" w:rsidP="001276D8">
      <w:pPr>
        <w:spacing w:after="0" w:line="240" w:lineRule="auto"/>
        <w:jc w:val="both"/>
        <w:rPr>
          <w:rFonts w:ascii="Times New Roman" w:eastAsia="Arial Unicode MS" w:hAnsi="Times New Roman" w:cs="Times New Roman"/>
          <w:sz w:val="24"/>
          <w:szCs w:val="24"/>
          <w:lang w:val="es-PE"/>
        </w:rPr>
      </w:pPr>
      <w:r w:rsidRPr="007C32F6">
        <w:rPr>
          <w:rFonts w:ascii="Times New Roman" w:eastAsia="Arial Unicode MS" w:hAnsi="Times New Roman" w:cs="Times New Roman"/>
          <w:sz w:val="24"/>
          <w:szCs w:val="24"/>
          <w:lang w:val="es-PE"/>
        </w:rPr>
        <w:t>Que, la señalada reclamación cumple con los requisitos de materia, cuantía y oportunidad establecidos en el Reglamento de la DEFASEG (http://www.defaseg.com.pe/reglamento);</w:t>
      </w:r>
    </w:p>
    <w:p w14:paraId="07F06585"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PE"/>
        </w:rPr>
      </w:pPr>
    </w:p>
    <w:p w14:paraId="2C73641A" w14:textId="77777777" w:rsidR="001276D8" w:rsidRPr="007C32F6" w:rsidRDefault="001276D8" w:rsidP="001276D8">
      <w:pPr>
        <w:tabs>
          <w:tab w:val="num" w:pos="72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Que, habiéndosele corrido traslado de la respectiva reclamación, la aseguradora presentó sus descargos con fecha 11 de julio de 2019.</w:t>
      </w:r>
    </w:p>
    <w:p w14:paraId="61D4098B" w14:textId="77777777" w:rsidR="001276D8" w:rsidRPr="007C32F6" w:rsidRDefault="001276D8" w:rsidP="001276D8">
      <w:pPr>
        <w:tabs>
          <w:tab w:val="num" w:pos="720"/>
        </w:tabs>
        <w:spacing w:after="0" w:line="240" w:lineRule="auto"/>
        <w:jc w:val="both"/>
        <w:rPr>
          <w:rFonts w:ascii="Times New Roman" w:hAnsi="Times New Roman" w:cs="Times New Roman"/>
          <w:sz w:val="24"/>
          <w:szCs w:val="24"/>
          <w:lang w:val="es-PE"/>
        </w:rPr>
      </w:pPr>
    </w:p>
    <w:p w14:paraId="1E7EFA02" w14:textId="77777777" w:rsidR="001276D8" w:rsidRPr="007C32F6" w:rsidRDefault="001276D8" w:rsidP="001276D8">
      <w:pPr>
        <w:tabs>
          <w:tab w:val="num" w:pos="72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Que, el 26 de agosto de 2019 se realizó la audiencia de vista con la concurrencia de ambas partes, quienes sustentaron sus respectivas posiciones, absolviendo las diversas preguntas formuladas por este colegiado, conforme consta de la correspondiente acta; </w:t>
      </w:r>
    </w:p>
    <w:p w14:paraId="0849D068" w14:textId="77777777" w:rsidR="001276D8" w:rsidRPr="007C32F6" w:rsidRDefault="001276D8" w:rsidP="001276D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12CCE9AB" w14:textId="77777777" w:rsidR="001276D8" w:rsidRPr="007C32F6" w:rsidRDefault="001276D8" w:rsidP="001276D8">
      <w:pPr>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Que, el reclamante sustenta su pretensión resumidamente en lo siguiente: a) la aseguradora ha rechazado la cobertura señalando que la póliza contratada cubre únicamente la edificación del predio, mas no el contenido del mismo; b) no está de acuerdo con dicha posición, pues en el rubro bienes asegurados se señala taxativamente con respecto al contenido “para los efectos del presente contrato de seguro, sen entenderá que el término CONTENIDO, incluye  a todos los bienes de uso doméstico que encontrándose dentro del predio señalado (…) sean de propiedad el asegurado, incluye equipos, mobiliaria, enseres y similares”; c) del mismo modo en el punto resumen de la póliza sobre principales riesgos cubiertos se indica “el seguro cubre la edificación y/o el contenido”; por lo que el rechazo de cobertura resulta ilegítimo; d) de otro lado las exclusiones solo refieren que no se cubre el hurto simple, siendo que en este caso estamos ante un robo por la violencia sobre la puerta de ingreso; por lo que no habría un exclusión aplicable al contenido y por tanto debería cubrirse el siniestro.</w:t>
      </w:r>
    </w:p>
    <w:p w14:paraId="5A2D0E53"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ES"/>
        </w:rPr>
      </w:pPr>
    </w:p>
    <w:p w14:paraId="0D8B71C1" w14:textId="72467876" w:rsidR="001276D8" w:rsidRPr="007C32F6" w:rsidRDefault="001276D8" w:rsidP="001276D8">
      <w:pPr>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Que, por su parte la aseguradora sustenta su rechazo en los argumentos que a continuación se resumen: a) la reclamante mantenía contratada la póliza de seguro hogar con el objeto de asegurar su departamento hasta por la suma de US$137,000, la cual fue emitida con fecha 28 de junio de 2019; b) dicho contrato fue suscrito con el objeto de respaldar el bien que fue financiado por el </w:t>
      </w:r>
      <w:r w:rsidR="00DA06A1">
        <w:rPr>
          <w:rFonts w:ascii="Times New Roman" w:hAnsi="Times New Roman" w:cs="Times New Roman"/>
          <w:sz w:val="24"/>
          <w:szCs w:val="24"/>
          <w:lang w:val="es-PE"/>
        </w:rPr>
        <w:t>........................................</w:t>
      </w:r>
      <w:r w:rsidRPr="007C32F6">
        <w:rPr>
          <w:rFonts w:ascii="Times New Roman" w:hAnsi="Times New Roman" w:cs="Times New Roman"/>
          <w:sz w:val="24"/>
          <w:szCs w:val="24"/>
          <w:lang w:val="es-PE"/>
        </w:rPr>
        <w:t xml:space="preserve">, estando los derechos de indemnización endosados a dicho banco; c) informados del siniestro ocurrido el 19 de abril de 2019 a las 23:20 horas aproximadamente, se designó a los ajustadores, los cuales emitieron su informe final el 03 de mayo de 2019, concluyendo que la materia del seguro solo corresponde a la edificación, mas no al contenido, por lo cual el siniestro no cuenta con cobertura al amparo de las condiciones y cláusulas de la póliza contratada; d) siendo que se reclama por el robo de televisores, electrodomésticos, joyas, cámara de fotos, celulares, dinero en efectivo y otros bienes, ninguno de los cuales ostenta la calidad de instalación fija, se cursó la carta de rechazo al asegurado informándole que no procedía la cobertura solicitada toda vez que el contenido del inmueble no era parte de la cobertura contratada; e) de la revisión de la póliza se constata que solo se aseguró la edificación; f) la póliza otorga 14 coberturas principales y 8 prestaciones adicionales (denominadas beneficios </w:t>
      </w:r>
      <w:r w:rsidRPr="007C32F6">
        <w:rPr>
          <w:rFonts w:ascii="Times New Roman" w:hAnsi="Times New Roman" w:cs="Times New Roman"/>
          <w:sz w:val="24"/>
          <w:szCs w:val="24"/>
          <w:lang w:val="es-PE"/>
        </w:rPr>
        <w:lastRenderedPageBreak/>
        <w:t xml:space="preserve">adicionales), de las 14 coberturas principales solo tienen relevancia para la controversia dos: “Sección I: Todo Riesgo – Cobertura Básica” cuya suma asegurada es hasta 100% de la suma asegurada de la edificación; y “Sección IV: Robo o intento de robo”, en la cual se precisa que es de instalaciones fijas y que la suma asegurada es hasta el 20% de la suma asegurada de la edificación, máximo US$5,000; g) si bien la redacción de las condiciones generales es más amplia, y se hace referencia al contenido, se añade que ello es conforme a lo dispuesto en las condiciones particulares, por lo que no hay una contradicción; y, en el supuesto negado que se considerara que existe contradicción, de acuerdo a lo dispuesto en el artículo IV, inciso sexto del Título Preliminar de la Ley del Contrato de Seguro, prevalecen las cláusulas particulares sobre las generales; h) de la lectura de los diversos artículos referidos a “contenido”, se aprecia que es requisito </w:t>
      </w:r>
      <w:r w:rsidRPr="007C32F6">
        <w:rPr>
          <w:rFonts w:ascii="Times New Roman" w:hAnsi="Times New Roman" w:cs="Times New Roman"/>
          <w:i/>
          <w:iCs/>
          <w:sz w:val="24"/>
          <w:szCs w:val="24"/>
          <w:lang w:val="es-PE"/>
        </w:rPr>
        <w:t>sine qua non</w:t>
      </w:r>
      <w:r w:rsidRPr="007C32F6">
        <w:rPr>
          <w:rFonts w:ascii="Times New Roman" w:hAnsi="Times New Roman" w:cs="Times New Roman"/>
          <w:sz w:val="24"/>
          <w:szCs w:val="24"/>
          <w:lang w:val="es-PE"/>
        </w:rPr>
        <w:t xml:space="preserve"> para que se considere contratada la cobertura de contenido, el haber señalado ello expresamente en las condiciones particulares y además haber realizado un listado detallado de los bienes a asegurarse por tal concepto, lo que no se ha producido en el presente caso. </w:t>
      </w:r>
    </w:p>
    <w:p w14:paraId="511AAA53" w14:textId="67A0C2F5" w:rsidR="00260B2D" w:rsidRPr="007C32F6" w:rsidRDefault="00260B2D" w:rsidP="001276D8">
      <w:pPr>
        <w:spacing w:after="0" w:line="240" w:lineRule="auto"/>
        <w:jc w:val="both"/>
        <w:rPr>
          <w:rStyle w:val="Textoennegrita"/>
          <w:rFonts w:ascii="Times New Roman" w:hAnsi="Times New Roman" w:cs="Times New Roman"/>
          <w:b w:val="0"/>
          <w:bCs w:val="0"/>
          <w:sz w:val="24"/>
          <w:szCs w:val="24"/>
          <w:lang w:val="es-PE"/>
        </w:rPr>
      </w:pPr>
    </w:p>
    <w:p w14:paraId="1D64151C" w14:textId="5B0A8E27" w:rsidR="00260B2D" w:rsidRPr="007C32F6" w:rsidRDefault="00260B2D" w:rsidP="001276D8">
      <w:pPr>
        <w:spacing w:after="0" w:line="240" w:lineRule="auto"/>
        <w:jc w:val="both"/>
        <w:rPr>
          <w:rStyle w:val="Textoennegrita"/>
          <w:rFonts w:ascii="Times New Roman" w:hAnsi="Times New Roman" w:cs="Times New Roman"/>
          <w:b w:val="0"/>
          <w:bCs w:val="0"/>
          <w:sz w:val="24"/>
          <w:szCs w:val="24"/>
          <w:lang w:val="es-PE"/>
        </w:rPr>
      </w:pPr>
      <w:r w:rsidRPr="007C32F6">
        <w:rPr>
          <w:rStyle w:val="Textoennegrita"/>
          <w:rFonts w:ascii="Times New Roman" w:hAnsi="Times New Roman" w:cs="Times New Roman"/>
          <w:b w:val="0"/>
          <w:bCs w:val="0"/>
          <w:sz w:val="24"/>
          <w:szCs w:val="24"/>
          <w:lang w:val="es-PE"/>
        </w:rPr>
        <w:t xml:space="preserve">Que, con fecha </w:t>
      </w:r>
      <w:r w:rsidR="00360667" w:rsidRPr="007C32F6">
        <w:rPr>
          <w:rStyle w:val="Textoennegrita"/>
          <w:rFonts w:ascii="Times New Roman" w:hAnsi="Times New Roman" w:cs="Times New Roman"/>
          <w:b w:val="0"/>
          <w:bCs w:val="0"/>
          <w:sz w:val="24"/>
          <w:szCs w:val="24"/>
          <w:lang w:val="es-PE"/>
        </w:rPr>
        <w:t>04 de setiembre de 2019 la aseguradora absolvió el requerimiento formulado por esta Defensoría en la audiencia de vista.</w:t>
      </w:r>
    </w:p>
    <w:p w14:paraId="3940E5F4" w14:textId="77777777" w:rsidR="00360667" w:rsidRPr="007C32F6" w:rsidRDefault="00360667" w:rsidP="001276D8">
      <w:pPr>
        <w:spacing w:after="0" w:line="240" w:lineRule="auto"/>
        <w:jc w:val="both"/>
        <w:rPr>
          <w:rStyle w:val="Textoennegrita"/>
          <w:rFonts w:ascii="Times New Roman" w:hAnsi="Times New Roman" w:cs="Times New Roman"/>
          <w:b w:val="0"/>
          <w:bCs w:val="0"/>
          <w:sz w:val="24"/>
          <w:szCs w:val="24"/>
          <w:lang w:val="es-PE"/>
        </w:rPr>
      </w:pPr>
    </w:p>
    <w:p w14:paraId="09D37965" w14:textId="77777777" w:rsidR="001276D8" w:rsidRPr="007C32F6" w:rsidRDefault="001276D8" w:rsidP="001276D8">
      <w:pPr>
        <w:spacing w:after="0" w:line="240" w:lineRule="auto"/>
        <w:jc w:val="both"/>
        <w:rPr>
          <w:rFonts w:ascii="Times New Roman" w:hAnsi="Times New Roman" w:cs="Times New Roman"/>
          <w:sz w:val="24"/>
          <w:szCs w:val="24"/>
          <w:lang w:val="es-PE"/>
        </w:rPr>
      </w:pPr>
      <w:r w:rsidRPr="007C32F6">
        <w:rPr>
          <w:rStyle w:val="Textoennegrita"/>
          <w:rFonts w:ascii="Times New Roman" w:hAnsi="Times New Roman" w:cs="Times New Roman"/>
          <w:sz w:val="24"/>
          <w:szCs w:val="24"/>
          <w:lang w:val="es-PE"/>
        </w:rPr>
        <w:t>Considerando:</w:t>
      </w:r>
    </w:p>
    <w:p w14:paraId="10E4CB9F" w14:textId="77777777" w:rsidR="001276D8" w:rsidRPr="007C32F6" w:rsidRDefault="001276D8" w:rsidP="001276D8">
      <w:pPr>
        <w:spacing w:after="0" w:line="240" w:lineRule="auto"/>
        <w:jc w:val="both"/>
        <w:rPr>
          <w:rFonts w:ascii="Times New Roman" w:hAnsi="Times New Roman" w:cs="Times New Roman"/>
          <w:sz w:val="24"/>
          <w:szCs w:val="24"/>
          <w:lang w:val="es-PE"/>
        </w:rPr>
      </w:pPr>
    </w:p>
    <w:p w14:paraId="34644185" w14:textId="77777777" w:rsidR="001276D8" w:rsidRPr="007C32F6" w:rsidRDefault="001276D8" w:rsidP="001276D8">
      <w:pPr>
        <w:spacing w:after="0" w:line="240" w:lineRule="auto"/>
        <w:jc w:val="both"/>
        <w:rPr>
          <w:rFonts w:ascii="Times New Roman" w:hAnsi="Times New Roman" w:cs="Times New Roman"/>
          <w:sz w:val="24"/>
          <w:szCs w:val="24"/>
          <w:lang w:val="es-PE"/>
        </w:rPr>
      </w:pPr>
      <w:r w:rsidRPr="007C32F6">
        <w:rPr>
          <w:rFonts w:ascii="Times New Roman" w:hAnsi="Times New Roman" w:cs="Times New Roman"/>
          <w:b/>
          <w:sz w:val="24"/>
          <w:szCs w:val="24"/>
          <w:u w:val="single"/>
          <w:lang w:val="es-PE"/>
        </w:rPr>
        <w:t>Primero</w:t>
      </w:r>
      <w:r w:rsidRPr="007C32F6">
        <w:rPr>
          <w:rFonts w:ascii="Times New Roman" w:hAnsi="Times New Roman" w:cs="Times New Roman"/>
          <w:b/>
          <w:sz w:val="24"/>
          <w:szCs w:val="24"/>
          <w:lang w:val="es-PE"/>
        </w:rPr>
        <w:t xml:space="preserve">: </w:t>
      </w:r>
      <w:r w:rsidRPr="007C32F6">
        <w:rPr>
          <w:rFonts w:ascii="Times New Roman" w:hAnsi="Times New Roman" w:cs="Times New Roman"/>
          <w:sz w:val="24"/>
          <w:szCs w:val="24"/>
          <w:lang w:val="es-PE"/>
        </w:rPr>
        <w:t>Conforme a su Reglamento, la</w:t>
      </w:r>
      <w:r w:rsidRPr="007C32F6">
        <w:rPr>
          <w:rFonts w:ascii="Times New Roman" w:hAnsi="Times New Roman" w:cs="Times New Roman"/>
          <w:b/>
          <w:bCs/>
          <w:sz w:val="24"/>
          <w:szCs w:val="24"/>
          <w:lang w:val="es-PE"/>
        </w:rPr>
        <w:t xml:space="preserve"> </w:t>
      </w:r>
      <w:r w:rsidRPr="007C32F6">
        <w:rPr>
          <w:rFonts w:ascii="Times New Roman" w:hAnsi="Times New Roman" w:cs="Times New Roman"/>
          <w:sz w:val="24"/>
          <w:szCs w:val="24"/>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05324BFC" w14:textId="77777777" w:rsidR="001276D8" w:rsidRPr="007C32F6" w:rsidRDefault="001276D8" w:rsidP="001276D8">
      <w:pPr>
        <w:spacing w:after="0" w:line="240" w:lineRule="auto"/>
        <w:jc w:val="both"/>
        <w:rPr>
          <w:rFonts w:ascii="Times New Roman" w:hAnsi="Times New Roman" w:cs="Times New Roman"/>
          <w:bCs/>
          <w:sz w:val="24"/>
          <w:szCs w:val="24"/>
          <w:lang w:val="es-ES"/>
        </w:rPr>
      </w:pPr>
    </w:p>
    <w:p w14:paraId="7599ACA7" w14:textId="77777777" w:rsidR="001276D8" w:rsidRPr="007C32F6" w:rsidRDefault="001276D8" w:rsidP="001276D8">
      <w:pPr>
        <w:spacing w:after="0" w:line="240" w:lineRule="auto"/>
        <w:jc w:val="both"/>
        <w:rPr>
          <w:rFonts w:ascii="Times New Roman" w:hAnsi="Times New Roman" w:cs="Times New Roman"/>
          <w:bCs/>
          <w:sz w:val="24"/>
          <w:szCs w:val="24"/>
          <w:lang w:val="es-PE"/>
        </w:rPr>
      </w:pPr>
      <w:r w:rsidRPr="007C32F6">
        <w:rPr>
          <w:rFonts w:ascii="Times New Roman" w:hAnsi="Times New Roman" w:cs="Times New Roman"/>
          <w:b/>
          <w:bCs/>
          <w:sz w:val="24"/>
          <w:szCs w:val="24"/>
          <w:u w:val="single"/>
          <w:lang w:val="es-PE"/>
        </w:rPr>
        <w:t>Segundo</w:t>
      </w:r>
      <w:r w:rsidRPr="007C32F6">
        <w:rPr>
          <w:rFonts w:ascii="Times New Roman" w:hAnsi="Times New Roman" w:cs="Times New Roman"/>
          <w:b/>
          <w:bCs/>
          <w:sz w:val="24"/>
          <w:szCs w:val="24"/>
          <w:lang w:val="es-PE"/>
        </w:rPr>
        <w:t>:</w:t>
      </w:r>
      <w:r w:rsidRPr="007C32F6">
        <w:rPr>
          <w:rFonts w:ascii="Times New Roman" w:hAnsi="Times New Roman" w:cs="Times New Roman"/>
          <w:bCs/>
          <w:sz w:val="24"/>
          <w:szCs w:val="24"/>
          <w:lang w:val="es-PE"/>
        </w:rPr>
        <w:t xml:space="preserve"> </w:t>
      </w:r>
      <w:r w:rsidRPr="007C32F6">
        <w:rPr>
          <w:rFonts w:ascii="Times New Roman" w:hAnsi="Times New Roman" w:cs="Times New Roman"/>
          <w:sz w:val="24"/>
          <w:szCs w:val="24"/>
          <w:lang w:val="es-PE"/>
        </w:rPr>
        <w:t xml:space="preserve">Asimismo, de acuerdo a </w:t>
      </w:r>
      <w:r w:rsidRPr="007C32F6">
        <w:rPr>
          <w:rFonts w:ascii="Times New Roman" w:hAnsi="Times New Roman" w:cs="Times New Roman"/>
          <w:bCs/>
          <w:sz w:val="24"/>
          <w:szCs w:val="24"/>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3818605" w14:textId="77777777" w:rsidR="001276D8" w:rsidRPr="007C32F6" w:rsidRDefault="001276D8" w:rsidP="001276D8">
      <w:pPr>
        <w:spacing w:after="0" w:line="240" w:lineRule="auto"/>
        <w:jc w:val="both"/>
        <w:rPr>
          <w:rFonts w:ascii="Times New Roman" w:hAnsi="Times New Roman" w:cs="Times New Roman"/>
          <w:sz w:val="24"/>
          <w:szCs w:val="24"/>
          <w:lang w:val="es-PE"/>
        </w:rPr>
      </w:pPr>
    </w:p>
    <w:p w14:paraId="3AFF3154" w14:textId="77777777" w:rsidR="001276D8" w:rsidRPr="007C32F6" w:rsidRDefault="001276D8" w:rsidP="001276D8">
      <w:pPr>
        <w:spacing w:after="0" w:line="240" w:lineRule="auto"/>
        <w:jc w:val="both"/>
        <w:rPr>
          <w:rFonts w:ascii="Times New Roman" w:hAnsi="Times New Roman" w:cs="Times New Roman"/>
          <w:sz w:val="24"/>
          <w:szCs w:val="24"/>
          <w:lang w:val="es-ES"/>
        </w:rPr>
      </w:pPr>
      <w:r w:rsidRPr="007C32F6">
        <w:rPr>
          <w:rFonts w:ascii="Times New Roman" w:hAnsi="Times New Roman" w:cs="Times New Roman"/>
          <w:b/>
          <w:bCs/>
          <w:sz w:val="24"/>
          <w:szCs w:val="24"/>
          <w:u w:val="single"/>
          <w:lang w:val="es-PE"/>
        </w:rPr>
        <w:t>Tercero</w:t>
      </w:r>
      <w:r w:rsidRPr="007C32F6">
        <w:rPr>
          <w:rFonts w:ascii="Times New Roman" w:hAnsi="Times New Roman" w:cs="Times New Roman"/>
          <w:b/>
          <w:bCs/>
          <w:sz w:val="24"/>
          <w:szCs w:val="24"/>
          <w:lang w:val="es-PE"/>
        </w:rPr>
        <w:t>:</w:t>
      </w:r>
      <w:r w:rsidRPr="007C32F6">
        <w:rPr>
          <w:rFonts w:ascii="Times New Roman" w:hAnsi="Times New Roman" w:cs="Times New Roman"/>
          <w:sz w:val="24"/>
          <w:szCs w:val="24"/>
          <w:lang w:val="es-PE"/>
        </w:rPr>
        <w:t xml:space="preserve"> Que, de acuerdo a la Ley Nro. </w:t>
      </w:r>
      <w:r w:rsidRPr="007C32F6">
        <w:rPr>
          <w:rFonts w:ascii="Times New Roman" w:hAnsi="Times New Roman" w:cs="Times New Roman"/>
          <w:sz w:val="24"/>
          <w:szCs w:val="24"/>
          <w:lang w:val="es-ES"/>
        </w:rPr>
        <w:t xml:space="preserve">29946 – Ley del Contrato de Seguro, norma legal vigente con ocasión de la celebración del contrato al cual se contrae el presente caso, </w:t>
      </w:r>
      <w:r w:rsidRPr="007C32F6">
        <w:rPr>
          <w:rFonts w:ascii="Times New Roman" w:hAnsi="Times New Roman" w:cs="Times New Roman"/>
          <w:sz w:val="24"/>
          <w:szCs w:val="24"/>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B14303D" w14:textId="77777777" w:rsidR="001276D8" w:rsidRPr="007C32F6" w:rsidRDefault="001276D8" w:rsidP="001276D8">
      <w:pPr>
        <w:spacing w:after="0" w:line="240" w:lineRule="auto"/>
        <w:jc w:val="both"/>
        <w:rPr>
          <w:rFonts w:ascii="Times New Roman" w:hAnsi="Times New Roman" w:cs="Times New Roman"/>
          <w:b/>
          <w:sz w:val="24"/>
          <w:szCs w:val="24"/>
          <w:u w:val="single"/>
          <w:lang w:val="es-PE"/>
        </w:rPr>
      </w:pPr>
    </w:p>
    <w:p w14:paraId="008B945E" w14:textId="77777777" w:rsidR="001276D8" w:rsidRPr="007C32F6" w:rsidRDefault="001276D8" w:rsidP="001276D8">
      <w:pPr>
        <w:spacing w:after="0" w:line="240" w:lineRule="auto"/>
        <w:jc w:val="both"/>
        <w:rPr>
          <w:rFonts w:ascii="Times New Roman" w:hAnsi="Times New Roman" w:cs="Times New Roman"/>
          <w:sz w:val="24"/>
          <w:szCs w:val="24"/>
          <w:lang w:val="es-PE"/>
        </w:rPr>
      </w:pPr>
      <w:r w:rsidRPr="007C32F6">
        <w:rPr>
          <w:rFonts w:ascii="Times New Roman" w:hAnsi="Times New Roman" w:cs="Times New Roman"/>
          <w:b/>
          <w:sz w:val="24"/>
          <w:szCs w:val="24"/>
          <w:u w:val="single"/>
          <w:lang w:val="es-PE"/>
        </w:rPr>
        <w:t>Cuarto</w:t>
      </w:r>
      <w:r w:rsidRPr="007C32F6">
        <w:rPr>
          <w:rFonts w:ascii="Times New Roman" w:hAnsi="Times New Roman" w:cs="Times New Roman"/>
          <w:b/>
          <w:sz w:val="24"/>
          <w:szCs w:val="24"/>
          <w:lang w:val="es-PE"/>
        </w:rPr>
        <w:t>:</w:t>
      </w:r>
      <w:r w:rsidRPr="007C32F6">
        <w:rPr>
          <w:rFonts w:ascii="Times New Roman" w:hAnsi="Times New Roman" w:cs="Times New Roman"/>
          <w:sz w:val="24"/>
          <w:szCs w:val="24"/>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5C78589" w14:textId="77777777" w:rsidR="001276D8" w:rsidRPr="007C32F6" w:rsidRDefault="001276D8" w:rsidP="001276D8">
      <w:pPr>
        <w:spacing w:after="0" w:line="240" w:lineRule="auto"/>
        <w:jc w:val="both"/>
        <w:rPr>
          <w:rStyle w:val="Textoennegrita"/>
          <w:rFonts w:ascii="Times New Roman" w:hAnsi="Times New Roman" w:cs="Times New Roman"/>
          <w:b w:val="0"/>
          <w:sz w:val="24"/>
          <w:szCs w:val="24"/>
          <w:lang w:val="es-ES"/>
        </w:rPr>
      </w:pPr>
    </w:p>
    <w:p w14:paraId="525A92C4" w14:textId="77777777" w:rsidR="001276D8" w:rsidRPr="007C32F6" w:rsidRDefault="001276D8" w:rsidP="001276D8">
      <w:pPr>
        <w:spacing w:after="0" w:line="240" w:lineRule="auto"/>
        <w:jc w:val="both"/>
        <w:rPr>
          <w:rFonts w:ascii="Times New Roman" w:hAnsi="Times New Roman" w:cs="Times New Roman"/>
          <w:sz w:val="24"/>
          <w:szCs w:val="24"/>
          <w:lang w:val="es-ES"/>
        </w:rPr>
      </w:pPr>
      <w:r w:rsidRPr="007C32F6">
        <w:rPr>
          <w:rStyle w:val="Textoennegrita"/>
          <w:rFonts w:ascii="Times New Roman" w:hAnsi="Times New Roman" w:cs="Times New Roman"/>
          <w:sz w:val="24"/>
          <w:szCs w:val="24"/>
          <w:u w:val="single"/>
          <w:lang w:val="es-PE"/>
        </w:rPr>
        <w:t>Quinto</w:t>
      </w:r>
      <w:r w:rsidRPr="007C32F6">
        <w:rPr>
          <w:rStyle w:val="Textoennegrita"/>
          <w:rFonts w:ascii="Times New Roman" w:hAnsi="Times New Roman" w:cs="Times New Roman"/>
          <w:sz w:val="24"/>
          <w:szCs w:val="24"/>
          <w:lang w:val="es-PE"/>
        </w:rPr>
        <w:t xml:space="preserve">: </w:t>
      </w:r>
      <w:r w:rsidRPr="007C32F6">
        <w:rPr>
          <w:rStyle w:val="Textoennegrita"/>
          <w:rFonts w:ascii="Times New Roman" w:hAnsi="Times New Roman" w:cs="Times New Roman"/>
          <w:b w:val="0"/>
          <w:sz w:val="24"/>
          <w:szCs w:val="24"/>
          <w:lang w:val="es-PE"/>
        </w:rPr>
        <w:t xml:space="preserve">Que, conforme al </w:t>
      </w:r>
      <w:r w:rsidRPr="007C32F6">
        <w:rPr>
          <w:rFonts w:ascii="Times New Roman" w:hAnsi="Times New Roman" w:cs="Times New Roman"/>
          <w:sz w:val="24"/>
          <w:szCs w:val="24"/>
          <w:lang w:val="es-PE"/>
        </w:rPr>
        <w:t xml:space="preserve">artículo 196 del Código Procesal Civil, corresponde a quien invoca hechos probar su existencia, así como a quien los contradice invocando nuevos </w:t>
      </w:r>
      <w:r w:rsidRPr="007C32F6">
        <w:rPr>
          <w:rFonts w:ascii="Times New Roman" w:hAnsi="Times New Roman" w:cs="Times New Roman"/>
          <w:sz w:val="24"/>
          <w:szCs w:val="24"/>
          <w:lang w:val="es-PE"/>
        </w:rPr>
        <w:lastRenderedPageBreak/>
        <w:t>hechos, salvo que aquel que esté sujeto a dicha carga procesal se acoja a alguna presunción legal de carácter relativo o absoluto.</w:t>
      </w:r>
    </w:p>
    <w:p w14:paraId="77BD3ECD"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ES"/>
        </w:rPr>
      </w:pPr>
    </w:p>
    <w:p w14:paraId="321F3802"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b/>
          <w:sz w:val="24"/>
          <w:szCs w:val="24"/>
          <w:u w:val="single"/>
          <w:lang w:val="es-ES"/>
        </w:rPr>
        <w:t>Sexto</w:t>
      </w:r>
      <w:r w:rsidRPr="007C32F6">
        <w:rPr>
          <w:rFonts w:ascii="Times New Roman" w:hAnsi="Times New Roman" w:cs="Times New Roman"/>
          <w:b/>
          <w:sz w:val="24"/>
          <w:szCs w:val="24"/>
          <w:lang w:val="es-ES"/>
        </w:rPr>
        <w:t>:</w:t>
      </w:r>
      <w:r w:rsidRPr="007C32F6">
        <w:rPr>
          <w:rFonts w:ascii="Times New Roman" w:hAnsi="Times New Roman" w:cs="Times New Roman"/>
          <w:b/>
          <w:sz w:val="24"/>
          <w:szCs w:val="24"/>
          <w:lang w:val="es-PE"/>
        </w:rPr>
        <w:t xml:space="preserve"> </w:t>
      </w:r>
      <w:r w:rsidRPr="007C32F6">
        <w:rPr>
          <w:rFonts w:ascii="Times New Roman" w:hAnsi="Times New Roman" w:cs="Times New Roman"/>
          <w:sz w:val="24"/>
          <w:szCs w:val="24"/>
          <w:lang w:val="es-PE"/>
        </w:rPr>
        <w:t xml:space="preserve">Sobre la base de los términos contenidos en la reclamación y en la absolución de la misma, y a lo tratado en la audiencia de vista, la cuestión controvertida radica en determinar si el rechazo de cobertura informado por la aseguradora consistente en que no se contrató la cobertura de contenido, y por lo tanto solo se cubre la edificación es legítima. </w:t>
      </w:r>
    </w:p>
    <w:p w14:paraId="0F406B2E"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PE"/>
        </w:rPr>
      </w:pPr>
    </w:p>
    <w:p w14:paraId="355C8EDD"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b/>
          <w:sz w:val="24"/>
          <w:szCs w:val="24"/>
          <w:u w:val="single"/>
          <w:lang w:val="es-PE"/>
        </w:rPr>
        <w:t>Sétimo:</w:t>
      </w:r>
      <w:r w:rsidRPr="007C32F6">
        <w:rPr>
          <w:rFonts w:ascii="Times New Roman" w:hAnsi="Times New Roman" w:cs="Times New Roman"/>
          <w:sz w:val="24"/>
          <w:szCs w:val="24"/>
          <w:lang w:val="es-PE"/>
        </w:rPr>
        <w:t xml:space="preserve">  Este colegiado ha revisado detenidamente la póliza de seguro, verificando lo siguiente:</w:t>
      </w:r>
    </w:p>
    <w:p w14:paraId="3AE1953E"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PE"/>
        </w:rPr>
      </w:pPr>
    </w:p>
    <w:p w14:paraId="7B274702" w14:textId="77777777" w:rsidR="001276D8" w:rsidRPr="007C32F6" w:rsidRDefault="001276D8" w:rsidP="00E7006D">
      <w:pPr>
        <w:pStyle w:val="Prrafodelista"/>
        <w:numPr>
          <w:ilvl w:val="0"/>
          <w:numId w:val="3"/>
        </w:num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En las Condiciones Particulares, bajo el rubro Suma Asegurada, se indica:</w:t>
      </w:r>
    </w:p>
    <w:p w14:paraId="2CDC0F9D" w14:textId="77777777" w:rsidR="001276D8" w:rsidRPr="007C32F6" w:rsidRDefault="001276D8" w:rsidP="00E7006D">
      <w:pPr>
        <w:tabs>
          <w:tab w:val="left" w:pos="2160"/>
        </w:tabs>
        <w:spacing w:after="0" w:line="240" w:lineRule="auto"/>
        <w:ind w:left="1440"/>
        <w:jc w:val="both"/>
        <w:rPr>
          <w:rFonts w:ascii="Times New Roman" w:hAnsi="Times New Roman" w:cs="Times New Roman"/>
          <w:i/>
          <w:iCs/>
          <w:sz w:val="24"/>
          <w:szCs w:val="24"/>
          <w:lang w:val="es-PE"/>
        </w:rPr>
      </w:pPr>
      <w:r w:rsidRPr="007C32F6">
        <w:rPr>
          <w:rFonts w:ascii="Times New Roman" w:hAnsi="Times New Roman" w:cs="Times New Roman"/>
          <w:i/>
          <w:iCs/>
          <w:sz w:val="24"/>
          <w:szCs w:val="24"/>
          <w:lang w:val="es-PE"/>
        </w:rPr>
        <w:t>Suma Asegurada Edificación  US$137,000.</w:t>
      </w:r>
    </w:p>
    <w:p w14:paraId="114FC57E" w14:textId="77777777" w:rsidR="001276D8" w:rsidRPr="007C32F6" w:rsidRDefault="001276D8" w:rsidP="00E7006D">
      <w:pPr>
        <w:tabs>
          <w:tab w:val="left" w:pos="2160"/>
        </w:tabs>
        <w:spacing w:after="0" w:line="240" w:lineRule="auto"/>
        <w:ind w:left="720"/>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No figura Suma Asegurada para el Contenido, como suele ocurrir cuando se asegura adicionalmente el contenido.</w:t>
      </w:r>
    </w:p>
    <w:p w14:paraId="3C5822E1"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PE"/>
        </w:rPr>
      </w:pPr>
    </w:p>
    <w:p w14:paraId="1C3EDCBE" w14:textId="77777777" w:rsidR="001276D8" w:rsidRPr="007C32F6" w:rsidRDefault="001276D8" w:rsidP="00E7006D">
      <w:pPr>
        <w:pStyle w:val="Prrafodelista"/>
        <w:numPr>
          <w:ilvl w:val="0"/>
          <w:numId w:val="3"/>
        </w:num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En el detalle de Coberturas y Beneficios</w:t>
      </w:r>
      <w:r w:rsidR="00445237" w:rsidRPr="007C32F6">
        <w:rPr>
          <w:rFonts w:ascii="Times New Roman" w:hAnsi="Times New Roman" w:cs="Times New Roman"/>
          <w:sz w:val="24"/>
          <w:szCs w:val="24"/>
          <w:lang w:val="es-PE"/>
        </w:rPr>
        <w:t>, especificado en las Condiciones Particulares</w:t>
      </w:r>
      <w:r w:rsidRPr="007C32F6">
        <w:rPr>
          <w:rFonts w:ascii="Times New Roman" w:hAnsi="Times New Roman" w:cs="Times New Roman"/>
          <w:sz w:val="24"/>
          <w:szCs w:val="24"/>
          <w:lang w:val="es-PE"/>
        </w:rPr>
        <w:t>,</w:t>
      </w:r>
      <w:r w:rsidR="00E7006D" w:rsidRPr="007C32F6">
        <w:rPr>
          <w:rFonts w:ascii="Times New Roman" w:hAnsi="Times New Roman" w:cs="Times New Roman"/>
          <w:sz w:val="24"/>
          <w:szCs w:val="24"/>
          <w:lang w:val="es-PE"/>
        </w:rPr>
        <w:t xml:space="preserve"> </w:t>
      </w:r>
      <w:r w:rsidR="00445237" w:rsidRPr="007C32F6">
        <w:rPr>
          <w:rFonts w:ascii="Times New Roman" w:hAnsi="Times New Roman" w:cs="Times New Roman"/>
          <w:sz w:val="24"/>
          <w:szCs w:val="24"/>
          <w:lang w:val="es-PE"/>
        </w:rPr>
        <w:t xml:space="preserve">se indica </w:t>
      </w:r>
      <w:r w:rsidR="00E7006D" w:rsidRPr="007C32F6">
        <w:rPr>
          <w:rFonts w:ascii="Times New Roman" w:hAnsi="Times New Roman" w:cs="Times New Roman"/>
          <w:sz w:val="24"/>
          <w:szCs w:val="24"/>
          <w:lang w:val="es-PE"/>
        </w:rPr>
        <w:t xml:space="preserve">lo siguiente </w:t>
      </w:r>
      <w:r w:rsidR="00445237" w:rsidRPr="007C32F6">
        <w:rPr>
          <w:rFonts w:ascii="Times New Roman" w:hAnsi="Times New Roman" w:cs="Times New Roman"/>
          <w:sz w:val="24"/>
          <w:szCs w:val="24"/>
          <w:lang w:val="es-PE"/>
        </w:rPr>
        <w:t>respecto de la cobertura de Todo Riesgo y Robo o Intento de Robo</w:t>
      </w:r>
    </w:p>
    <w:p w14:paraId="32A7380C"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PE"/>
        </w:rPr>
      </w:pPr>
    </w:p>
    <w:tbl>
      <w:tblPr>
        <w:tblStyle w:val="Tablaconcuadrcula"/>
        <w:tblW w:w="0" w:type="auto"/>
        <w:tblInd w:w="704" w:type="dxa"/>
        <w:tblLook w:val="04A0" w:firstRow="1" w:lastRow="0" w:firstColumn="1" w:lastColumn="0" w:noHBand="0" w:noVBand="1"/>
      </w:tblPr>
      <w:tblGrid>
        <w:gridCol w:w="4536"/>
        <w:gridCol w:w="3538"/>
      </w:tblGrid>
      <w:tr w:rsidR="001276D8" w:rsidRPr="007C32F6" w14:paraId="7C949B76" w14:textId="77777777" w:rsidTr="00E7006D">
        <w:tc>
          <w:tcPr>
            <w:tcW w:w="4536" w:type="dxa"/>
          </w:tcPr>
          <w:p w14:paraId="541DE1BA" w14:textId="77777777" w:rsidR="001276D8" w:rsidRPr="007C32F6" w:rsidRDefault="001276D8" w:rsidP="001276D8">
            <w:pPr>
              <w:tabs>
                <w:tab w:val="left" w:pos="2160"/>
              </w:tabs>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Coberturas</w:t>
            </w:r>
          </w:p>
        </w:tc>
        <w:tc>
          <w:tcPr>
            <w:tcW w:w="3538" w:type="dxa"/>
          </w:tcPr>
          <w:p w14:paraId="19696D58" w14:textId="77777777" w:rsidR="001276D8" w:rsidRPr="007C32F6" w:rsidRDefault="001276D8" w:rsidP="001276D8">
            <w:pPr>
              <w:tabs>
                <w:tab w:val="left" w:pos="2160"/>
              </w:tabs>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Suma Asegurada</w:t>
            </w:r>
          </w:p>
        </w:tc>
      </w:tr>
      <w:tr w:rsidR="00E7006D" w:rsidRPr="00DA06A1" w14:paraId="2F37AB1E" w14:textId="77777777" w:rsidTr="00E7006D">
        <w:tc>
          <w:tcPr>
            <w:tcW w:w="8074" w:type="dxa"/>
            <w:gridSpan w:val="2"/>
          </w:tcPr>
          <w:p w14:paraId="6C1CFD8B" w14:textId="77777777" w:rsidR="00E7006D" w:rsidRPr="007C32F6" w:rsidRDefault="00E7006D" w:rsidP="001276D8">
            <w:pPr>
              <w:tabs>
                <w:tab w:val="left" w:pos="2160"/>
              </w:tabs>
              <w:jc w:val="both"/>
              <w:rPr>
                <w:rFonts w:ascii="Times New Roman" w:hAnsi="Times New Roman" w:cs="Times New Roman"/>
                <w:b/>
                <w:bCs/>
                <w:sz w:val="24"/>
                <w:szCs w:val="24"/>
                <w:lang w:val="es-PE"/>
              </w:rPr>
            </w:pPr>
            <w:r w:rsidRPr="007C32F6">
              <w:rPr>
                <w:rFonts w:ascii="Times New Roman" w:hAnsi="Times New Roman" w:cs="Times New Roman"/>
                <w:b/>
                <w:bCs/>
                <w:sz w:val="24"/>
                <w:szCs w:val="24"/>
                <w:lang w:val="es-PE"/>
              </w:rPr>
              <w:t>Sección I: Todo Riesgo – Cobertura Básica</w:t>
            </w:r>
          </w:p>
        </w:tc>
      </w:tr>
      <w:tr w:rsidR="001276D8" w:rsidRPr="00DA06A1" w14:paraId="49597FB3" w14:textId="77777777" w:rsidTr="00E7006D">
        <w:tc>
          <w:tcPr>
            <w:tcW w:w="4536" w:type="dxa"/>
          </w:tcPr>
          <w:p w14:paraId="05AC6DDA" w14:textId="77777777" w:rsidR="001276D8" w:rsidRPr="007C32F6" w:rsidRDefault="00E7006D" w:rsidP="001276D8">
            <w:pPr>
              <w:tabs>
                <w:tab w:val="left" w:pos="2160"/>
              </w:tabs>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Todo riesgo</w:t>
            </w:r>
          </w:p>
        </w:tc>
        <w:tc>
          <w:tcPr>
            <w:tcW w:w="3538" w:type="dxa"/>
          </w:tcPr>
          <w:p w14:paraId="42FEF067" w14:textId="77777777" w:rsidR="001276D8" w:rsidRPr="007C32F6" w:rsidRDefault="00E7006D" w:rsidP="001276D8">
            <w:pPr>
              <w:tabs>
                <w:tab w:val="left" w:pos="2160"/>
              </w:tabs>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Hasta el 100% de la suma asegurada de la edificación</w:t>
            </w:r>
          </w:p>
        </w:tc>
      </w:tr>
      <w:tr w:rsidR="00E7006D" w:rsidRPr="007C32F6" w14:paraId="49800E4A" w14:textId="77777777" w:rsidTr="007B2F7B">
        <w:tc>
          <w:tcPr>
            <w:tcW w:w="8074" w:type="dxa"/>
            <w:gridSpan w:val="2"/>
          </w:tcPr>
          <w:p w14:paraId="0984DF88" w14:textId="77777777" w:rsidR="00E7006D" w:rsidRPr="007C32F6" w:rsidRDefault="00E7006D" w:rsidP="001276D8">
            <w:pPr>
              <w:tabs>
                <w:tab w:val="left" w:pos="2160"/>
              </w:tabs>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w:t>
            </w:r>
          </w:p>
        </w:tc>
      </w:tr>
      <w:tr w:rsidR="00E7006D" w:rsidRPr="00DA06A1" w14:paraId="35723551" w14:textId="77777777" w:rsidTr="00E7006D">
        <w:tc>
          <w:tcPr>
            <w:tcW w:w="8074" w:type="dxa"/>
            <w:gridSpan w:val="2"/>
          </w:tcPr>
          <w:p w14:paraId="50B11B54" w14:textId="77777777" w:rsidR="00E7006D" w:rsidRPr="007C32F6" w:rsidRDefault="00E7006D" w:rsidP="001276D8">
            <w:pPr>
              <w:tabs>
                <w:tab w:val="left" w:pos="2160"/>
              </w:tabs>
              <w:jc w:val="both"/>
              <w:rPr>
                <w:rFonts w:ascii="Times New Roman" w:hAnsi="Times New Roman" w:cs="Times New Roman"/>
                <w:b/>
                <w:bCs/>
                <w:sz w:val="24"/>
                <w:szCs w:val="24"/>
                <w:lang w:val="es-PE"/>
              </w:rPr>
            </w:pPr>
            <w:r w:rsidRPr="007C32F6">
              <w:rPr>
                <w:rFonts w:ascii="Times New Roman" w:hAnsi="Times New Roman" w:cs="Times New Roman"/>
                <w:b/>
                <w:bCs/>
                <w:sz w:val="24"/>
                <w:szCs w:val="24"/>
                <w:lang w:val="es-PE"/>
              </w:rPr>
              <w:t>Sección IV: Robo o Intento de Robo</w:t>
            </w:r>
          </w:p>
        </w:tc>
      </w:tr>
      <w:tr w:rsidR="00E7006D" w:rsidRPr="00DA06A1" w14:paraId="64F69548" w14:textId="77777777" w:rsidTr="00E7006D">
        <w:tc>
          <w:tcPr>
            <w:tcW w:w="4536" w:type="dxa"/>
          </w:tcPr>
          <w:p w14:paraId="7974290F" w14:textId="77777777" w:rsidR="00E7006D" w:rsidRPr="007C32F6" w:rsidRDefault="00E7006D" w:rsidP="001276D8">
            <w:pPr>
              <w:tabs>
                <w:tab w:val="left" w:pos="2160"/>
              </w:tabs>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Robo o intento de robo de instalaciones fijas</w:t>
            </w:r>
          </w:p>
        </w:tc>
        <w:tc>
          <w:tcPr>
            <w:tcW w:w="3538" w:type="dxa"/>
          </w:tcPr>
          <w:p w14:paraId="78580CF9" w14:textId="77777777" w:rsidR="00E7006D" w:rsidRPr="007C32F6" w:rsidRDefault="00E7006D" w:rsidP="001276D8">
            <w:pPr>
              <w:tabs>
                <w:tab w:val="left" w:pos="2160"/>
              </w:tabs>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Hasta el 20% de la Suma Asegurada de la Edificación. Máximo US$5,000. Suma Asegurada que forma parte de la sección I</w:t>
            </w:r>
          </w:p>
        </w:tc>
      </w:tr>
    </w:tbl>
    <w:p w14:paraId="62C9C97D" w14:textId="77777777" w:rsidR="00E7006D" w:rsidRPr="007C32F6" w:rsidRDefault="001276D8" w:rsidP="00E7006D">
      <w:pPr>
        <w:tabs>
          <w:tab w:val="left" w:pos="2160"/>
        </w:tabs>
        <w:spacing w:after="0" w:line="240" w:lineRule="auto"/>
        <w:ind w:left="720"/>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br/>
      </w:r>
      <w:r w:rsidR="00E7006D" w:rsidRPr="007C32F6">
        <w:rPr>
          <w:rFonts w:ascii="Times New Roman" w:hAnsi="Times New Roman" w:cs="Times New Roman"/>
          <w:sz w:val="24"/>
          <w:szCs w:val="24"/>
          <w:lang w:val="es-PE"/>
        </w:rPr>
        <w:t>Es decir, solo se establece la cobertura de robo para instalaciones fijas</w:t>
      </w:r>
      <w:r w:rsidR="00445237" w:rsidRPr="007C32F6">
        <w:rPr>
          <w:rFonts w:ascii="Times New Roman" w:hAnsi="Times New Roman" w:cs="Times New Roman"/>
          <w:sz w:val="24"/>
          <w:szCs w:val="24"/>
          <w:lang w:val="es-PE"/>
        </w:rPr>
        <w:t>. Cabe señalar que las otras coberturas contratadas especificas en las Condiciones Particulares son: Terremoto, maremoto, riesgos políticos y sociales, gastos extraordinarios, gastos de aceleración de la reparación de daños, y gastos de arrendamiento de vivienda temporal, que no son de aplicación al presente caso.</w:t>
      </w:r>
    </w:p>
    <w:p w14:paraId="7243B48C" w14:textId="77777777" w:rsidR="00E7006D" w:rsidRPr="007C32F6" w:rsidRDefault="00E7006D" w:rsidP="001276D8">
      <w:pPr>
        <w:tabs>
          <w:tab w:val="left" w:pos="2160"/>
        </w:tabs>
        <w:spacing w:after="0" w:line="240" w:lineRule="auto"/>
        <w:jc w:val="both"/>
        <w:rPr>
          <w:rFonts w:ascii="Times New Roman" w:hAnsi="Times New Roman" w:cs="Times New Roman"/>
          <w:sz w:val="24"/>
          <w:szCs w:val="24"/>
          <w:lang w:val="es-PE"/>
        </w:rPr>
      </w:pPr>
    </w:p>
    <w:p w14:paraId="2A724D88" w14:textId="4B1BADBC" w:rsidR="00E7006D" w:rsidRPr="007C32F6" w:rsidRDefault="00E7006D" w:rsidP="00E7006D">
      <w:pPr>
        <w:pStyle w:val="Prrafodelista"/>
        <w:numPr>
          <w:ilvl w:val="0"/>
          <w:numId w:val="3"/>
        </w:numPr>
        <w:tabs>
          <w:tab w:val="left" w:pos="2160"/>
        </w:tabs>
        <w:spacing w:after="0" w:line="240" w:lineRule="auto"/>
        <w:jc w:val="both"/>
        <w:rPr>
          <w:rFonts w:ascii="Times New Roman" w:hAnsi="Times New Roman" w:cs="Times New Roman"/>
          <w:i/>
          <w:iCs/>
          <w:sz w:val="24"/>
          <w:szCs w:val="24"/>
          <w:lang w:val="es-PE"/>
        </w:rPr>
      </w:pPr>
      <w:r w:rsidRPr="007C32F6">
        <w:rPr>
          <w:rFonts w:ascii="Times New Roman" w:hAnsi="Times New Roman" w:cs="Times New Roman"/>
          <w:sz w:val="24"/>
          <w:szCs w:val="24"/>
          <w:lang w:val="es-PE"/>
        </w:rPr>
        <w:t>En el Resumen de la Póliza (</w:t>
      </w:r>
      <w:r w:rsidR="007C32F6" w:rsidRPr="007C32F6">
        <w:rPr>
          <w:rFonts w:ascii="Times New Roman" w:hAnsi="Times New Roman" w:cs="Times New Roman"/>
          <w:sz w:val="24"/>
          <w:szCs w:val="24"/>
          <w:lang w:val="es-PE"/>
        </w:rPr>
        <w:t>página</w:t>
      </w:r>
      <w:r w:rsidRPr="007C32F6">
        <w:rPr>
          <w:rFonts w:ascii="Times New Roman" w:hAnsi="Times New Roman" w:cs="Times New Roman"/>
          <w:sz w:val="24"/>
          <w:szCs w:val="24"/>
          <w:lang w:val="es-PE"/>
        </w:rPr>
        <w:t xml:space="preserve"> 13), bajo el acápite “Principales Riesgos Cubiertos” se señala: </w:t>
      </w:r>
      <w:r w:rsidRPr="007C32F6">
        <w:rPr>
          <w:rFonts w:ascii="Times New Roman" w:hAnsi="Times New Roman" w:cs="Times New Roman"/>
          <w:i/>
          <w:iCs/>
          <w:sz w:val="24"/>
          <w:szCs w:val="24"/>
          <w:lang w:val="es-PE"/>
        </w:rPr>
        <w:t>“Este seguro cubre todas las pérdidas físicas y/o daños materiales que pueda sufrir el inmueble de tipo casa habitación que sucedan en forma accidental súbita e imprevista como consecuencia directa de cualquier causa</w:t>
      </w:r>
      <w:bookmarkStart w:id="1" w:name="_GoBack"/>
      <w:bookmarkEnd w:id="1"/>
      <w:r w:rsidRPr="007C32F6">
        <w:rPr>
          <w:rFonts w:ascii="Times New Roman" w:hAnsi="Times New Roman" w:cs="Times New Roman"/>
          <w:i/>
          <w:iCs/>
          <w:sz w:val="24"/>
          <w:szCs w:val="24"/>
          <w:lang w:val="es-PE"/>
        </w:rPr>
        <w:t xml:space="preserve"> no excluida. El seguro cubre la edificación y/o el contenido. Tiene coberturas opcionales que se regulan por sus propias cláusulas adicionales. Ver Art. 2 de las Condiciones Generales.” </w:t>
      </w:r>
    </w:p>
    <w:p w14:paraId="7E1518D1" w14:textId="77777777" w:rsidR="00E7006D" w:rsidRPr="007C32F6" w:rsidRDefault="00E7006D" w:rsidP="00E7006D">
      <w:pPr>
        <w:tabs>
          <w:tab w:val="left" w:pos="2160"/>
        </w:tabs>
        <w:spacing w:after="0" w:line="240" w:lineRule="auto"/>
        <w:ind w:left="720"/>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Si bien se hace referencia al contenido, hay una remisión al condicionado general, por lo que debe leerse en concordancia con dicho artículo. </w:t>
      </w:r>
    </w:p>
    <w:p w14:paraId="0A6615E5" w14:textId="77777777" w:rsidR="00E7006D" w:rsidRPr="007C32F6" w:rsidRDefault="00E7006D" w:rsidP="001276D8">
      <w:pPr>
        <w:tabs>
          <w:tab w:val="left" w:pos="2160"/>
        </w:tabs>
        <w:spacing w:after="0" w:line="240" w:lineRule="auto"/>
        <w:jc w:val="both"/>
        <w:rPr>
          <w:rFonts w:ascii="Times New Roman" w:hAnsi="Times New Roman" w:cs="Times New Roman"/>
          <w:sz w:val="24"/>
          <w:szCs w:val="24"/>
          <w:lang w:val="es-PE"/>
        </w:rPr>
      </w:pPr>
    </w:p>
    <w:p w14:paraId="0962B15C" w14:textId="77777777" w:rsidR="00E7006D" w:rsidRPr="007C32F6" w:rsidRDefault="006859C2" w:rsidP="00CB3FB5">
      <w:pPr>
        <w:pStyle w:val="Prrafodelista"/>
        <w:numPr>
          <w:ilvl w:val="0"/>
          <w:numId w:val="3"/>
        </w:num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En los Artículos 1 y 2 del Condicionado General se establece lo siguiente:</w:t>
      </w:r>
    </w:p>
    <w:p w14:paraId="2A3ACE9F" w14:textId="77777777" w:rsidR="006859C2" w:rsidRPr="007C32F6" w:rsidRDefault="006859C2" w:rsidP="00CB3FB5">
      <w:pPr>
        <w:tabs>
          <w:tab w:val="left" w:pos="2160"/>
        </w:tabs>
        <w:spacing w:after="0" w:line="240" w:lineRule="auto"/>
        <w:ind w:left="1440"/>
        <w:jc w:val="both"/>
        <w:rPr>
          <w:rFonts w:ascii="Times New Roman" w:hAnsi="Times New Roman" w:cs="Times New Roman"/>
          <w:i/>
          <w:iCs/>
          <w:sz w:val="24"/>
          <w:szCs w:val="24"/>
          <w:lang w:val="es-PE"/>
        </w:rPr>
      </w:pPr>
      <w:r w:rsidRPr="007C32F6">
        <w:rPr>
          <w:rFonts w:ascii="Times New Roman" w:hAnsi="Times New Roman" w:cs="Times New Roman"/>
          <w:i/>
          <w:iCs/>
          <w:sz w:val="24"/>
          <w:szCs w:val="24"/>
          <w:lang w:val="es-PE"/>
        </w:rPr>
        <w:lastRenderedPageBreak/>
        <w:t>“Artículo 1°</w:t>
      </w:r>
    </w:p>
    <w:p w14:paraId="2D156615" w14:textId="77777777" w:rsidR="006859C2" w:rsidRPr="007C32F6" w:rsidRDefault="006859C2" w:rsidP="00CB3FB5">
      <w:pPr>
        <w:tabs>
          <w:tab w:val="left" w:pos="2160"/>
        </w:tabs>
        <w:spacing w:after="0" w:line="240" w:lineRule="auto"/>
        <w:ind w:left="1440"/>
        <w:jc w:val="both"/>
        <w:rPr>
          <w:rFonts w:ascii="Times New Roman" w:hAnsi="Times New Roman" w:cs="Times New Roman"/>
          <w:i/>
          <w:iCs/>
          <w:sz w:val="24"/>
          <w:szCs w:val="24"/>
          <w:lang w:val="es-PE"/>
        </w:rPr>
      </w:pPr>
      <w:r w:rsidRPr="007C32F6">
        <w:rPr>
          <w:rFonts w:ascii="Times New Roman" w:hAnsi="Times New Roman" w:cs="Times New Roman"/>
          <w:i/>
          <w:iCs/>
          <w:sz w:val="24"/>
          <w:szCs w:val="24"/>
          <w:lang w:val="es-PE"/>
        </w:rPr>
        <w:t>BIENES ASEGURADOS</w:t>
      </w:r>
    </w:p>
    <w:p w14:paraId="28F9EF93" w14:textId="77777777" w:rsidR="006859C2" w:rsidRPr="007C32F6" w:rsidRDefault="006859C2" w:rsidP="00CB3FB5">
      <w:pPr>
        <w:tabs>
          <w:tab w:val="left" w:pos="2160"/>
        </w:tabs>
        <w:spacing w:after="0" w:line="240" w:lineRule="auto"/>
        <w:ind w:left="1440"/>
        <w:jc w:val="both"/>
        <w:rPr>
          <w:rFonts w:ascii="Times New Roman" w:hAnsi="Times New Roman" w:cs="Times New Roman"/>
          <w:i/>
          <w:iCs/>
          <w:sz w:val="24"/>
          <w:szCs w:val="24"/>
          <w:lang w:val="es-PE"/>
        </w:rPr>
      </w:pPr>
      <w:r w:rsidRPr="007C32F6">
        <w:rPr>
          <w:rFonts w:ascii="Times New Roman" w:hAnsi="Times New Roman" w:cs="Times New Roman"/>
          <w:i/>
          <w:iCs/>
          <w:sz w:val="24"/>
          <w:szCs w:val="24"/>
          <w:lang w:val="es-PE"/>
        </w:rPr>
        <w:t xml:space="preserve">Los bienes asegurados por este seguro podrán ser la Edificación (inmueble) y el Contenido (los enseres del inmueble) </w:t>
      </w:r>
      <w:r w:rsidRPr="007C32F6">
        <w:rPr>
          <w:rFonts w:ascii="Times New Roman" w:hAnsi="Times New Roman" w:cs="Times New Roman"/>
          <w:b/>
          <w:bCs/>
          <w:i/>
          <w:iCs/>
          <w:sz w:val="24"/>
          <w:szCs w:val="24"/>
          <w:u w:val="single"/>
          <w:lang w:val="es-PE"/>
        </w:rPr>
        <w:t xml:space="preserve">siempre que se haya discriminado la correspondiente Suma Asegurada de cada uno de ellos, en las Condiciones </w:t>
      </w:r>
      <w:r w:rsidR="00CB3FB5" w:rsidRPr="007C32F6">
        <w:rPr>
          <w:rFonts w:ascii="Times New Roman" w:hAnsi="Times New Roman" w:cs="Times New Roman"/>
          <w:b/>
          <w:bCs/>
          <w:i/>
          <w:iCs/>
          <w:sz w:val="24"/>
          <w:szCs w:val="24"/>
          <w:u w:val="single"/>
          <w:lang w:val="es-PE"/>
        </w:rPr>
        <w:t xml:space="preserve">Particulares </w:t>
      </w:r>
      <w:r w:rsidRPr="007C32F6">
        <w:rPr>
          <w:rFonts w:ascii="Times New Roman" w:hAnsi="Times New Roman" w:cs="Times New Roman"/>
          <w:b/>
          <w:bCs/>
          <w:i/>
          <w:iCs/>
          <w:sz w:val="24"/>
          <w:szCs w:val="24"/>
          <w:lang w:val="es-PE"/>
        </w:rPr>
        <w:t>de la P</w:t>
      </w:r>
      <w:r w:rsidR="00CB3FB5" w:rsidRPr="007C32F6">
        <w:rPr>
          <w:rFonts w:ascii="Times New Roman" w:hAnsi="Times New Roman" w:cs="Times New Roman"/>
          <w:b/>
          <w:bCs/>
          <w:i/>
          <w:iCs/>
          <w:sz w:val="24"/>
          <w:szCs w:val="24"/>
          <w:lang w:val="es-PE"/>
        </w:rPr>
        <w:t>óliza</w:t>
      </w:r>
      <w:r w:rsidRPr="007C32F6">
        <w:rPr>
          <w:rFonts w:ascii="Times New Roman" w:hAnsi="Times New Roman" w:cs="Times New Roman"/>
          <w:i/>
          <w:iCs/>
          <w:sz w:val="24"/>
          <w:szCs w:val="24"/>
          <w:lang w:val="es-PE"/>
        </w:rPr>
        <w:t>.</w:t>
      </w:r>
    </w:p>
    <w:p w14:paraId="176899DF" w14:textId="77777777" w:rsidR="006859C2" w:rsidRPr="007C32F6" w:rsidRDefault="006859C2" w:rsidP="00CB3FB5">
      <w:pPr>
        <w:tabs>
          <w:tab w:val="left" w:pos="2160"/>
        </w:tabs>
        <w:spacing w:after="0" w:line="240" w:lineRule="auto"/>
        <w:ind w:left="1440"/>
        <w:jc w:val="both"/>
        <w:rPr>
          <w:rFonts w:ascii="Times New Roman" w:hAnsi="Times New Roman" w:cs="Times New Roman"/>
          <w:sz w:val="24"/>
          <w:szCs w:val="24"/>
          <w:lang w:val="es-PE"/>
        </w:rPr>
      </w:pPr>
      <w:r w:rsidRPr="007C32F6">
        <w:rPr>
          <w:rFonts w:ascii="Times New Roman" w:hAnsi="Times New Roman" w:cs="Times New Roman"/>
          <w:i/>
          <w:iCs/>
          <w:sz w:val="24"/>
          <w:szCs w:val="24"/>
          <w:lang w:val="es-PE"/>
        </w:rPr>
        <w:t>(…)”</w:t>
      </w:r>
      <w:r w:rsidR="00CB3FB5" w:rsidRPr="007C32F6">
        <w:rPr>
          <w:rFonts w:ascii="Times New Roman" w:hAnsi="Times New Roman" w:cs="Times New Roman"/>
          <w:i/>
          <w:iCs/>
          <w:sz w:val="24"/>
          <w:szCs w:val="24"/>
          <w:lang w:val="es-PE"/>
        </w:rPr>
        <w:t xml:space="preserve"> </w:t>
      </w:r>
      <w:r w:rsidR="00CB3FB5" w:rsidRPr="007C32F6">
        <w:rPr>
          <w:rFonts w:ascii="Times New Roman" w:hAnsi="Times New Roman" w:cs="Times New Roman"/>
          <w:sz w:val="24"/>
          <w:szCs w:val="24"/>
          <w:lang w:val="es-PE"/>
        </w:rPr>
        <w:t>El resaltado y subrayado es nuestro.</w:t>
      </w:r>
    </w:p>
    <w:p w14:paraId="22E3ADB8" w14:textId="77777777" w:rsidR="00445237" w:rsidRPr="007C32F6" w:rsidRDefault="00445237" w:rsidP="00CB3FB5">
      <w:pPr>
        <w:tabs>
          <w:tab w:val="left" w:pos="2160"/>
        </w:tabs>
        <w:spacing w:after="0" w:line="240" w:lineRule="auto"/>
        <w:ind w:left="1440"/>
        <w:jc w:val="both"/>
        <w:rPr>
          <w:rFonts w:ascii="Times New Roman" w:hAnsi="Times New Roman" w:cs="Times New Roman"/>
          <w:i/>
          <w:iCs/>
          <w:sz w:val="24"/>
          <w:szCs w:val="24"/>
          <w:lang w:val="es-PE"/>
        </w:rPr>
      </w:pPr>
    </w:p>
    <w:p w14:paraId="138C3E0B" w14:textId="77777777" w:rsidR="006859C2" w:rsidRPr="007C32F6" w:rsidRDefault="006859C2" w:rsidP="00CB3FB5">
      <w:pPr>
        <w:tabs>
          <w:tab w:val="left" w:pos="2160"/>
        </w:tabs>
        <w:spacing w:after="0" w:line="240" w:lineRule="auto"/>
        <w:ind w:left="1440"/>
        <w:jc w:val="both"/>
        <w:rPr>
          <w:rFonts w:ascii="Times New Roman" w:hAnsi="Times New Roman" w:cs="Times New Roman"/>
          <w:i/>
          <w:iCs/>
          <w:sz w:val="24"/>
          <w:szCs w:val="24"/>
          <w:lang w:val="es-PE"/>
        </w:rPr>
      </w:pPr>
      <w:r w:rsidRPr="007C32F6">
        <w:rPr>
          <w:rFonts w:ascii="Times New Roman" w:hAnsi="Times New Roman" w:cs="Times New Roman"/>
          <w:i/>
          <w:iCs/>
          <w:sz w:val="24"/>
          <w:szCs w:val="24"/>
          <w:lang w:val="es-PE"/>
        </w:rPr>
        <w:t>“Artículo 2</w:t>
      </w:r>
    </w:p>
    <w:p w14:paraId="0634E971" w14:textId="77777777" w:rsidR="006859C2" w:rsidRPr="007C32F6" w:rsidRDefault="006859C2" w:rsidP="00CB3FB5">
      <w:pPr>
        <w:tabs>
          <w:tab w:val="left" w:pos="2160"/>
        </w:tabs>
        <w:spacing w:after="0" w:line="240" w:lineRule="auto"/>
        <w:ind w:left="1440"/>
        <w:jc w:val="both"/>
        <w:rPr>
          <w:rFonts w:ascii="Times New Roman" w:hAnsi="Times New Roman" w:cs="Times New Roman"/>
          <w:i/>
          <w:iCs/>
          <w:sz w:val="24"/>
          <w:szCs w:val="24"/>
          <w:lang w:val="es-PE"/>
        </w:rPr>
      </w:pPr>
      <w:r w:rsidRPr="007C32F6">
        <w:rPr>
          <w:rFonts w:ascii="Times New Roman" w:hAnsi="Times New Roman" w:cs="Times New Roman"/>
          <w:i/>
          <w:iCs/>
          <w:sz w:val="24"/>
          <w:szCs w:val="24"/>
          <w:lang w:val="es-PE"/>
        </w:rPr>
        <w:t>COBERTURAS</w:t>
      </w:r>
    </w:p>
    <w:p w14:paraId="36EC456E" w14:textId="77777777" w:rsidR="006859C2" w:rsidRPr="007C32F6" w:rsidRDefault="006859C2" w:rsidP="00CB3FB5">
      <w:pPr>
        <w:tabs>
          <w:tab w:val="left" w:pos="2160"/>
        </w:tabs>
        <w:spacing w:after="0" w:line="240" w:lineRule="auto"/>
        <w:ind w:left="1440"/>
        <w:jc w:val="both"/>
        <w:rPr>
          <w:rFonts w:ascii="Times New Roman" w:hAnsi="Times New Roman" w:cs="Times New Roman"/>
          <w:i/>
          <w:iCs/>
          <w:sz w:val="24"/>
          <w:szCs w:val="24"/>
          <w:lang w:val="es-PE"/>
        </w:rPr>
      </w:pPr>
      <w:r w:rsidRPr="007C32F6">
        <w:rPr>
          <w:rFonts w:ascii="Times New Roman" w:hAnsi="Times New Roman" w:cs="Times New Roman"/>
          <w:i/>
          <w:iCs/>
          <w:sz w:val="24"/>
          <w:szCs w:val="24"/>
          <w:lang w:val="es-PE"/>
        </w:rPr>
        <w:t xml:space="preserve">El seguro materia del presente contrato </w:t>
      </w:r>
      <w:r w:rsidRPr="007C32F6">
        <w:rPr>
          <w:rFonts w:ascii="Times New Roman" w:hAnsi="Times New Roman" w:cs="Times New Roman"/>
          <w:b/>
          <w:bCs/>
          <w:i/>
          <w:iCs/>
          <w:sz w:val="24"/>
          <w:szCs w:val="24"/>
          <w:u w:val="single"/>
          <w:lang w:val="es-PE"/>
        </w:rPr>
        <w:t>otorga únicamente las coberturas especificad</w:t>
      </w:r>
      <w:r w:rsidR="00CB3FB5" w:rsidRPr="007C32F6">
        <w:rPr>
          <w:rFonts w:ascii="Times New Roman" w:hAnsi="Times New Roman" w:cs="Times New Roman"/>
          <w:b/>
          <w:bCs/>
          <w:i/>
          <w:iCs/>
          <w:sz w:val="24"/>
          <w:szCs w:val="24"/>
          <w:u w:val="single"/>
          <w:lang w:val="es-PE"/>
        </w:rPr>
        <w:t>a</w:t>
      </w:r>
      <w:r w:rsidRPr="007C32F6">
        <w:rPr>
          <w:rFonts w:ascii="Times New Roman" w:hAnsi="Times New Roman" w:cs="Times New Roman"/>
          <w:b/>
          <w:bCs/>
          <w:i/>
          <w:iCs/>
          <w:sz w:val="24"/>
          <w:szCs w:val="24"/>
          <w:u w:val="single"/>
          <w:lang w:val="es-PE"/>
        </w:rPr>
        <w:t>s en las Secciones que se detallan en las Condiciones Particulares</w:t>
      </w:r>
      <w:r w:rsidRPr="007C32F6">
        <w:rPr>
          <w:rFonts w:ascii="Times New Roman" w:hAnsi="Times New Roman" w:cs="Times New Roman"/>
          <w:i/>
          <w:iCs/>
          <w:sz w:val="24"/>
          <w:szCs w:val="24"/>
          <w:lang w:val="es-PE"/>
        </w:rPr>
        <w:t xml:space="preserve"> y aplican </w:t>
      </w:r>
      <w:r w:rsidR="00CB3FB5" w:rsidRPr="007C32F6">
        <w:rPr>
          <w:rFonts w:ascii="Times New Roman" w:hAnsi="Times New Roman" w:cs="Times New Roman"/>
          <w:i/>
          <w:iCs/>
          <w:sz w:val="24"/>
          <w:szCs w:val="24"/>
          <w:lang w:val="es-PE"/>
        </w:rPr>
        <w:t>siempre</w:t>
      </w:r>
      <w:r w:rsidRPr="007C32F6">
        <w:rPr>
          <w:rFonts w:ascii="Times New Roman" w:hAnsi="Times New Roman" w:cs="Times New Roman"/>
          <w:i/>
          <w:iCs/>
          <w:sz w:val="24"/>
          <w:szCs w:val="24"/>
          <w:lang w:val="es-PE"/>
        </w:rPr>
        <w:t xml:space="preserve"> que el uso del inmueble sea de casa/habitación (…)”</w:t>
      </w:r>
      <w:r w:rsidR="00CB3FB5" w:rsidRPr="007C32F6">
        <w:rPr>
          <w:rFonts w:ascii="Times New Roman" w:hAnsi="Times New Roman" w:cs="Times New Roman"/>
          <w:i/>
          <w:iCs/>
          <w:sz w:val="24"/>
          <w:szCs w:val="24"/>
          <w:lang w:val="es-PE"/>
        </w:rPr>
        <w:t xml:space="preserve"> </w:t>
      </w:r>
      <w:r w:rsidR="00CB3FB5" w:rsidRPr="007C32F6">
        <w:rPr>
          <w:rFonts w:ascii="Times New Roman" w:hAnsi="Times New Roman" w:cs="Times New Roman"/>
          <w:sz w:val="24"/>
          <w:szCs w:val="24"/>
          <w:lang w:val="es-PE"/>
        </w:rPr>
        <w:t>El resaltado y subrayado es nuestro.</w:t>
      </w:r>
    </w:p>
    <w:p w14:paraId="21305B57" w14:textId="77777777" w:rsidR="006859C2" w:rsidRPr="007C32F6" w:rsidRDefault="006859C2" w:rsidP="001276D8">
      <w:pPr>
        <w:tabs>
          <w:tab w:val="left" w:pos="2160"/>
        </w:tabs>
        <w:spacing w:after="0" w:line="240" w:lineRule="auto"/>
        <w:jc w:val="both"/>
        <w:rPr>
          <w:rFonts w:ascii="Times New Roman" w:hAnsi="Times New Roman" w:cs="Times New Roman"/>
          <w:sz w:val="24"/>
          <w:szCs w:val="24"/>
          <w:lang w:val="es-PE"/>
        </w:rPr>
      </w:pPr>
    </w:p>
    <w:p w14:paraId="572CCBEE" w14:textId="7054EB57" w:rsidR="00445237" w:rsidRPr="007C32F6" w:rsidRDefault="006859C2"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En virtud a lo expuesto, queda claro que bajo la póliza de seguro de hogar que otorga la compañía, se puede asegurar tanto la edificación como el contenido, </w:t>
      </w:r>
      <w:r w:rsidR="00CB3FB5" w:rsidRPr="007C32F6">
        <w:rPr>
          <w:rFonts w:ascii="Times New Roman" w:hAnsi="Times New Roman" w:cs="Times New Roman"/>
          <w:sz w:val="24"/>
          <w:szCs w:val="24"/>
          <w:lang w:val="es-PE"/>
        </w:rPr>
        <w:t>pero</w:t>
      </w:r>
      <w:r w:rsidRPr="007C32F6">
        <w:rPr>
          <w:rFonts w:ascii="Times New Roman" w:hAnsi="Times New Roman" w:cs="Times New Roman"/>
          <w:sz w:val="24"/>
          <w:szCs w:val="24"/>
          <w:lang w:val="es-PE"/>
        </w:rPr>
        <w:t xml:space="preserve"> lo que determina si se aseguró ambos</w:t>
      </w:r>
      <w:r w:rsidR="00445237" w:rsidRPr="007C32F6">
        <w:rPr>
          <w:rFonts w:ascii="Times New Roman" w:hAnsi="Times New Roman" w:cs="Times New Roman"/>
          <w:sz w:val="24"/>
          <w:szCs w:val="24"/>
          <w:lang w:val="es-PE"/>
        </w:rPr>
        <w:t xml:space="preserve"> conceptos</w:t>
      </w:r>
      <w:r w:rsidRPr="007C32F6">
        <w:rPr>
          <w:rFonts w:ascii="Times New Roman" w:hAnsi="Times New Roman" w:cs="Times New Roman"/>
          <w:sz w:val="24"/>
          <w:szCs w:val="24"/>
          <w:lang w:val="es-PE"/>
        </w:rPr>
        <w:t xml:space="preserve"> o solo uno</w:t>
      </w:r>
      <w:r w:rsidR="00CB3FB5" w:rsidRPr="007C32F6">
        <w:rPr>
          <w:rFonts w:ascii="Times New Roman" w:hAnsi="Times New Roman" w:cs="Times New Roman"/>
          <w:sz w:val="24"/>
          <w:szCs w:val="24"/>
          <w:lang w:val="es-PE"/>
        </w:rPr>
        <w:t xml:space="preserve">, </w:t>
      </w:r>
      <w:r w:rsidR="00445237" w:rsidRPr="007C32F6">
        <w:rPr>
          <w:rFonts w:ascii="Times New Roman" w:hAnsi="Times New Roman" w:cs="Times New Roman"/>
          <w:sz w:val="24"/>
          <w:szCs w:val="24"/>
          <w:lang w:val="es-PE"/>
        </w:rPr>
        <w:t xml:space="preserve">es lo que </w:t>
      </w:r>
      <w:r w:rsidR="00CB3FB5" w:rsidRPr="007C32F6">
        <w:rPr>
          <w:rFonts w:ascii="Times New Roman" w:hAnsi="Times New Roman" w:cs="Times New Roman"/>
          <w:sz w:val="24"/>
          <w:szCs w:val="24"/>
          <w:lang w:val="es-PE"/>
        </w:rPr>
        <w:t xml:space="preserve">figura en las </w:t>
      </w:r>
      <w:r w:rsidRPr="007C32F6">
        <w:rPr>
          <w:rFonts w:ascii="Times New Roman" w:hAnsi="Times New Roman" w:cs="Times New Roman"/>
          <w:sz w:val="24"/>
          <w:szCs w:val="24"/>
          <w:lang w:val="es-PE"/>
        </w:rPr>
        <w:t xml:space="preserve">Condiciones Particulares. </w:t>
      </w:r>
    </w:p>
    <w:p w14:paraId="6C98538F" w14:textId="77777777" w:rsidR="00445237" w:rsidRPr="007C32F6" w:rsidRDefault="00445237" w:rsidP="001276D8">
      <w:pPr>
        <w:tabs>
          <w:tab w:val="left" w:pos="2160"/>
        </w:tabs>
        <w:spacing w:after="0" w:line="240" w:lineRule="auto"/>
        <w:jc w:val="both"/>
        <w:rPr>
          <w:rFonts w:ascii="Times New Roman" w:hAnsi="Times New Roman" w:cs="Times New Roman"/>
          <w:sz w:val="24"/>
          <w:szCs w:val="24"/>
          <w:lang w:val="es-PE"/>
        </w:rPr>
      </w:pPr>
    </w:p>
    <w:p w14:paraId="2ACA7695" w14:textId="77777777" w:rsidR="006859C2" w:rsidRPr="007C32F6" w:rsidRDefault="006859C2"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En este caso, en las </w:t>
      </w:r>
      <w:r w:rsidR="00CB3FB5" w:rsidRPr="007C32F6">
        <w:rPr>
          <w:rFonts w:ascii="Times New Roman" w:hAnsi="Times New Roman" w:cs="Times New Roman"/>
          <w:sz w:val="24"/>
          <w:szCs w:val="24"/>
          <w:lang w:val="es-PE"/>
        </w:rPr>
        <w:t>C</w:t>
      </w:r>
      <w:r w:rsidRPr="007C32F6">
        <w:rPr>
          <w:rFonts w:ascii="Times New Roman" w:hAnsi="Times New Roman" w:cs="Times New Roman"/>
          <w:sz w:val="24"/>
          <w:szCs w:val="24"/>
          <w:lang w:val="es-PE"/>
        </w:rPr>
        <w:t xml:space="preserve">ondiciones </w:t>
      </w:r>
      <w:r w:rsidR="00CB3FB5" w:rsidRPr="007C32F6">
        <w:rPr>
          <w:rFonts w:ascii="Times New Roman" w:hAnsi="Times New Roman" w:cs="Times New Roman"/>
          <w:sz w:val="24"/>
          <w:szCs w:val="24"/>
          <w:lang w:val="es-PE"/>
        </w:rPr>
        <w:t>P</w:t>
      </w:r>
      <w:r w:rsidRPr="007C32F6">
        <w:rPr>
          <w:rFonts w:ascii="Times New Roman" w:hAnsi="Times New Roman" w:cs="Times New Roman"/>
          <w:sz w:val="24"/>
          <w:szCs w:val="24"/>
          <w:lang w:val="es-PE"/>
        </w:rPr>
        <w:t xml:space="preserve">articulares </w:t>
      </w:r>
      <w:r w:rsidR="00CB3FB5" w:rsidRPr="007C32F6">
        <w:rPr>
          <w:rFonts w:ascii="Times New Roman" w:hAnsi="Times New Roman" w:cs="Times New Roman"/>
          <w:sz w:val="24"/>
          <w:szCs w:val="24"/>
          <w:lang w:val="es-PE"/>
        </w:rPr>
        <w:t xml:space="preserve">solo figura una suma asegurada para la edificación y no así para el contenido, por lo que </w:t>
      </w:r>
      <w:r w:rsidRPr="007C32F6">
        <w:rPr>
          <w:rFonts w:ascii="Times New Roman" w:hAnsi="Times New Roman" w:cs="Times New Roman"/>
          <w:sz w:val="24"/>
          <w:szCs w:val="24"/>
          <w:lang w:val="es-PE"/>
        </w:rPr>
        <w:t xml:space="preserve">queda claro que solo se aseguró la edificación y no </w:t>
      </w:r>
      <w:r w:rsidR="00445237" w:rsidRPr="007C32F6">
        <w:rPr>
          <w:rFonts w:ascii="Times New Roman" w:hAnsi="Times New Roman" w:cs="Times New Roman"/>
          <w:sz w:val="24"/>
          <w:szCs w:val="24"/>
          <w:lang w:val="es-PE"/>
        </w:rPr>
        <w:t xml:space="preserve">así </w:t>
      </w:r>
      <w:r w:rsidRPr="007C32F6">
        <w:rPr>
          <w:rFonts w:ascii="Times New Roman" w:hAnsi="Times New Roman" w:cs="Times New Roman"/>
          <w:sz w:val="24"/>
          <w:szCs w:val="24"/>
          <w:lang w:val="es-PE"/>
        </w:rPr>
        <w:t xml:space="preserve">el contenido, </w:t>
      </w:r>
      <w:r w:rsidR="00CB3FB5" w:rsidRPr="007C32F6">
        <w:rPr>
          <w:rFonts w:ascii="Times New Roman" w:hAnsi="Times New Roman" w:cs="Times New Roman"/>
          <w:sz w:val="24"/>
          <w:szCs w:val="24"/>
          <w:lang w:val="es-PE"/>
        </w:rPr>
        <w:t xml:space="preserve">estando </w:t>
      </w:r>
      <w:r w:rsidRPr="007C32F6">
        <w:rPr>
          <w:rFonts w:ascii="Times New Roman" w:hAnsi="Times New Roman" w:cs="Times New Roman"/>
          <w:sz w:val="24"/>
          <w:szCs w:val="24"/>
          <w:lang w:val="es-PE"/>
        </w:rPr>
        <w:t xml:space="preserve">la aseguradora </w:t>
      </w:r>
      <w:r w:rsidR="00CB3FB5" w:rsidRPr="007C32F6">
        <w:rPr>
          <w:rFonts w:ascii="Times New Roman" w:hAnsi="Times New Roman" w:cs="Times New Roman"/>
          <w:sz w:val="24"/>
          <w:szCs w:val="24"/>
          <w:lang w:val="es-PE"/>
        </w:rPr>
        <w:t xml:space="preserve">únicamente </w:t>
      </w:r>
      <w:r w:rsidRPr="007C32F6">
        <w:rPr>
          <w:rFonts w:ascii="Times New Roman" w:hAnsi="Times New Roman" w:cs="Times New Roman"/>
          <w:sz w:val="24"/>
          <w:szCs w:val="24"/>
          <w:lang w:val="es-PE"/>
        </w:rPr>
        <w:t>obligada a responder respecto de siniestros que afecten</w:t>
      </w:r>
      <w:r w:rsidR="00445237" w:rsidRPr="007C32F6">
        <w:rPr>
          <w:rFonts w:ascii="Times New Roman" w:hAnsi="Times New Roman" w:cs="Times New Roman"/>
          <w:sz w:val="24"/>
          <w:szCs w:val="24"/>
          <w:lang w:val="es-PE"/>
        </w:rPr>
        <w:t xml:space="preserve"> a</w:t>
      </w:r>
      <w:r w:rsidRPr="007C32F6">
        <w:rPr>
          <w:rFonts w:ascii="Times New Roman" w:hAnsi="Times New Roman" w:cs="Times New Roman"/>
          <w:sz w:val="24"/>
          <w:szCs w:val="24"/>
          <w:lang w:val="es-PE"/>
        </w:rPr>
        <w:t xml:space="preserve"> la edificación.</w:t>
      </w:r>
    </w:p>
    <w:p w14:paraId="3433FFAE" w14:textId="77777777" w:rsidR="006859C2" w:rsidRPr="007C32F6" w:rsidRDefault="006859C2" w:rsidP="001276D8">
      <w:pPr>
        <w:tabs>
          <w:tab w:val="left" w:pos="2160"/>
        </w:tabs>
        <w:spacing w:after="0" w:line="240" w:lineRule="auto"/>
        <w:jc w:val="both"/>
        <w:rPr>
          <w:rFonts w:ascii="Times New Roman" w:hAnsi="Times New Roman" w:cs="Times New Roman"/>
          <w:sz w:val="24"/>
          <w:szCs w:val="24"/>
          <w:lang w:val="es-PE"/>
        </w:rPr>
      </w:pPr>
    </w:p>
    <w:p w14:paraId="49E48FFA" w14:textId="77777777" w:rsidR="00CB3FB5" w:rsidRPr="007C32F6" w:rsidRDefault="006859C2"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El argumento esgrimido por la reclamante en el sentido que la póliza </w:t>
      </w:r>
      <w:r w:rsidR="00CB3FB5" w:rsidRPr="007C32F6">
        <w:rPr>
          <w:rFonts w:ascii="Times New Roman" w:hAnsi="Times New Roman" w:cs="Times New Roman"/>
          <w:sz w:val="24"/>
          <w:szCs w:val="24"/>
          <w:lang w:val="es-PE"/>
        </w:rPr>
        <w:t xml:space="preserve">en su condicionado general </w:t>
      </w:r>
      <w:r w:rsidRPr="007C32F6">
        <w:rPr>
          <w:rFonts w:ascii="Times New Roman" w:hAnsi="Times New Roman" w:cs="Times New Roman"/>
          <w:sz w:val="24"/>
          <w:szCs w:val="24"/>
          <w:lang w:val="es-PE"/>
        </w:rPr>
        <w:t>hace referencia al contenido</w:t>
      </w:r>
      <w:r w:rsidR="00CB3FB5" w:rsidRPr="007C32F6">
        <w:rPr>
          <w:rFonts w:ascii="Times New Roman" w:hAnsi="Times New Roman" w:cs="Times New Roman"/>
          <w:sz w:val="24"/>
          <w:szCs w:val="24"/>
          <w:lang w:val="es-PE"/>
        </w:rPr>
        <w:t xml:space="preserve"> y por tanto se entiende</w:t>
      </w:r>
      <w:r w:rsidR="00445237" w:rsidRPr="007C32F6">
        <w:rPr>
          <w:rFonts w:ascii="Times New Roman" w:hAnsi="Times New Roman" w:cs="Times New Roman"/>
          <w:sz w:val="24"/>
          <w:szCs w:val="24"/>
          <w:lang w:val="es-PE"/>
        </w:rPr>
        <w:t xml:space="preserve"> este también</w:t>
      </w:r>
      <w:r w:rsidR="00CB3FB5" w:rsidRPr="007C32F6">
        <w:rPr>
          <w:rFonts w:ascii="Times New Roman" w:hAnsi="Times New Roman" w:cs="Times New Roman"/>
          <w:sz w:val="24"/>
          <w:szCs w:val="24"/>
          <w:lang w:val="es-PE"/>
        </w:rPr>
        <w:t xml:space="preserve"> asegurado, no es amparable, teniendo en cuenta que la misma póliza especifica que el contenido solo se encuentra asegurado cuando figur</w:t>
      </w:r>
      <w:r w:rsidR="00445237" w:rsidRPr="007C32F6">
        <w:rPr>
          <w:rFonts w:ascii="Times New Roman" w:hAnsi="Times New Roman" w:cs="Times New Roman"/>
          <w:sz w:val="24"/>
          <w:szCs w:val="24"/>
          <w:lang w:val="es-PE"/>
        </w:rPr>
        <w:t xml:space="preserve">e discriminada </w:t>
      </w:r>
      <w:r w:rsidR="00CB3FB5" w:rsidRPr="007C32F6">
        <w:rPr>
          <w:rFonts w:ascii="Times New Roman" w:hAnsi="Times New Roman" w:cs="Times New Roman"/>
          <w:sz w:val="24"/>
          <w:szCs w:val="24"/>
          <w:lang w:val="es-PE"/>
        </w:rPr>
        <w:t>una suma asegurada específica para el mismo en las condiciones particulares, lo que no ocurre en este caso.</w:t>
      </w:r>
    </w:p>
    <w:p w14:paraId="60743486" w14:textId="77777777" w:rsidR="00CB3FB5" w:rsidRPr="007C32F6" w:rsidRDefault="00CB3FB5" w:rsidP="001276D8">
      <w:pPr>
        <w:tabs>
          <w:tab w:val="left" w:pos="2160"/>
        </w:tabs>
        <w:spacing w:after="0" w:line="240" w:lineRule="auto"/>
        <w:jc w:val="both"/>
        <w:rPr>
          <w:rFonts w:ascii="Times New Roman" w:hAnsi="Times New Roman" w:cs="Times New Roman"/>
          <w:sz w:val="24"/>
          <w:szCs w:val="24"/>
          <w:lang w:val="es-PE"/>
        </w:rPr>
      </w:pPr>
    </w:p>
    <w:p w14:paraId="650FD630" w14:textId="77777777" w:rsidR="00CB3FB5" w:rsidRPr="007C32F6" w:rsidRDefault="00CB3FB5"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Los condicionados generales de las pólizas, son como su nombre lo indica “generales”, siendo que</w:t>
      </w:r>
      <w:r w:rsidR="00445237" w:rsidRPr="007C32F6">
        <w:rPr>
          <w:rFonts w:ascii="Times New Roman" w:hAnsi="Times New Roman" w:cs="Times New Roman"/>
          <w:sz w:val="24"/>
          <w:szCs w:val="24"/>
          <w:lang w:val="es-PE"/>
        </w:rPr>
        <w:t>,</w:t>
      </w:r>
      <w:r w:rsidRPr="007C32F6">
        <w:rPr>
          <w:rFonts w:ascii="Times New Roman" w:hAnsi="Times New Roman" w:cs="Times New Roman"/>
          <w:sz w:val="24"/>
          <w:szCs w:val="24"/>
          <w:lang w:val="es-PE"/>
        </w:rPr>
        <w:t xml:space="preserve"> vía las condiciones particulares, se determina si todo el condicionado resulta aplicable a las coberturas contratadas, o solo aquellas cláusulas que se refieren a lo específicamente contratado. </w:t>
      </w:r>
      <w:r w:rsidR="00445237" w:rsidRPr="007C32F6">
        <w:rPr>
          <w:rFonts w:ascii="Times New Roman" w:hAnsi="Times New Roman" w:cs="Times New Roman"/>
          <w:sz w:val="24"/>
          <w:szCs w:val="24"/>
          <w:lang w:val="es-PE"/>
        </w:rPr>
        <w:t xml:space="preserve">Sobre este aspecto cabe tener presente además lo dispuesto por </w:t>
      </w:r>
      <w:r w:rsidRPr="007C32F6">
        <w:rPr>
          <w:rFonts w:ascii="Times New Roman" w:hAnsi="Times New Roman" w:cs="Times New Roman"/>
          <w:sz w:val="24"/>
          <w:szCs w:val="24"/>
          <w:lang w:val="es-PE"/>
        </w:rPr>
        <w:t xml:space="preserve">la sexta regla de interpretación </w:t>
      </w:r>
      <w:r w:rsidR="00445237" w:rsidRPr="007C32F6">
        <w:rPr>
          <w:rFonts w:ascii="Times New Roman" w:hAnsi="Times New Roman" w:cs="Times New Roman"/>
          <w:sz w:val="24"/>
          <w:szCs w:val="24"/>
          <w:lang w:val="es-PE"/>
        </w:rPr>
        <w:t xml:space="preserve">del contrato de seguro </w:t>
      </w:r>
      <w:r w:rsidRPr="007C32F6">
        <w:rPr>
          <w:rFonts w:ascii="Times New Roman" w:hAnsi="Times New Roman" w:cs="Times New Roman"/>
          <w:sz w:val="24"/>
          <w:szCs w:val="24"/>
          <w:lang w:val="es-PE"/>
        </w:rPr>
        <w:t>establecida en</w:t>
      </w:r>
      <w:r w:rsidR="00445237" w:rsidRPr="007C32F6">
        <w:rPr>
          <w:rFonts w:ascii="Times New Roman" w:hAnsi="Times New Roman" w:cs="Times New Roman"/>
          <w:sz w:val="24"/>
          <w:szCs w:val="24"/>
          <w:lang w:val="es-PE"/>
        </w:rPr>
        <w:t xml:space="preserve"> el Artículo IV del Título I (Disposiciones Generales) de</w:t>
      </w:r>
      <w:r w:rsidRPr="007C32F6">
        <w:rPr>
          <w:rFonts w:ascii="Times New Roman" w:hAnsi="Times New Roman" w:cs="Times New Roman"/>
          <w:sz w:val="24"/>
          <w:szCs w:val="24"/>
          <w:lang w:val="es-PE"/>
        </w:rPr>
        <w:t xml:space="preserve"> la Ley del Contrato de Seguro, Ley 29946,</w:t>
      </w:r>
      <w:r w:rsidR="00445237" w:rsidRPr="007C32F6">
        <w:rPr>
          <w:rFonts w:ascii="Times New Roman" w:hAnsi="Times New Roman" w:cs="Times New Roman"/>
          <w:sz w:val="24"/>
          <w:szCs w:val="24"/>
          <w:lang w:val="es-PE"/>
        </w:rPr>
        <w:t xml:space="preserve"> que </w:t>
      </w:r>
      <w:r w:rsidRPr="007C32F6">
        <w:rPr>
          <w:rFonts w:ascii="Times New Roman" w:hAnsi="Times New Roman" w:cs="Times New Roman"/>
          <w:sz w:val="24"/>
          <w:szCs w:val="24"/>
          <w:lang w:val="es-PE"/>
        </w:rPr>
        <w:t xml:space="preserve">señala: </w:t>
      </w:r>
    </w:p>
    <w:p w14:paraId="2B98E3A7" w14:textId="77777777" w:rsidR="00CB3FB5" w:rsidRPr="007C32F6" w:rsidRDefault="00CB3FB5" w:rsidP="00CB3FB5">
      <w:pPr>
        <w:spacing w:before="100" w:beforeAutospacing="1" w:after="100" w:afterAutospacing="1" w:line="240" w:lineRule="auto"/>
        <w:ind w:left="720"/>
        <w:jc w:val="both"/>
        <w:rPr>
          <w:rFonts w:ascii="Times New Roman" w:eastAsia="Times New Roman" w:hAnsi="Times New Roman" w:cs="Times New Roman"/>
          <w:i/>
          <w:iCs/>
          <w:sz w:val="24"/>
          <w:szCs w:val="24"/>
          <w:lang w:val="es-PE" w:eastAsia="es-PE"/>
        </w:rPr>
      </w:pPr>
      <w:r w:rsidRPr="007C32F6">
        <w:rPr>
          <w:rFonts w:ascii="Times New Roman" w:eastAsia="Times New Roman" w:hAnsi="Times New Roman" w:cs="Times New Roman"/>
          <w:b/>
          <w:bCs/>
          <w:i/>
          <w:iCs/>
          <w:sz w:val="24"/>
          <w:szCs w:val="24"/>
          <w:lang w:val="es-PE" w:eastAsia="es-PE"/>
        </w:rPr>
        <w:t xml:space="preserve">“Sexta. </w:t>
      </w:r>
      <w:r w:rsidRPr="007C32F6">
        <w:rPr>
          <w:rFonts w:ascii="Times New Roman" w:eastAsia="Times New Roman" w:hAnsi="Times New Roman" w:cs="Times New Roman"/>
          <w:i/>
          <w:iCs/>
          <w:sz w:val="24"/>
          <w:szCs w:val="24"/>
          <w:lang w:val="es-PE" w:eastAsia="es-PE"/>
        </w:rPr>
        <w:t>Las condiciones especiales prevalecen sobre las condiciones particulares y estas prevalecen sobre las generales. Las cláusulas manuscritas o mecanografiadas predominan sobre las impresas.</w:t>
      </w:r>
      <w:r w:rsidR="00445237" w:rsidRPr="007C32F6">
        <w:rPr>
          <w:rFonts w:ascii="Times New Roman" w:eastAsia="Times New Roman" w:hAnsi="Times New Roman" w:cs="Times New Roman"/>
          <w:i/>
          <w:iCs/>
          <w:sz w:val="24"/>
          <w:szCs w:val="24"/>
          <w:lang w:val="es-PE" w:eastAsia="es-PE"/>
        </w:rPr>
        <w:t>”</w:t>
      </w:r>
    </w:p>
    <w:p w14:paraId="23624CF2" w14:textId="77777777" w:rsidR="006859C2" w:rsidRPr="007C32F6" w:rsidRDefault="006859C2"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Por otro lado, la reclamante señala que ella solicitó se asegure el contenido</w:t>
      </w:r>
      <w:r w:rsidR="00445237" w:rsidRPr="007C32F6">
        <w:rPr>
          <w:rFonts w:ascii="Times New Roman" w:hAnsi="Times New Roman" w:cs="Times New Roman"/>
          <w:sz w:val="24"/>
          <w:szCs w:val="24"/>
          <w:lang w:val="es-PE"/>
        </w:rPr>
        <w:t>;</w:t>
      </w:r>
      <w:r w:rsidRPr="007C32F6">
        <w:rPr>
          <w:rFonts w:ascii="Times New Roman" w:hAnsi="Times New Roman" w:cs="Times New Roman"/>
          <w:sz w:val="24"/>
          <w:szCs w:val="24"/>
          <w:lang w:val="es-PE"/>
        </w:rPr>
        <w:t xml:space="preserve"> no obstante, no ha adjuntado prueba de que ello h</w:t>
      </w:r>
      <w:r w:rsidR="00445237" w:rsidRPr="007C32F6">
        <w:rPr>
          <w:rFonts w:ascii="Times New Roman" w:hAnsi="Times New Roman" w:cs="Times New Roman"/>
          <w:sz w:val="24"/>
          <w:szCs w:val="24"/>
          <w:lang w:val="es-PE"/>
        </w:rPr>
        <w:t xml:space="preserve">ubiera </w:t>
      </w:r>
      <w:r w:rsidRPr="007C32F6">
        <w:rPr>
          <w:rFonts w:ascii="Times New Roman" w:hAnsi="Times New Roman" w:cs="Times New Roman"/>
          <w:sz w:val="24"/>
          <w:szCs w:val="24"/>
          <w:lang w:val="es-PE"/>
        </w:rPr>
        <w:t>sido así, y aun cuando lo hubiera solicitado, y la aseguradora hubiera emitido solo una póliza asegurando la edificación, ello correspondería a un aspecto de idoneidad de servicio que debe ser reclamada ante otra instancia, pues esta Defensoría no es competente para pronunciarse sobre aspectos vinculados a idoneidad de servicio, conforme ha sido indicado en el segundo considerando</w:t>
      </w:r>
      <w:r w:rsidR="00445237" w:rsidRPr="007C32F6">
        <w:rPr>
          <w:rFonts w:ascii="Times New Roman" w:hAnsi="Times New Roman" w:cs="Times New Roman"/>
          <w:sz w:val="24"/>
          <w:szCs w:val="24"/>
          <w:lang w:val="es-PE"/>
        </w:rPr>
        <w:t xml:space="preserve">, limitando su competencia </w:t>
      </w:r>
      <w:r w:rsidR="00445237" w:rsidRPr="007C32F6">
        <w:rPr>
          <w:rFonts w:ascii="Times New Roman" w:hAnsi="Times New Roman" w:cs="Times New Roman"/>
          <w:sz w:val="24"/>
          <w:szCs w:val="24"/>
          <w:lang w:val="es-PE"/>
        </w:rPr>
        <w:lastRenderedPageBreak/>
        <w:t>a determinar si el rechazo de seguro comunicado por la aseguradora ha sido emitido conforme a derecho.</w:t>
      </w:r>
    </w:p>
    <w:p w14:paraId="0D2E9A23" w14:textId="1A9B0A6A" w:rsidR="00CB3FB5" w:rsidRPr="007C32F6" w:rsidRDefault="00CB3FB5" w:rsidP="001276D8">
      <w:pPr>
        <w:tabs>
          <w:tab w:val="left" w:pos="2160"/>
        </w:tabs>
        <w:spacing w:after="0" w:line="240" w:lineRule="auto"/>
        <w:jc w:val="both"/>
        <w:rPr>
          <w:rFonts w:ascii="Times New Roman" w:hAnsi="Times New Roman" w:cs="Times New Roman"/>
          <w:sz w:val="24"/>
          <w:szCs w:val="24"/>
          <w:lang w:val="es-PE"/>
        </w:rPr>
      </w:pPr>
    </w:p>
    <w:p w14:paraId="73D1B706" w14:textId="35522725" w:rsidR="00FA07B7" w:rsidRPr="007C32F6" w:rsidRDefault="00A4046F" w:rsidP="007B2DBF">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Sin perjuicio de lo expuesto, </w:t>
      </w:r>
      <w:r w:rsidR="00D7483D" w:rsidRPr="007C32F6">
        <w:rPr>
          <w:rFonts w:ascii="Times New Roman" w:hAnsi="Times New Roman" w:cs="Times New Roman"/>
          <w:sz w:val="24"/>
          <w:szCs w:val="24"/>
          <w:lang w:val="es-PE"/>
        </w:rPr>
        <w:t>la aseguradora</w:t>
      </w:r>
      <w:r w:rsidR="007B2DBF" w:rsidRPr="007C32F6">
        <w:rPr>
          <w:rFonts w:ascii="Times New Roman" w:hAnsi="Times New Roman" w:cs="Times New Roman"/>
          <w:sz w:val="24"/>
          <w:szCs w:val="24"/>
          <w:lang w:val="es-PE"/>
        </w:rPr>
        <w:t xml:space="preserve"> -absolviendo el requerimiento formulado en la audiencia de vista- </w:t>
      </w:r>
      <w:r w:rsidRPr="007C32F6">
        <w:rPr>
          <w:rFonts w:ascii="Times New Roman" w:hAnsi="Times New Roman" w:cs="Times New Roman"/>
          <w:sz w:val="24"/>
          <w:szCs w:val="24"/>
          <w:lang w:val="es-PE"/>
        </w:rPr>
        <w:t>ha presentado la solicitud de seguro</w:t>
      </w:r>
      <w:r w:rsidR="007B2DBF" w:rsidRPr="007C32F6">
        <w:rPr>
          <w:rFonts w:ascii="Times New Roman" w:hAnsi="Times New Roman" w:cs="Times New Roman"/>
          <w:sz w:val="24"/>
          <w:szCs w:val="24"/>
          <w:lang w:val="es-PE"/>
        </w:rPr>
        <w:t xml:space="preserve"> </w:t>
      </w:r>
      <w:r w:rsidRPr="007C32F6">
        <w:rPr>
          <w:rFonts w:ascii="Times New Roman" w:hAnsi="Times New Roman" w:cs="Times New Roman"/>
          <w:sz w:val="24"/>
          <w:szCs w:val="24"/>
          <w:lang w:val="es-PE"/>
        </w:rPr>
        <w:t xml:space="preserve">suscrita </w:t>
      </w:r>
      <w:r w:rsidR="007B2DBF" w:rsidRPr="007C32F6">
        <w:rPr>
          <w:rFonts w:ascii="Times New Roman" w:hAnsi="Times New Roman" w:cs="Times New Roman"/>
          <w:sz w:val="24"/>
          <w:szCs w:val="24"/>
          <w:lang w:val="es-PE"/>
        </w:rPr>
        <w:t>por la reclamante y el asesor/corredor de seguros, en la cual no se ap</w:t>
      </w:r>
      <w:r w:rsidR="00FA07B7" w:rsidRPr="007C32F6">
        <w:rPr>
          <w:rFonts w:ascii="Times New Roman" w:hAnsi="Times New Roman" w:cs="Times New Roman"/>
          <w:sz w:val="24"/>
          <w:szCs w:val="24"/>
          <w:lang w:val="es-PE"/>
        </w:rPr>
        <w:t>r</w:t>
      </w:r>
      <w:r w:rsidR="007B2DBF" w:rsidRPr="007C32F6">
        <w:rPr>
          <w:rFonts w:ascii="Times New Roman" w:hAnsi="Times New Roman" w:cs="Times New Roman"/>
          <w:sz w:val="24"/>
          <w:szCs w:val="24"/>
          <w:lang w:val="es-PE"/>
        </w:rPr>
        <w:t xml:space="preserve">ecia que se haya solicitado </w:t>
      </w:r>
      <w:r w:rsidR="00FA07B7" w:rsidRPr="007C32F6">
        <w:rPr>
          <w:rFonts w:ascii="Times New Roman" w:hAnsi="Times New Roman" w:cs="Times New Roman"/>
          <w:sz w:val="24"/>
          <w:szCs w:val="24"/>
          <w:lang w:val="es-PE"/>
        </w:rPr>
        <w:t>asegurar el contenido; por el contrario, se observa que únicamente se aseguró la edificación.</w:t>
      </w:r>
    </w:p>
    <w:p w14:paraId="3CB71039" w14:textId="77777777" w:rsidR="00A4046F" w:rsidRPr="007C32F6" w:rsidRDefault="00A4046F" w:rsidP="001276D8">
      <w:pPr>
        <w:tabs>
          <w:tab w:val="left" w:pos="2160"/>
        </w:tabs>
        <w:spacing w:after="0" w:line="240" w:lineRule="auto"/>
        <w:jc w:val="both"/>
        <w:rPr>
          <w:rFonts w:ascii="Times New Roman" w:hAnsi="Times New Roman" w:cs="Times New Roman"/>
          <w:sz w:val="24"/>
          <w:szCs w:val="24"/>
          <w:lang w:val="es-PE"/>
        </w:rPr>
      </w:pPr>
    </w:p>
    <w:p w14:paraId="4FDBE95C" w14:textId="77777777" w:rsidR="00CB3FB5" w:rsidRPr="007C32F6" w:rsidRDefault="00CB3FB5" w:rsidP="001276D8">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Siendo que el robo afectó únicamente a bienes que forman parte del contenido de la </w:t>
      </w:r>
      <w:r w:rsidR="00445237" w:rsidRPr="007C32F6">
        <w:rPr>
          <w:rFonts w:ascii="Times New Roman" w:hAnsi="Times New Roman" w:cs="Times New Roman"/>
          <w:sz w:val="24"/>
          <w:szCs w:val="24"/>
          <w:lang w:val="es-PE"/>
        </w:rPr>
        <w:t xml:space="preserve">vivienda </w:t>
      </w:r>
      <w:r w:rsidRPr="007C32F6">
        <w:rPr>
          <w:rFonts w:ascii="Times New Roman" w:hAnsi="Times New Roman" w:cs="Times New Roman"/>
          <w:sz w:val="24"/>
          <w:szCs w:val="24"/>
          <w:lang w:val="es-PE"/>
        </w:rPr>
        <w:t>asegurada, como son: televisores, electrodomésticos, joyas, cámara de fotos, celulares, dinero en efectivo y otros bienes, ninguno de los cuales ostenta la calidad de instalación fija</w:t>
      </w:r>
      <w:r w:rsidR="00445237" w:rsidRPr="007C32F6">
        <w:rPr>
          <w:rFonts w:ascii="Times New Roman" w:hAnsi="Times New Roman" w:cs="Times New Roman"/>
          <w:sz w:val="24"/>
          <w:szCs w:val="24"/>
          <w:lang w:val="es-PE"/>
        </w:rPr>
        <w:t>;</w:t>
      </w:r>
      <w:r w:rsidRPr="007C32F6">
        <w:rPr>
          <w:rFonts w:ascii="Times New Roman" w:hAnsi="Times New Roman" w:cs="Times New Roman"/>
          <w:sz w:val="24"/>
          <w:szCs w:val="24"/>
          <w:lang w:val="es-PE"/>
        </w:rPr>
        <w:t xml:space="preserve"> el rechazo comunicado por la aseguradora resulta legítimo.</w:t>
      </w:r>
    </w:p>
    <w:p w14:paraId="4294548D" w14:textId="77777777" w:rsidR="006859C2" w:rsidRPr="007C32F6" w:rsidRDefault="006859C2" w:rsidP="001276D8">
      <w:pPr>
        <w:tabs>
          <w:tab w:val="left" w:pos="2160"/>
        </w:tabs>
        <w:spacing w:after="0" w:line="240" w:lineRule="auto"/>
        <w:jc w:val="both"/>
        <w:rPr>
          <w:rFonts w:ascii="Times New Roman" w:hAnsi="Times New Roman" w:cs="Times New Roman"/>
          <w:sz w:val="24"/>
          <w:szCs w:val="24"/>
          <w:lang w:val="es-PE"/>
        </w:rPr>
      </w:pPr>
    </w:p>
    <w:p w14:paraId="0ACCADD4" w14:textId="77777777" w:rsidR="007C32F6" w:rsidRDefault="001276D8" w:rsidP="001276D8">
      <w:pPr>
        <w:tabs>
          <w:tab w:val="left" w:pos="2160"/>
        </w:tabs>
        <w:spacing w:after="0" w:line="240" w:lineRule="auto"/>
        <w:jc w:val="both"/>
        <w:rPr>
          <w:rFonts w:ascii="Times New Roman" w:hAnsi="Times New Roman" w:cs="Times New Roman"/>
          <w:b/>
          <w:sz w:val="24"/>
          <w:szCs w:val="24"/>
          <w:lang w:val="es-PE"/>
        </w:rPr>
      </w:pPr>
      <w:r w:rsidRPr="007C32F6">
        <w:rPr>
          <w:rFonts w:ascii="Times New Roman" w:hAnsi="Times New Roman" w:cs="Times New Roman"/>
          <w:b/>
          <w:sz w:val="24"/>
          <w:szCs w:val="24"/>
          <w:lang w:val="es-PE"/>
        </w:rPr>
        <w:t xml:space="preserve">Atendiendo a lo expresado, este colegiado </w:t>
      </w:r>
      <w:r w:rsidRPr="007C32F6">
        <w:rPr>
          <w:rFonts w:ascii="Times New Roman" w:hAnsi="Times New Roman" w:cs="Times New Roman"/>
          <w:b/>
          <w:sz w:val="24"/>
          <w:szCs w:val="24"/>
          <w:lang w:val="es-ES"/>
        </w:rPr>
        <w:t>concluye su apreciación razonada y conjunta al amparo de lo establecido en su Reglamento, por lo que</w:t>
      </w:r>
      <w:r w:rsidRPr="007C32F6">
        <w:rPr>
          <w:rFonts w:ascii="Times New Roman" w:hAnsi="Times New Roman" w:cs="Times New Roman"/>
          <w:b/>
          <w:sz w:val="24"/>
          <w:szCs w:val="24"/>
          <w:lang w:val="es-PE"/>
        </w:rPr>
        <w:t xml:space="preserve"> </w:t>
      </w:r>
    </w:p>
    <w:p w14:paraId="3FA647E0" w14:textId="77777777" w:rsidR="007C32F6" w:rsidRDefault="007C32F6" w:rsidP="001276D8">
      <w:pPr>
        <w:tabs>
          <w:tab w:val="left" w:pos="2160"/>
        </w:tabs>
        <w:spacing w:after="0" w:line="240" w:lineRule="auto"/>
        <w:jc w:val="both"/>
        <w:rPr>
          <w:rFonts w:ascii="Times New Roman" w:hAnsi="Times New Roman" w:cs="Times New Roman"/>
          <w:b/>
          <w:sz w:val="24"/>
          <w:szCs w:val="24"/>
          <w:lang w:val="es-PE"/>
        </w:rPr>
      </w:pPr>
    </w:p>
    <w:p w14:paraId="4F7C6ECD" w14:textId="4CFB3488" w:rsidR="001276D8" w:rsidRPr="007C32F6" w:rsidRDefault="007C32F6" w:rsidP="001276D8">
      <w:pPr>
        <w:tabs>
          <w:tab w:val="left" w:pos="2160"/>
        </w:tabs>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PE"/>
        </w:rPr>
        <w:t>RESUELVE</w:t>
      </w:r>
      <w:r w:rsidR="001276D8" w:rsidRPr="007C32F6">
        <w:rPr>
          <w:rFonts w:ascii="Times New Roman" w:hAnsi="Times New Roman" w:cs="Times New Roman"/>
          <w:b/>
          <w:sz w:val="24"/>
          <w:szCs w:val="24"/>
          <w:lang w:val="es-PE"/>
        </w:rPr>
        <w:t>:</w:t>
      </w:r>
    </w:p>
    <w:p w14:paraId="73B3968C" w14:textId="77777777" w:rsidR="001276D8" w:rsidRPr="007C32F6" w:rsidRDefault="001276D8" w:rsidP="001276D8">
      <w:pPr>
        <w:tabs>
          <w:tab w:val="left" w:pos="2160"/>
        </w:tabs>
        <w:spacing w:after="0" w:line="240" w:lineRule="auto"/>
        <w:jc w:val="both"/>
        <w:rPr>
          <w:rFonts w:ascii="Times New Roman" w:hAnsi="Times New Roman" w:cs="Times New Roman"/>
          <w:sz w:val="24"/>
          <w:szCs w:val="24"/>
          <w:lang w:val="es-ES"/>
        </w:rPr>
      </w:pPr>
    </w:p>
    <w:p w14:paraId="4BA35E29" w14:textId="295FD3D9" w:rsidR="00517989" w:rsidRDefault="001276D8" w:rsidP="00445237">
      <w:pPr>
        <w:tabs>
          <w:tab w:val="left" w:pos="2160"/>
        </w:tabs>
        <w:spacing w:after="0" w:line="240" w:lineRule="auto"/>
        <w:jc w:val="both"/>
        <w:rPr>
          <w:rFonts w:ascii="Times New Roman" w:hAnsi="Times New Roman" w:cs="Times New Roman"/>
          <w:sz w:val="24"/>
          <w:szCs w:val="24"/>
          <w:lang w:val="es-PE"/>
        </w:rPr>
      </w:pPr>
      <w:r w:rsidRPr="007C32F6">
        <w:rPr>
          <w:rFonts w:ascii="Times New Roman" w:hAnsi="Times New Roman" w:cs="Times New Roman"/>
          <w:sz w:val="24"/>
          <w:szCs w:val="24"/>
          <w:lang w:val="es-PE"/>
        </w:rPr>
        <w:t xml:space="preserve">Declarar </w:t>
      </w:r>
      <w:r w:rsidRPr="007C32F6">
        <w:rPr>
          <w:rFonts w:ascii="Times New Roman" w:hAnsi="Times New Roman" w:cs="Times New Roman"/>
          <w:b/>
          <w:sz w:val="24"/>
          <w:szCs w:val="24"/>
          <w:lang w:val="es-PE"/>
        </w:rPr>
        <w:t>I</w:t>
      </w:r>
      <w:r w:rsidR="00CB3FB5" w:rsidRPr="007C32F6">
        <w:rPr>
          <w:rFonts w:ascii="Times New Roman" w:hAnsi="Times New Roman" w:cs="Times New Roman"/>
          <w:b/>
          <w:sz w:val="24"/>
          <w:szCs w:val="24"/>
          <w:lang w:val="es-PE"/>
        </w:rPr>
        <w:t xml:space="preserve">NFUNDADA </w:t>
      </w:r>
      <w:r w:rsidRPr="007C32F6">
        <w:rPr>
          <w:rFonts w:ascii="Times New Roman" w:hAnsi="Times New Roman" w:cs="Times New Roman"/>
          <w:sz w:val="24"/>
          <w:szCs w:val="24"/>
          <w:lang w:val="es-PE"/>
        </w:rPr>
        <w:t xml:space="preserve">la reclamación interpuesta por </w:t>
      </w:r>
      <w:proofErr w:type="gramStart"/>
      <w:r w:rsidRPr="007C32F6">
        <w:rPr>
          <w:rFonts w:ascii="Times New Roman" w:hAnsi="Times New Roman" w:cs="Times New Roman"/>
          <w:sz w:val="24"/>
          <w:szCs w:val="24"/>
          <w:lang w:val="es-PE"/>
        </w:rPr>
        <w:t>do</w:t>
      </w:r>
      <w:r w:rsidR="00CB3FB5" w:rsidRPr="007C32F6">
        <w:rPr>
          <w:rFonts w:ascii="Times New Roman" w:hAnsi="Times New Roman" w:cs="Times New Roman"/>
          <w:sz w:val="24"/>
          <w:szCs w:val="24"/>
          <w:lang w:val="es-PE"/>
        </w:rPr>
        <w:t xml:space="preserve">ña </w:t>
      </w:r>
      <w:r w:rsidR="00DA06A1">
        <w:rPr>
          <w:rFonts w:ascii="Times New Roman" w:hAnsi="Times New Roman" w:cs="Times New Roman"/>
          <w:sz w:val="24"/>
          <w:szCs w:val="24"/>
          <w:lang w:val="es-PE"/>
        </w:rPr>
        <w:t>....................</w:t>
      </w:r>
      <w:proofErr w:type="gramEnd"/>
      <w:r w:rsidR="00CB3FB5" w:rsidRPr="007C32F6">
        <w:rPr>
          <w:rFonts w:ascii="Times New Roman" w:hAnsi="Times New Roman" w:cs="Times New Roman"/>
          <w:sz w:val="24"/>
          <w:szCs w:val="24"/>
          <w:lang w:val="es-PE"/>
        </w:rPr>
        <w:t xml:space="preserve"> </w:t>
      </w:r>
      <w:proofErr w:type="gramStart"/>
      <w:r w:rsidR="00CB3FB5" w:rsidRPr="007C32F6">
        <w:rPr>
          <w:rFonts w:ascii="Times New Roman" w:hAnsi="Times New Roman" w:cs="Times New Roman"/>
          <w:sz w:val="24"/>
          <w:szCs w:val="24"/>
          <w:lang w:val="es-PE"/>
        </w:rPr>
        <w:t>contra</w:t>
      </w:r>
      <w:proofErr w:type="gramEnd"/>
      <w:r w:rsidR="00CB3FB5" w:rsidRPr="007C32F6">
        <w:rPr>
          <w:rFonts w:ascii="Times New Roman" w:hAnsi="Times New Roman" w:cs="Times New Roman"/>
          <w:sz w:val="24"/>
          <w:szCs w:val="24"/>
          <w:lang w:val="es-PE"/>
        </w:rPr>
        <w:t xml:space="preserve"> </w:t>
      </w:r>
      <w:r w:rsidR="00DA06A1">
        <w:rPr>
          <w:rFonts w:ascii="Times New Roman" w:hAnsi="Times New Roman" w:cs="Times New Roman"/>
          <w:sz w:val="24"/>
          <w:szCs w:val="24"/>
          <w:lang w:val="es-PE"/>
        </w:rPr>
        <w:t>....................</w:t>
      </w:r>
      <w:r w:rsidR="00CB3FB5" w:rsidRPr="007C32F6">
        <w:rPr>
          <w:rFonts w:ascii="Times New Roman" w:hAnsi="Times New Roman" w:cs="Times New Roman"/>
          <w:sz w:val="24"/>
          <w:szCs w:val="24"/>
          <w:lang w:val="es-PE"/>
        </w:rPr>
        <w:t xml:space="preserve"> SEGUROS</w:t>
      </w:r>
      <w:r w:rsidRPr="007C32F6">
        <w:rPr>
          <w:rFonts w:ascii="Times New Roman" w:hAnsi="Times New Roman" w:cs="Times New Roman"/>
          <w:sz w:val="24"/>
          <w:szCs w:val="24"/>
          <w:lang w:val="es-PE"/>
        </w:rPr>
        <w:t xml:space="preserve">, dejando a salvo su derecho de accionar ante las instancias que estime pertinentes. </w:t>
      </w:r>
    </w:p>
    <w:p w14:paraId="1950B121" w14:textId="47A7F310" w:rsidR="007C32F6" w:rsidRDefault="007C32F6" w:rsidP="00445237">
      <w:pPr>
        <w:tabs>
          <w:tab w:val="left" w:pos="2160"/>
        </w:tabs>
        <w:spacing w:after="0" w:line="240" w:lineRule="auto"/>
        <w:jc w:val="both"/>
        <w:rPr>
          <w:rFonts w:ascii="Times New Roman" w:hAnsi="Times New Roman" w:cs="Times New Roman"/>
          <w:sz w:val="24"/>
          <w:szCs w:val="24"/>
          <w:lang w:val="es-PE"/>
        </w:rPr>
      </w:pPr>
    </w:p>
    <w:p w14:paraId="1D1AC728" w14:textId="521D85E7" w:rsidR="007C32F6" w:rsidRDefault="007C32F6" w:rsidP="00445237">
      <w:pPr>
        <w:tabs>
          <w:tab w:val="left" w:pos="2160"/>
        </w:tabs>
        <w:spacing w:after="0" w:line="240" w:lineRule="auto"/>
        <w:jc w:val="both"/>
        <w:rPr>
          <w:rFonts w:ascii="Times New Roman" w:hAnsi="Times New Roman" w:cs="Times New Roman"/>
          <w:sz w:val="24"/>
          <w:szCs w:val="24"/>
          <w:lang w:val="es-PE"/>
        </w:rPr>
      </w:pPr>
      <w:r>
        <w:rPr>
          <w:rFonts w:ascii="Times New Roman" w:hAnsi="Times New Roman" w:cs="Times New Roman"/>
          <w:sz w:val="24"/>
          <w:szCs w:val="24"/>
          <w:lang w:val="es-PE"/>
        </w:rPr>
        <w:tab/>
      </w:r>
      <w:r>
        <w:rPr>
          <w:rFonts w:ascii="Times New Roman" w:hAnsi="Times New Roman" w:cs="Times New Roman"/>
          <w:sz w:val="24"/>
          <w:szCs w:val="24"/>
          <w:lang w:val="es-PE"/>
        </w:rPr>
        <w:tab/>
      </w:r>
      <w:r>
        <w:rPr>
          <w:rFonts w:ascii="Times New Roman" w:hAnsi="Times New Roman" w:cs="Times New Roman"/>
          <w:sz w:val="24"/>
          <w:szCs w:val="24"/>
          <w:lang w:val="es-PE"/>
        </w:rPr>
        <w:tab/>
      </w:r>
      <w:r>
        <w:rPr>
          <w:rFonts w:ascii="Times New Roman" w:hAnsi="Times New Roman" w:cs="Times New Roman"/>
          <w:sz w:val="24"/>
          <w:szCs w:val="24"/>
          <w:lang w:val="es-PE"/>
        </w:rPr>
        <w:tab/>
      </w:r>
      <w:r>
        <w:rPr>
          <w:rFonts w:ascii="Times New Roman" w:hAnsi="Times New Roman" w:cs="Times New Roman"/>
          <w:sz w:val="24"/>
          <w:szCs w:val="24"/>
          <w:lang w:val="es-PE"/>
        </w:rPr>
        <w:tab/>
      </w:r>
      <w:r>
        <w:rPr>
          <w:rFonts w:ascii="Times New Roman" w:hAnsi="Times New Roman" w:cs="Times New Roman"/>
          <w:sz w:val="24"/>
          <w:szCs w:val="24"/>
          <w:lang w:val="es-PE"/>
        </w:rPr>
        <w:tab/>
        <w:t>Lima, 09 de setiembre de 2019</w:t>
      </w:r>
    </w:p>
    <w:p w14:paraId="51A6CF20" w14:textId="0764E129" w:rsidR="007C32F6" w:rsidRDefault="007C32F6" w:rsidP="00445237">
      <w:pPr>
        <w:tabs>
          <w:tab w:val="left" w:pos="2160"/>
        </w:tabs>
        <w:spacing w:after="0" w:line="240" w:lineRule="auto"/>
        <w:jc w:val="both"/>
        <w:rPr>
          <w:rFonts w:ascii="Times New Roman" w:hAnsi="Times New Roman" w:cs="Times New Roman"/>
          <w:sz w:val="24"/>
          <w:szCs w:val="24"/>
          <w:lang w:val="es-PE"/>
        </w:rPr>
      </w:pPr>
    </w:p>
    <w:p w14:paraId="441E8FE7" w14:textId="6383589F" w:rsidR="007C32F6" w:rsidRDefault="007C32F6" w:rsidP="00445237">
      <w:pPr>
        <w:tabs>
          <w:tab w:val="left" w:pos="2160"/>
        </w:tabs>
        <w:spacing w:after="0" w:line="240" w:lineRule="auto"/>
        <w:jc w:val="both"/>
        <w:rPr>
          <w:rFonts w:ascii="Times New Roman" w:hAnsi="Times New Roman" w:cs="Times New Roman"/>
          <w:sz w:val="24"/>
          <w:szCs w:val="24"/>
          <w:lang w:val="es-PE"/>
        </w:rPr>
      </w:pPr>
    </w:p>
    <w:p w14:paraId="40EBC572" w14:textId="30027FA8" w:rsidR="007C32F6" w:rsidRDefault="007C32F6" w:rsidP="00445237">
      <w:pPr>
        <w:tabs>
          <w:tab w:val="left" w:pos="2160"/>
        </w:tabs>
        <w:spacing w:after="0" w:line="240" w:lineRule="auto"/>
        <w:jc w:val="both"/>
        <w:rPr>
          <w:rFonts w:ascii="Times New Roman" w:hAnsi="Times New Roman" w:cs="Times New Roman"/>
          <w:sz w:val="24"/>
          <w:szCs w:val="24"/>
          <w:lang w:val="es-PE"/>
        </w:rPr>
      </w:pPr>
    </w:p>
    <w:p w14:paraId="6AE81051" w14:textId="63C6EDC8" w:rsidR="007C32F6" w:rsidRDefault="007C32F6" w:rsidP="00445237">
      <w:pPr>
        <w:tabs>
          <w:tab w:val="left" w:pos="2160"/>
        </w:tabs>
        <w:spacing w:after="0" w:line="240" w:lineRule="auto"/>
        <w:jc w:val="both"/>
        <w:rPr>
          <w:rFonts w:ascii="Times New Roman" w:hAnsi="Times New Roman" w:cs="Times New Roman"/>
          <w:sz w:val="24"/>
          <w:szCs w:val="24"/>
          <w:lang w:val="es-PE"/>
        </w:rPr>
      </w:pPr>
    </w:p>
    <w:p w14:paraId="78565544" w14:textId="77777777" w:rsidR="00E34310" w:rsidRPr="00DA06A1" w:rsidRDefault="00E34310" w:rsidP="00E34310">
      <w:pPr>
        <w:spacing w:after="0" w:line="240" w:lineRule="auto"/>
        <w:jc w:val="both"/>
        <w:rPr>
          <w:rFonts w:ascii="Times New Roman" w:hAnsi="Times New Roman" w:cs="Times New Roman"/>
          <w:sz w:val="24"/>
          <w:szCs w:val="24"/>
          <w:lang w:val="es-PE"/>
        </w:rPr>
      </w:pPr>
      <w:bookmarkStart w:id="2" w:name="_Hlk18928419"/>
    </w:p>
    <w:p w14:paraId="231216C7" w14:textId="1AED402D" w:rsidR="00E34310" w:rsidRPr="00DA06A1" w:rsidRDefault="00E34310" w:rsidP="00E34310">
      <w:pPr>
        <w:spacing w:after="0" w:line="240" w:lineRule="auto"/>
        <w:jc w:val="both"/>
        <w:rPr>
          <w:rFonts w:ascii="Times New Roman" w:hAnsi="Times New Roman" w:cs="Times New Roman"/>
          <w:sz w:val="24"/>
          <w:szCs w:val="24"/>
          <w:lang w:val="es-PE"/>
        </w:rPr>
      </w:pPr>
    </w:p>
    <w:p w14:paraId="1AC3AC22" w14:textId="77777777" w:rsidR="00E34310" w:rsidRPr="00DA06A1" w:rsidRDefault="00E34310" w:rsidP="00E34310">
      <w:pPr>
        <w:spacing w:after="0" w:line="240" w:lineRule="auto"/>
        <w:jc w:val="both"/>
        <w:rPr>
          <w:rFonts w:ascii="Times New Roman" w:hAnsi="Times New Roman" w:cs="Times New Roman"/>
          <w:sz w:val="24"/>
          <w:szCs w:val="24"/>
          <w:lang w:val="es-PE"/>
        </w:rPr>
      </w:pPr>
    </w:p>
    <w:p w14:paraId="08009A8D" w14:textId="11BB01B1" w:rsidR="00E34310" w:rsidRPr="00DA06A1" w:rsidRDefault="00E34310" w:rsidP="00E34310">
      <w:pPr>
        <w:spacing w:after="0" w:line="240" w:lineRule="auto"/>
        <w:rPr>
          <w:rFonts w:ascii="Times New Roman" w:hAnsi="Times New Roman" w:cs="Times New Roman"/>
          <w:sz w:val="24"/>
          <w:szCs w:val="24"/>
          <w:lang w:val="es-PE"/>
        </w:rPr>
      </w:pPr>
      <w:r w:rsidRPr="00DA06A1">
        <w:rPr>
          <w:rFonts w:ascii="Times New Roman" w:hAnsi="Times New Roman" w:cs="Times New Roman"/>
          <w:sz w:val="24"/>
          <w:szCs w:val="24"/>
          <w:lang w:val="es-PE"/>
        </w:rPr>
        <w:t>Marco Antonio Ortega Piana</w:t>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t xml:space="preserve">Rolando </w:t>
      </w:r>
      <w:proofErr w:type="spellStart"/>
      <w:r w:rsidR="00C310E0" w:rsidRPr="00DA06A1">
        <w:rPr>
          <w:rFonts w:ascii="Times New Roman" w:hAnsi="Times New Roman" w:cs="Times New Roman"/>
          <w:sz w:val="24"/>
          <w:szCs w:val="24"/>
          <w:lang w:val="es-PE"/>
        </w:rPr>
        <w:t>Eyzaguirre</w:t>
      </w:r>
      <w:proofErr w:type="spellEnd"/>
      <w:r w:rsidRPr="00DA06A1">
        <w:rPr>
          <w:rFonts w:ascii="Times New Roman" w:hAnsi="Times New Roman" w:cs="Times New Roman"/>
          <w:sz w:val="24"/>
          <w:szCs w:val="24"/>
          <w:lang w:val="es-PE"/>
        </w:rPr>
        <w:t xml:space="preserve"> </w:t>
      </w:r>
      <w:proofErr w:type="spellStart"/>
      <w:r w:rsidRPr="00DA06A1">
        <w:rPr>
          <w:rFonts w:ascii="Times New Roman" w:hAnsi="Times New Roman" w:cs="Times New Roman"/>
          <w:sz w:val="24"/>
          <w:szCs w:val="24"/>
          <w:lang w:val="es-PE"/>
        </w:rPr>
        <w:t>Maccan</w:t>
      </w:r>
      <w:proofErr w:type="spellEnd"/>
    </w:p>
    <w:p w14:paraId="1A35C6ED" w14:textId="4002C48C" w:rsidR="00E34310" w:rsidRPr="00DA06A1" w:rsidRDefault="00E34310" w:rsidP="00E34310">
      <w:pPr>
        <w:spacing w:after="0" w:line="240" w:lineRule="auto"/>
        <w:ind w:hanging="708"/>
        <w:rPr>
          <w:rFonts w:ascii="Times New Roman" w:hAnsi="Times New Roman" w:cs="Times New Roman"/>
          <w:sz w:val="24"/>
          <w:szCs w:val="24"/>
          <w:lang w:val="es-PE"/>
        </w:rPr>
      </w:pPr>
      <w:r w:rsidRPr="00DA06A1">
        <w:rPr>
          <w:rFonts w:ascii="Times New Roman" w:hAnsi="Times New Roman" w:cs="Times New Roman"/>
          <w:sz w:val="24"/>
          <w:szCs w:val="24"/>
          <w:lang w:val="es-PE"/>
        </w:rPr>
        <w:t xml:space="preserve">                    </w:t>
      </w:r>
      <w:r w:rsidRPr="00DA06A1">
        <w:rPr>
          <w:rFonts w:ascii="Times New Roman" w:hAnsi="Times New Roman" w:cs="Times New Roman"/>
          <w:sz w:val="24"/>
          <w:szCs w:val="24"/>
          <w:lang w:val="es-PE"/>
        </w:rPr>
        <w:tab/>
        <w:t xml:space="preserve">  Presidente</w:t>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t xml:space="preserve">                    Vocal                                   </w:t>
      </w:r>
    </w:p>
    <w:p w14:paraId="1C1D3250" w14:textId="77777777" w:rsidR="00E34310" w:rsidRPr="00DA06A1" w:rsidRDefault="00E34310" w:rsidP="00E34310">
      <w:pPr>
        <w:spacing w:after="0" w:line="240" w:lineRule="auto"/>
        <w:rPr>
          <w:rFonts w:ascii="Times New Roman" w:hAnsi="Times New Roman" w:cs="Times New Roman"/>
          <w:sz w:val="24"/>
          <w:szCs w:val="24"/>
          <w:lang w:val="es-PE"/>
        </w:rPr>
      </w:pPr>
    </w:p>
    <w:p w14:paraId="271FF417" w14:textId="77777777" w:rsidR="00E34310" w:rsidRPr="00DA06A1" w:rsidRDefault="00E34310" w:rsidP="00E34310">
      <w:pPr>
        <w:spacing w:after="0" w:line="240" w:lineRule="auto"/>
        <w:rPr>
          <w:rFonts w:ascii="Times New Roman" w:hAnsi="Times New Roman" w:cs="Times New Roman"/>
          <w:sz w:val="24"/>
          <w:szCs w:val="24"/>
          <w:lang w:val="es-PE"/>
        </w:rPr>
      </w:pPr>
    </w:p>
    <w:p w14:paraId="0FE3E5B5" w14:textId="77777777" w:rsidR="00E34310" w:rsidRPr="00DA06A1" w:rsidRDefault="00E34310" w:rsidP="00E34310">
      <w:pPr>
        <w:spacing w:after="0" w:line="240" w:lineRule="auto"/>
        <w:rPr>
          <w:rFonts w:ascii="Times New Roman" w:hAnsi="Times New Roman" w:cs="Times New Roman"/>
          <w:sz w:val="24"/>
          <w:szCs w:val="24"/>
          <w:lang w:val="es-PE"/>
        </w:rPr>
      </w:pPr>
    </w:p>
    <w:p w14:paraId="34F011F1" w14:textId="3E677669" w:rsidR="00E34310" w:rsidRPr="00DA06A1" w:rsidRDefault="00E34310" w:rsidP="00E34310">
      <w:pPr>
        <w:spacing w:after="0" w:line="240" w:lineRule="auto"/>
        <w:rPr>
          <w:rFonts w:ascii="Times New Roman" w:hAnsi="Times New Roman" w:cs="Times New Roman"/>
          <w:sz w:val="24"/>
          <w:szCs w:val="24"/>
          <w:lang w:val="es-PE"/>
        </w:rPr>
      </w:pPr>
    </w:p>
    <w:p w14:paraId="22365F28" w14:textId="77777777" w:rsidR="00E34310" w:rsidRPr="00DA06A1" w:rsidRDefault="00E34310" w:rsidP="00E34310">
      <w:pPr>
        <w:spacing w:after="0" w:line="240" w:lineRule="auto"/>
        <w:rPr>
          <w:rFonts w:ascii="Times New Roman" w:hAnsi="Times New Roman" w:cs="Times New Roman"/>
          <w:sz w:val="24"/>
          <w:szCs w:val="24"/>
          <w:lang w:val="es-PE"/>
        </w:rPr>
      </w:pPr>
    </w:p>
    <w:p w14:paraId="78ED2570" w14:textId="77777777" w:rsidR="00E34310" w:rsidRPr="00DA06A1" w:rsidRDefault="00E34310" w:rsidP="00E34310">
      <w:pPr>
        <w:spacing w:after="0" w:line="240" w:lineRule="auto"/>
        <w:rPr>
          <w:rFonts w:ascii="Times New Roman" w:hAnsi="Times New Roman" w:cs="Times New Roman"/>
          <w:sz w:val="24"/>
          <w:szCs w:val="24"/>
          <w:lang w:val="es-PE"/>
        </w:rPr>
      </w:pPr>
    </w:p>
    <w:p w14:paraId="3CC22031" w14:textId="77777777" w:rsidR="00E34310" w:rsidRPr="00DA06A1" w:rsidRDefault="00E34310" w:rsidP="00E34310">
      <w:pPr>
        <w:spacing w:after="0" w:line="240" w:lineRule="auto"/>
        <w:rPr>
          <w:rFonts w:ascii="Times New Roman" w:hAnsi="Times New Roman" w:cs="Times New Roman"/>
          <w:sz w:val="24"/>
          <w:szCs w:val="24"/>
          <w:lang w:val="es-PE"/>
        </w:rPr>
      </w:pPr>
    </w:p>
    <w:p w14:paraId="7E59BDDB" w14:textId="392DBD50" w:rsidR="00E34310" w:rsidRPr="00DA06A1" w:rsidRDefault="00E34310" w:rsidP="00E34310">
      <w:pPr>
        <w:spacing w:after="0" w:line="240" w:lineRule="auto"/>
        <w:rPr>
          <w:rFonts w:ascii="Times New Roman" w:hAnsi="Times New Roman" w:cs="Times New Roman"/>
          <w:sz w:val="24"/>
          <w:szCs w:val="24"/>
          <w:lang w:val="es-PE"/>
        </w:rPr>
      </w:pPr>
      <w:r w:rsidRPr="00DA06A1">
        <w:rPr>
          <w:rFonts w:ascii="Times New Roman" w:hAnsi="Times New Roman" w:cs="Times New Roman"/>
          <w:sz w:val="24"/>
          <w:szCs w:val="24"/>
          <w:lang w:val="es-PE"/>
        </w:rPr>
        <w:t>María Eugenia Valdez Fernández Baca</w:t>
      </w:r>
      <w:r w:rsidRPr="00DA06A1">
        <w:rPr>
          <w:rFonts w:ascii="Times New Roman" w:hAnsi="Times New Roman" w:cs="Times New Roman"/>
          <w:sz w:val="24"/>
          <w:szCs w:val="24"/>
          <w:lang w:val="es-PE"/>
        </w:rPr>
        <w:tab/>
      </w:r>
      <w:r w:rsidRPr="00DA06A1">
        <w:rPr>
          <w:rFonts w:ascii="Times New Roman" w:hAnsi="Times New Roman" w:cs="Times New Roman"/>
          <w:sz w:val="24"/>
          <w:szCs w:val="24"/>
          <w:lang w:val="es-PE"/>
        </w:rPr>
        <w:tab/>
        <w:t>Gonzalo Abad del Busto</w:t>
      </w:r>
    </w:p>
    <w:p w14:paraId="53D57464" w14:textId="45E0CA1D" w:rsidR="00E34310" w:rsidRPr="00E34310" w:rsidRDefault="00E34310" w:rsidP="00E34310">
      <w:pPr>
        <w:spacing w:after="0" w:line="240" w:lineRule="auto"/>
        <w:rPr>
          <w:rFonts w:ascii="Times New Roman" w:hAnsi="Times New Roman" w:cs="Times New Roman"/>
          <w:sz w:val="24"/>
          <w:szCs w:val="24"/>
        </w:rPr>
      </w:pPr>
      <w:r w:rsidRPr="00DA06A1">
        <w:rPr>
          <w:rFonts w:ascii="Times New Roman" w:hAnsi="Times New Roman" w:cs="Times New Roman"/>
          <w:sz w:val="24"/>
          <w:szCs w:val="24"/>
          <w:lang w:val="es-PE"/>
        </w:rPr>
        <w:t xml:space="preserve">               </w:t>
      </w:r>
      <w:r w:rsidRPr="00DA06A1">
        <w:rPr>
          <w:rFonts w:ascii="Times New Roman" w:hAnsi="Times New Roman" w:cs="Times New Roman"/>
          <w:sz w:val="24"/>
          <w:szCs w:val="24"/>
          <w:lang w:val="es-PE"/>
        </w:rPr>
        <w:tab/>
      </w:r>
      <w:r w:rsidRPr="00E34310">
        <w:rPr>
          <w:rFonts w:ascii="Times New Roman" w:hAnsi="Times New Roman" w:cs="Times New Roman"/>
          <w:sz w:val="24"/>
          <w:szCs w:val="24"/>
        </w:rPr>
        <w:t>Vocal</w:t>
      </w:r>
      <w:r w:rsidRPr="00E34310">
        <w:rPr>
          <w:rFonts w:ascii="Times New Roman" w:hAnsi="Times New Roman" w:cs="Times New Roman"/>
          <w:sz w:val="24"/>
          <w:szCs w:val="24"/>
        </w:rPr>
        <w:tab/>
        <w:t xml:space="preserve">                                                                 </w:t>
      </w:r>
      <w:proofErr w:type="spellStart"/>
      <w:r w:rsidRPr="00E34310">
        <w:rPr>
          <w:rFonts w:ascii="Times New Roman" w:hAnsi="Times New Roman" w:cs="Times New Roman"/>
          <w:sz w:val="24"/>
          <w:szCs w:val="24"/>
        </w:rPr>
        <w:t>Vocal</w:t>
      </w:r>
      <w:proofErr w:type="spellEnd"/>
    </w:p>
    <w:p w14:paraId="3EDF07A8" w14:textId="77777777" w:rsidR="00E34310" w:rsidRPr="00E34310" w:rsidRDefault="00E34310" w:rsidP="00E34310">
      <w:pPr>
        <w:spacing w:after="0" w:line="240" w:lineRule="auto"/>
        <w:ind w:firstLine="2"/>
        <w:jc w:val="both"/>
        <w:rPr>
          <w:rFonts w:ascii="Times New Roman" w:hAnsi="Times New Roman" w:cs="Times New Roman"/>
          <w:b/>
          <w:sz w:val="24"/>
          <w:szCs w:val="24"/>
        </w:rPr>
      </w:pPr>
    </w:p>
    <w:bookmarkEnd w:id="2"/>
    <w:p w14:paraId="0D357E05" w14:textId="77777777" w:rsidR="00E34310" w:rsidRPr="00E34310" w:rsidRDefault="00E34310" w:rsidP="00E34310">
      <w:pPr>
        <w:spacing w:after="0" w:line="240" w:lineRule="auto"/>
        <w:ind w:firstLine="2"/>
        <w:jc w:val="both"/>
        <w:rPr>
          <w:rFonts w:ascii="Times New Roman" w:hAnsi="Times New Roman" w:cs="Times New Roman"/>
          <w:sz w:val="24"/>
          <w:szCs w:val="24"/>
        </w:rPr>
      </w:pPr>
    </w:p>
    <w:p w14:paraId="58302BF4" w14:textId="77777777" w:rsidR="00E34310" w:rsidRPr="00AF6D93" w:rsidRDefault="00E34310" w:rsidP="00E34310">
      <w:pPr>
        <w:spacing w:after="0" w:line="240" w:lineRule="auto"/>
        <w:ind w:firstLine="2"/>
        <w:jc w:val="both"/>
        <w:rPr>
          <w:rFonts w:cs="Times New Roman"/>
          <w:b/>
          <w:sz w:val="23"/>
          <w:szCs w:val="23"/>
        </w:rPr>
      </w:pPr>
    </w:p>
    <w:p w14:paraId="619D0352" w14:textId="77777777" w:rsidR="007C32F6" w:rsidRPr="007C32F6" w:rsidRDefault="007C32F6" w:rsidP="00445237">
      <w:pPr>
        <w:tabs>
          <w:tab w:val="left" w:pos="2160"/>
        </w:tabs>
        <w:spacing w:after="0" w:line="240" w:lineRule="auto"/>
        <w:jc w:val="both"/>
        <w:rPr>
          <w:rFonts w:ascii="Times New Roman" w:hAnsi="Times New Roman" w:cs="Times New Roman"/>
          <w:sz w:val="24"/>
          <w:szCs w:val="24"/>
          <w:lang w:val="es-PE"/>
        </w:rPr>
      </w:pPr>
    </w:p>
    <w:sectPr w:rsidR="007C32F6" w:rsidRPr="007C32F6" w:rsidSect="007C32F6">
      <w:pgSz w:w="11907" w:h="16840" w:code="9"/>
      <w:pgMar w:top="170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641A"/>
    <w:multiLevelType w:val="hybridMultilevel"/>
    <w:tmpl w:val="9B92AA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B00BFA"/>
    <w:multiLevelType w:val="hybridMultilevel"/>
    <w:tmpl w:val="F58CBE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82500F4"/>
    <w:multiLevelType w:val="hybridMultilevel"/>
    <w:tmpl w:val="6CDA71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D8"/>
    <w:rsid w:val="00032526"/>
    <w:rsid w:val="00084E51"/>
    <w:rsid w:val="001276D8"/>
    <w:rsid w:val="00260B2D"/>
    <w:rsid w:val="00360667"/>
    <w:rsid w:val="00417E23"/>
    <w:rsid w:val="00445237"/>
    <w:rsid w:val="0058358B"/>
    <w:rsid w:val="006859C2"/>
    <w:rsid w:val="00785B4E"/>
    <w:rsid w:val="007B2DBF"/>
    <w:rsid w:val="007C2E2B"/>
    <w:rsid w:val="007C2FC5"/>
    <w:rsid w:val="007C32F6"/>
    <w:rsid w:val="008930FB"/>
    <w:rsid w:val="008F322B"/>
    <w:rsid w:val="00A223FC"/>
    <w:rsid w:val="00A4046F"/>
    <w:rsid w:val="00C310E0"/>
    <w:rsid w:val="00C51861"/>
    <w:rsid w:val="00CB3FB5"/>
    <w:rsid w:val="00D15C1E"/>
    <w:rsid w:val="00D7483D"/>
    <w:rsid w:val="00D86E87"/>
    <w:rsid w:val="00DA06A1"/>
    <w:rsid w:val="00E34310"/>
    <w:rsid w:val="00E7006D"/>
    <w:rsid w:val="00EE27AF"/>
    <w:rsid w:val="00F029DD"/>
    <w:rsid w:val="00F4336C"/>
    <w:rsid w:val="00FA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276D8"/>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1276D8"/>
    <w:rPr>
      <w:rFonts w:ascii="Times New Roman" w:eastAsia="Times New Roman" w:hAnsi="Times New Roman" w:cs="Times New Roman"/>
      <w:b/>
      <w:bCs/>
      <w:sz w:val="24"/>
      <w:szCs w:val="24"/>
      <w:lang w:val="es-MX" w:eastAsia="es-ES"/>
    </w:rPr>
  </w:style>
  <w:style w:type="character" w:styleId="Textoennegrita">
    <w:name w:val="Strong"/>
    <w:qFormat/>
    <w:rsid w:val="001276D8"/>
    <w:rPr>
      <w:b/>
      <w:bCs/>
    </w:rPr>
  </w:style>
  <w:style w:type="paragraph" w:styleId="Prrafodelista">
    <w:name w:val="List Paragraph"/>
    <w:basedOn w:val="Normal"/>
    <w:uiPriority w:val="34"/>
    <w:qFormat/>
    <w:rsid w:val="001276D8"/>
    <w:pPr>
      <w:ind w:left="720"/>
      <w:contextualSpacing/>
    </w:pPr>
  </w:style>
  <w:style w:type="table" w:styleId="Tablaconcuadrcula">
    <w:name w:val="Table Grid"/>
    <w:basedOn w:val="Tablanormal"/>
    <w:uiPriority w:val="39"/>
    <w:rsid w:val="0012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4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3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276D8"/>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1276D8"/>
    <w:rPr>
      <w:rFonts w:ascii="Times New Roman" w:eastAsia="Times New Roman" w:hAnsi="Times New Roman" w:cs="Times New Roman"/>
      <w:b/>
      <w:bCs/>
      <w:sz w:val="24"/>
      <w:szCs w:val="24"/>
      <w:lang w:val="es-MX" w:eastAsia="es-ES"/>
    </w:rPr>
  </w:style>
  <w:style w:type="character" w:styleId="Textoennegrita">
    <w:name w:val="Strong"/>
    <w:qFormat/>
    <w:rsid w:val="001276D8"/>
    <w:rPr>
      <w:b/>
      <w:bCs/>
    </w:rPr>
  </w:style>
  <w:style w:type="paragraph" w:styleId="Prrafodelista">
    <w:name w:val="List Paragraph"/>
    <w:basedOn w:val="Normal"/>
    <w:uiPriority w:val="34"/>
    <w:qFormat/>
    <w:rsid w:val="001276D8"/>
    <w:pPr>
      <w:ind w:left="720"/>
      <w:contextualSpacing/>
    </w:pPr>
  </w:style>
  <w:style w:type="table" w:styleId="Tablaconcuadrcula">
    <w:name w:val="Table Grid"/>
    <w:basedOn w:val="Tablanormal"/>
    <w:uiPriority w:val="39"/>
    <w:rsid w:val="0012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4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2121</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2019-09-09T18:33:00Z</cp:lastPrinted>
  <dcterms:created xsi:type="dcterms:W3CDTF">2020-04-09T03:18:00Z</dcterms:created>
  <dcterms:modified xsi:type="dcterms:W3CDTF">2020-04-09T03:18:00Z</dcterms:modified>
</cp:coreProperties>
</file>