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9A60E" w14:textId="0ED12956" w:rsidR="005705FC" w:rsidRPr="00B8072D" w:rsidRDefault="005705FC" w:rsidP="005705FC">
      <w:pPr>
        <w:pStyle w:val="Ttulo"/>
        <w:outlineLvl w:val="0"/>
        <w:rPr>
          <w:rFonts w:ascii="Arial" w:hAnsi="Arial" w:cs="Arial"/>
          <w:sz w:val="21"/>
          <w:szCs w:val="21"/>
          <w:lang w:val="es-PE"/>
        </w:rPr>
      </w:pPr>
      <w:r w:rsidRPr="00B8072D">
        <w:rPr>
          <w:rFonts w:ascii="Arial" w:hAnsi="Arial" w:cs="Arial"/>
          <w:sz w:val="21"/>
          <w:szCs w:val="21"/>
          <w:lang w:val="es-PE"/>
        </w:rPr>
        <w:t>RESOLUCIÓN N</w:t>
      </w:r>
      <w:r w:rsidR="00B8072D" w:rsidRPr="00B8072D">
        <w:rPr>
          <w:rFonts w:ascii="Arial" w:hAnsi="Arial" w:cs="Arial"/>
          <w:sz w:val="21"/>
          <w:szCs w:val="21"/>
          <w:lang w:val="es-PE"/>
        </w:rPr>
        <w:t>° 140/19</w:t>
      </w:r>
    </w:p>
    <w:p w14:paraId="51A43EC0" w14:textId="77777777" w:rsidR="005705FC" w:rsidRPr="00B8072D" w:rsidRDefault="005705FC" w:rsidP="005705FC">
      <w:pPr>
        <w:pStyle w:val="Ttulo"/>
        <w:rPr>
          <w:rFonts w:ascii="Arial" w:hAnsi="Arial" w:cs="Arial"/>
          <w:sz w:val="21"/>
          <w:szCs w:val="21"/>
          <w:lang w:val="es-PE"/>
        </w:rPr>
      </w:pPr>
    </w:p>
    <w:p w14:paraId="25083986" w14:textId="77777777" w:rsidR="005705FC" w:rsidRPr="00B8072D" w:rsidRDefault="005705FC" w:rsidP="005705FC">
      <w:pPr>
        <w:spacing w:after="0" w:line="240" w:lineRule="auto"/>
        <w:rPr>
          <w:rFonts w:ascii="Arial" w:hAnsi="Arial" w:cs="Arial"/>
          <w:b/>
          <w:bCs/>
          <w:sz w:val="21"/>
          <w:szCs w:val="21"/>
          <w:lang w:val="es-PE"/>
        </w:rPr>
      </w:pPr>
    </w:p>
    <w:p w14:paraId="47938120" w14:textId="77777777" w:rsidR="005705FC" w:rsidRPr="00B8072D" w:rsidRDefault="005705FC" w:rsidP="005705FC">
      <w:pPr>
        <w:spacing w:after="0" w:line="240" w:lineRule="auto"/>
        <w:jc w:val="both"/>
        <w:outlineLvl w:val="0"/>
        <w:rPr>
          <w:rFonts w:ascii="Arial" w:hAnsi="Arial" w:cs="Arial"/>
          <w:b/>
          <w:bCs/>
          <w:sz w:val="21"/>
          <w:szCs w:val="21"/>
          <w:lang w:val="es-PE"/>
        </w:rPr>
      </w:pPr>
      <w:r w:rsidRPr="00B8072D">
        <w:rPr>
          <w:rFonts w:ascii="Arial" w:hAnsi="Arial" w:cs="Arial"/>
          <w:b/>
          <w:bCs/>
          <w:sz w:val="21"/>
          <w:szCs w:val="21"/>
          <w:lang w:val="es-PE"/>
        </w:rPr>
        <w:t>Vistos:</w:t>
      </w:r>
    </w:p>
    <w:p w14:paraId="00CD925A" w14:textId="77777777" w:rsidR="005705FC" w:rsidRPr="00B8072D" w:rsidRDefault="005705FC" w:rsidP="005705FC">
      <w:pPr>
        <w:spacing w:after="0" w:line="240" w:lineRule="auto"/>
        <w:jc w:val="both"/>
        <w:rPr>
          <w:rFonts w:ascii="Arial" w:hAnsi="Arial" w:cs="Arial"/>
          <w:b/>
          <w:bCs/>
          <w:sz w:val="21"/>
          <w:szCs w:val="21"/>
          <w:lang w:val="es-PE"/>
        </w:rPr>
      </w:pPr>
    </w:p>
    <w:p w14:paraId="6974457C" w14:textId="5202C4BE" w:rsidR="00243B37" w:rsidRPr="00B8072D" w:rsidRDefault="005705FC" w:rsidP="005705F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hAnsi="Arial" w:cs="Arial"/>
          <w:sz w:val="21"/>
          <w:szCs w:val="21"/>
          <w:lang w:val="es-PE"/>
        </w:rPr>
      </w:pPr>
      <w:r w:rsidRPr="00B8072D">
        <w:rPr>
          <w:rFonts w:ascii="Arial" w:hAnsi="Arial" w:cs="Arial"/>
          <w:sz w:val="21"/>
          <w:szCs w:val="21"/>
          <w:lang w:val="es-PE"/>
        </w:rPr>
        <w:t>Que, con fecha 0</w:t>
      </w:r>
      <w:r w:rsidR="00243B37" w:rsidRPr="00B8072D">
        <w:rPr>
          <w:rFonts w:ascii="Arial" w:hAnsi="Arial" w:cs="Arial"/>
          <w:sz w:val="21"/>
          <w:szCs w:val="21"/>
          <w:lang w:val="es-PE"/>
        </w:rPr>
        <w:t>5</w:t>
      </w:r>
      <w:r w:rsidRPr="00B8072D">
        <w:rPr>
          <w:rFonts w:ascii="Arial" w:hAnsi="Arial" w:cs="Arial"/>
          <w:sz w:val="21"/>
          <w:szCs w:val="21"/>
          <w:lang w:val="es-PE"/>
        </w:rPr>
        <w:t xml:space="preserve"> de </w:t>
      </w:r>
      <w:r w:rsidR="00243B37" w:rsidRPr="00B8072D">
        <w:rPr>
          <w:rFonts w:ascii="Arial" w:hAnsi="Arial" w:cs="Arial"/>
          <w:sz w:val="21"/>
          <w:szCs w:val="21"/>
          <w:lang w:val="es-PE"/>
        </w:rPr>
        <w:t xml:space="preserve">setiembre </w:t>
      </w:r>
      <w:r w:rsidRPr="00B8072D">
        <w:rPr>
          <w:rFonts w:ascii="Arial" w:hAnsi="Arial" w:cs="Arial"/>
          <w:sz w:val="21"/>
          <w:szCs w:val="21"/>
          <w:lang w:val="es-PE"/>
        </w:rPr>
        <w:t xml:space="preserve">de 2019 </w:t>
      </w:r>
      <w:proofErr w:type="gramStart"/>
      <w:r w:rsidR="00243B37" w:rsidRPr="00B8072D">
        <w:rPr>
          <w:rFonts w:ascii="Arial" w:hAnsi="Arial" w:cs="Arial"/>
          <w:sz w:val="21"/>
          <w:szCs w:val="21"/>
          <w:lang w:val="es-PE"/>
        </w:rPr>
        <w:t xml:space="preserve">don </w:t>
      </w:r>
      <w:r w:rsidR="00C877A4">
        <w:rPr>
          <w:rFonts w:ascii="Arial" w:hAnsi="Arial" w:cs="Arial"/>
          <w:sz w:val="21"/>
          <w:szCs w:val="21"/>
          <w:lang w:val="es-PE"/>
        </w:rPr>
        <w:t>.................................</w:t>
      </w:r>
      <w:proofErr w:type="gramEnd"/>
      <w:r w:rsidRPr="00B8072D">
        <w:rPr>
          <w:rFonts w:ascii="Arial" w:hAnsi="Arial" w:cs="Arial"/>
          <w:sz w:val="21"/>
          <w:szCs w:val="21"/>
          <w:lang w:val="es-PE"/>
        </w:rPr>
        <w:t xml:space="preserve"> interpone reclamación ante esta Defensoría del Asegurado (DEFASEG) solicitando que </w:t>
      </w:r>
      <w:r w:rsidR="00C877A4">
        <w:rPr>
          <w:rFonts w:ascii="Arial" w:hAnsi="Arial" w:cs="Arial"/>
          <w:sz w:val="21"/>
          <w:szCs w:val="21"/>
          <w:lang w:val="es-PE"/>
        </w:rPr>
        <w:t>.................................</w:t>
      </w:r>
      <w:r w:rsidRPr="00B8072D">
        <w:rPr>
          <w:rFonts w:ascii="Arial" w:hAnsi="Arial" w:cs="Arial"/>
          <w:sz w:val="21"/>
          <w:szCs w:val="21"/>
          <w:lang w:val="es-PE"/>
        </w:rPr>
        <w:t xml:space="preserve"> SEGUROS otorgue cobertura por</w:t>
      </w:r>
      <w:r w:rsidR="00243B37" w:rsidRPr="00B8072D">
        <w:rPr>
          <w:rFonts w:ascii="Arial" w:hAnsi="Arial" w:cs="Arial"/>
          <w:sz w:val="21"/>
          <w:szCs w:val="21"/>
          <w:lang w:val="es-PE"/>
        </w:rPr>
        <w:t xml:space="preserve"> la sustracción de dinero en efectivo retirado de cajero automático </w:t>
      </w:r>
      <w:r w:rsidRPr="00B8072D">
        <w:rPr>
          <w:rFonts w:ascii="Arial" w:hAnsi="Arial" w:cs="Arial"/>
          <w:sz w:val="21"/>
          <w:szCs w:val="21"/>
          <w:lang w:val="es-PE"/>
        </w:rPr>
        <w:t xml:space="preserve">conforme a la Póliza de </w:t>
      </w:r>
      <w:r w:rsidR="00243B37" w:rsidRPr="00B8072D">
        <w:rPr>
          <w:rFonts w:ascii="Arial" w:hAnsi="Arial" w:cs="Arial"/>
          <w:sz w:val="21"/>
          <w:szCs w:val="21"/>
          <w:lang w:val="es-PE"/>
        </w:rPr>
        <w:t>Seguro Protección de Tarjetas N</w:t>
      </w:r>
      <w:proofErr w:type="gramStart"/>
      <w:r w:rsidR="00243B37" w:rsidRPr="00B8072D">
        <w:rPr>
          <w:rFonts w:ascii="Arial" w:hAnsi="Arial" w:cs="Arial"/>
          <w:sz w:val="21"/>
          <w:szCs w:val="21"/>
          <w:lang w:val="es-PE"/>
        </w:rPr>
        <w:t xml:space="preserve">° </w:t>
      </w:r>
      <w:r w:rsidR="00C877A4">
        <w:rPr>
          <w:rFonts w:ascii="Arial" w:hAnsi="Arial" w:cs="Arial"/>
          <w:sz w:val="21"/>
          <w:szCs w:val="21"/>
          <w:lang w:val="es-PE"/>
        </w:rPr>
        <w:t>.................................</w:t>
      </w:r>
      <w:r w:rsidR="00243B37" w:rsidRPr="00B8072D">
        <w:rPr>
          <w:rFonts w:ascii="Arial" w:hAnsi="Arial" w:cs="Arial"/>
          <w:sz w:val="21"/>
          <w:szCs w:val="21"/>
          <w:lang w:val="es-PE"/>
        </w:rPr>
        <w:t>.</w:t>
      </w:r>
      <w:proofErr w:type="gramEnd"/>
    </w:p>
    <w:p w14:paraId="2C9A8821" w14:textId="77777777" w:rsidR="00243B37" w:rsidRPr="00B8072D" w:rsidRDefault="00243B37" w:rsidP="005705F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hAnsi="Arial" w:cs="Arial"/>
          <w:sz w:val="21"/>
          <w:szCs w:val="21"/>
          <w:lang w:val="es-PE"/>
        </w:rPr>
      </w:pPr>
    </w:p>
    <w:p w14:paraId="3F653660" w14:textId="77777777" w:rsidR="005705FC" w:rsidRPr="00B8072D" w:rsidRDefault="005705FC" w:rsidP="005705FC">
      <w:pPr>
        <w:spacing w:after="0" w:line="240" w:lineRule="auto"/>
        <w:jc w:val="both"/>
        <w:rPr>
          <w:rFonts w:ascii="Arial" w:eastAsia="Arial Unicode MS" w:hAnsi="Arial" w:cs="Arial"/>
          <w:sz w:val="21"/>
          <w:szCs w:val="21"/>
          <w:lang w:val="es-PE"/>
        </w:rPr>
      </w:pPr>
      <w:r w:rsidRPr="00B8072D">
        <w:rPr>
          <w:rFonts w:ascii="Arial" w:eastAsia="Arial Unicode MS" w:hAnsi="Arial" w:cs="Arial"/>
          <w:sz w:val="21"/>
          <w:szCs w:val="21"/>
          <w:lang w:val="es-PE"/>
        </w:rPr>
        <w:t>Que, la señalada reclamación cumple con los requisitos de materia, cuantía y oportunidad establecidos en el Reglamento de la DEFASEG (http://www.defaseg.com.pe/reglamento);</w:t>
      </w:r>
    </w:p>
    <w:p w14:paraId="28E3D94B" w14:textId="77777777" w:rsidR="005705FC" w:rsidRPr="00B8072D" w:rsidRDefault="005705FC" w:rsidP="005705FC">
      <w:pPr>
        <w:tabs>
          <w:tab w:val="left" w:pos="2160"/>
        </w:tabs>
        <w:spacing w:after="0" w:line="240" w:lineRule="auto"/>
        <w:jc w:val="both"/>
        <w:rPr>
          <w:rFonts w:ascii="Arial" w:hAnsi="Arial" w:cs="Arial"/>
          <w:sz w:val="21"/>
          <w:szCs w:val="21"/>
          <w:lang w:val="es-PE"/>
        </w:rPr>
      </w:pPr>
    </w:p>
    <w:p w14:paraId="4813D29C" w14:textId="77777777" w:rsidR="005705FC" w:rsidRPr="00B8072D" w:rsidRDefault="005705FC" w:rsidP="005705FC">
      <w:pPr>
        <w:tabs>
          <w:tab w:val="num" w:pos="720"/>
        </w:tabs>
        <w:spacing w:after="0" w:line="240" w:lineRule="auto"/>
        <w:jc w:val="both"/>
        <w:rPr>
          <w:rFonts w:ascii="Arial" w:hAnsi="Arial" w:cs="Arial"/>
          <w:sz w:val="21"/>
          <w:szCs w:val="21"/>
          <w:lang w:val="es-PE"/>
        </w:rPr>
      </w:pPr>
      <w:r w:rsidRPr="00B8072D">
        <w:rPr>
          <w:rFonts w:ascii="Arial" w:hAnsi="Arial" w:cs="Arial"/>
          <w:sz w:val="21"/>
          <w:szCs w:val="21"/>
          <w:lang w:val="es-PE"/>
        </w:rPr>
        <w:t xml:space="preserve">Que, habiéndosele corrido traslado de la respectiva reclamación, la aseguradora </w:t>
      </w:r>
      <w:r w:rsidR="00243B37" w:rsidRPr="00B8072D">
        <w:rPr>
          <w:rFonts w:ascii="Arial" w:hAnsi="Arial" w:cs="Arial"/>
          <w:sz w:val="21"/>
          <w:szCs w:val="21"/>
          <w:lang w:val="es-PE"/>
        </w:rPr>
        <w:t>presentó sus descargos el 24 de octubre de 2019 sin justificar la demora incurrida.</w:t>
      </w:r>
    </w:p>
    <w:p w14:paraId="3B8385A3" w14:textId="77777777" w:rsidR="005705FC" w:rsidRPr="00B8072D" w:rsidRDefault="005705FC" w:rsidP="005705FC">
      <w:pPr>
        <w:tabs>
          <w:tab w:val="num" w:pos="720"/>
        </w:tabs>
        <w:spacing w:after="0" w:line="240" w:lineRule="auto"/>
        <w:jc w:val="both"/>
        <w:rPr>
          <w:rFonts w:ascii="Arial" w:hAnsi="Arial" w:cs="Arial"/>
          <w:sz w:val="21"/>
          <w:szCs w:val="21"/>
          <w:lang w:val="es-PE"/>
        </w:rPr>
      </w:pPr>
      <w:r w:rsidRPr="00B8072D">
        <w:rPr>
          <w:rFonts w:ascii="Arial" w:hAnsi="Arial" w:cs="Arial"/>
          <w:sz w:val="21"/>
          <w:szCs w:val="21"/>
          <w:lang w:val="es-PE"/>
        </w:rPr>
        <w:t xml:space="preserve"> </w:t>
      </w:r>
    </w:p>
    <w:p w14:paraId="3FAA8552" w14:textId="77777777" w:rsidR="00243B37" w:rsidRPr="00B8072D" w:rsidRDefault="00243B37" w:rsidP="00243B37">
      <w:pPr>
        <w:tabs>
          <w:tab w:val="num" w:pos="720"/>
        </w:tabs>
        <w:jc w:val="both"/>
        <w:rPr>
          <w:rFonts w:ascii="Arial" w:hAnsi="Arial" w:cs="Arial"/>
          <w:sz w:val="21"/>
          <w:szCs w:val="21"/>
          <w:lang w:val="es-PE"/>
        </w:rPr>
      </w:pPr>
      <w:r w:rsidRPr="00B8072D">
        <w:rPr>
          <w:rFonts w:ascii="Arial" w:hAnsi="Arial" w:cs="Arial"/>
          <w:sz w:val="21"/>
          <w:szCs w:val="21"/>
          <w:lang w:val="es-PE"/>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0BC98318" w14:textId="77777777" w:rsidR="00243B37" w:rsidRPr="00B8072D" w:rsidRDefault="00243B37" w:rsidP="00243B37">
      <w:pPr>
        <w:tabs>
          <w:tab w:val="num" w:pos="720"/>
        </w:tabs>
        <w:spacing w:after="0" w:line="240" w:lineRule="auto"/>
        <w:jc w:val="both"/>
        <w:rPr>
          <w:rFonts w:ascii="Arial" w:hAnsi="Arial" w:cs="Arial"/>
          <w:sz w:val="21"/>
          <w:szCs w:val="21"/>
          <w:lang w:val="es-PE"/>
        </w:rPr>
      </w:pPr>
      <w:r w:rsidRPr="00B8072D">
        <w:rPr>
          <w:rFonts w:ascii="Arial" w:hAnsi="Arial" w:cs="Arial"/>
          <w:sz w:val="21"/>
          <w:szCs w:val="21"/>
          <w:lang w:val="es-PE"/>
        </w:rPr>
        <w:t xml:space="preserve">Que, el 04 de noviembre de 2019 se realizó la audiencia de vista con la sola concurrencia de la aseguradora, la que sustentó su posición, absolviendo las preguntas formuladas por este colegiado, conforme consta </w:t>
      </w:r>
      <w:r w:rsidRPr="00B8072D">
        <w:rPr>
          <w:rFonts w:ascii="Arial" w:hAnsi="Arial" w:cs="Arial"/>
          <w:sz w:val="21"/>
          <w:szCs w:val="21"/>
          <w:lang w:val="es-419"/>
        </w:rPr>
        <w:t>en</w:t>
      </w:r>
      <w:r w:rsidRPr="00B8072D">
        <w:rPr>
          <w:rFonts w:ascii="Arial" w:hAnsi="Arial" w:cs="Arial"/>
          <w:sz w:val="21"/>
          <w:szCs w:val="21"/>
          <w:lang w:val="es-PE"/>
        </w:rPr>
        <w:t xml:space="preserve"> la correspondiente acta, dejándose constancia de la inasistencia de la parte reclamante pese a haber sido debidamente convocada</w:t>
      </w:r>
      <w:r w:rsidRPr="00B8072D">
        <w:rPr>
          <w:rFonts w:ascii="Arial" w:hAnsi="Arial" w:cs="Arial"/>
          <w:sz w:val="21"/>
          <w:szCs w:val="21"/>
          <w:lang w:val="es-419"/>
        </w:rPr>
        <w:t>;</w:t>
      </w:r>
      <w:r w:rsidRPr="00B8072D">
        <w:rPr>
          <w:rFonts w:ascii="Arial" w:hAnsi="Arial" w:cs="Arial"/>
          <w:sz w:val="21"/>
          <w:szCs w:val="21"/>
          <w:lang w:val="es-PE"/>
        </w:rPr>
        <w:t xml:space="preserve"> </w:t>
      </w:r>
    </w:p>
    <w:p w14:paraId="4CB6DD33" w14:textId="77777777" w:rsidR="00243B37" w:rsidRPr="00B8072D" w:rsidRDefault="00243B37" w:rsidP="00243B37">
      <w:pPr>
        <w:spacing w:after="0" w:line="240" w:lineRule="auto"/>
        <w:jc w:val="both"/>
        <w:rPr>
          <w:rFonts w:ascii="Arial" w:hAnsi="Arial" w:cs="Arial"/>
          <w:sz w:val="21"/>
          <w:szCs w:val="21"/>
          <w:lang w:val="es-PE"/>
        </w:rPr>
      </w:pPr>
    </w:p>
    <w:p w14:paraId="1E50D12F" w14:textId="5521EC13" w:rsidR="00243B37" w:rsidRPr="00B8072D" w:rsidRDefault="00243B37" w:rsidP="00243B37">
      <w:pPr>
        <w:spacing w:after="0" w:line="240" w:lineRule="auto"/>
        <w:jc w:val="both"/>
        <w:rPr>
          <w:rFonts w:ascii="Arial" w:hAnsi="Arial" w:cs="Arial"/>
          <w:sz w:val="21"/>
          <w:szCs w:val="21"/>
          <w:lang w:val="es-PE"/>
        </w:rPr>
      </w:pPr>
      <w:r w:rsidRPr="00B8072D">
        <w:rPr>
          <w:rFonts w:ascii="Arial" w:hAnsi="Arial" w:cs="Arial"/>
          <w:sz w:val="21"/>
          <w:szCs w:val="21"/>
          <w:lang w:val="es-PE"/>
        </w:rPr>
        <w:t xml:space="preserve">Que, en síntesis, la posición del reclamante es la siguiente: a) El 04/04/2019 efectuó un retiro de S/ 2,500 en el cajero automático del </w:t>
      </w:r>
      <w:r w:rsidR="00C877A4">
        <w:rPr>
          <w:rFonts w:ascii="Arial" w:hAnsi="Arial" w:cs="Arial"/>
          <w:sz w:val="21"/>
          <w:szCs w:val="21"/>
          <w:lang w:val="es-PE"/>
        </w:rPr>
        <w:t>.................................</w:t>
      </w:r>
      <w:r w:rsidRPr="00B8072D">
        <w:rPr>
          <w:rFonts w:ascii="Arial" w:hAnsi="Arial" w:cs="Arial"/>
          <w:sz w:val="21"/>
          <w:szCs w:val="21"/>
          <w:lang w:val="es-PE"/>
        </w:rPr>
        <w:t>; b) en circunstancias que se encontraba en un vehículo de transporte público, dos desconocidos ubicados a ambos lados de su persona propiciaron una aparente discusión recibiendo de uno de ellos un empujón, y al increparle le amenazó con un filudo desarmador</w:t>
      </w:r>
      <w:r w:rsidR="003825CE" w:rsidRPr="00B8072D">
        <w:rPr>
          <w:rFonts w:ascii="Arial" w:hAnsi="Arial" w:cs="Arial"/>
          <w:sz w:val="21"/>
          <w:szCs w:val="21"/>
          <w:lang w:val="es-PE"/>
        </w:rPr>
        <w:t xml:space="preserve">, luego de lo cual </w:t>
      </w:r>
      <w:r w:rsidR="003A5700" w:rsidRPr="00B8072D">
        <w:rPr>
          <w:rFonts w:ascii="Arial" w:hAnsi="Arial" w:cs="Arial"/>
          <w:sz w:val="21"/>
          <w:szCs w:val="21"/>
          <w:lang w:val="es-PE"/>
        </w:rPr>
        <w:t xml:space="preserve">los desconocidos </w:t>
      </w:r>
      <w:r w:rsidRPr="00B8072D">
        <w:rPr>
          <w:rFonts w:ascii="Arial" w:hAnsi="Arial" w:cs="Arial"/>
          <w:sz w:val="21"/>
          <w:szCs w:val="21"/>
          <w:lang w:val="es-PE"/>
        </w:rPr>
        <w:t xml:space="preserve">se dieron a la fuga; al recibir el empujón le habrían extraído de su bolsillo el monto retirado en el cajero; c) la aseguradora ha rechazado la cobertura porque considera que ello no es un robo, </w:t>
      </w:r>
      <w:r w:rsidR="00933C9E" w:rsidRPr="00B8072D">
        <w:rPr>
          <w:rFonts w:ascii="Arial" w:hAnsi="Arial" w:cs="Arial"/>
          <w:sz w:val="21"/>
          <w:szCs w:val="21"/>
          <w:lang w:val="es-PE"/>
        </w:rPr>
        <w:t xml:space="preserve">si no un hurto, conclusión de la cual </w:t>
      </w:r>
      <w:r w:rsidRPr="00B8072D">
        <w:rPr>
          <w:rFonts w:ascii="Arial" w:hAnsi="Arial" w:cs="Arial"/>
          <w:sz w:val="21"/>
          <w:szCs w:val="21"/>
          <w:lang w:val="es-PE"/>
        </w:rPr>
        <w:t>discrepa pues sí hubo amenaza y por tanto sí se configuró un robo, por lo que reclama la cobertura de seguro.</w:t>
      </w:r>
    </w:p>
    <w:p w14:paraId="1D75C1E2" w14:textId="77777777" w:rsidR="00243B37" w:rsidRPr="00B8072D" w:rsidRDefault="00243B37" w:rsidP="00243B37">
      <w:pPr>
        <w:spacing w:after="0" w:line="240" w:lineRule="auto"/>
        <w:jc w:val="both"/>
        <w:rPr>
          <w:rFonts w:ascii="Arial" w:hAnsi="Arial" w:cs="Arial"/>
          <w:sz w:val="21"/>
          <w:szCs w:val="21"/>
          <w:lang w:val="es-PE"/>
        </w:rPr>
      </w:pPr>
    </w:p>
    <w:p w14:paraId="499BAB5B" w14:textId="3A69893B" w:rsidR="00243B37" w:rsidRPr="00B8072D" w:rsidRDefault="00243B37" w:rsidP="00243B37">
      <w:pPr>
        <w:spacing w:after="0" w:line="240" w:lineRule="auto"/>
        <w:jc w:val="both"/>
        <w:rPr>
          <w:rFonts w:ascii="Arial" w:hAnsi="Arial" w:cs="Arial"/>
          <w:sz w:val="21"/>
          <w:szCs w:val="21"/>
          <w:lang w:val="es-PE"/>
        </w:rPr>
      </w:pPr>
      <w:r w:rsidRPr="00B8072D">
        <w:rPr>
          <w:rFonts w:ascii="Arial" w:hAnsi="Arial" w:cs="Arial"/>
          <w:sz w:val="21"/>
          <w:szCs w:val="21"/>
          <w:lang w:val="es-PE"/>
        </w:rPr>
        <w:t xml:space="preserve">Que, por su parte y en resumen la compañía de seguros sostiene que: a) el reclamante contrató la póliza de seguro el 18/06/2018, b) el 04/04/2019 fue víctima de un hurto de S/2,500 que había retirado de un cajero automático reportando este hecho a la compañía; c) el 02/05/19  a través del </w:t>
      </w:r>
      <w:r w:rsidR="00C877A4">
        <w:rPr>
          <w:rFonts w:ascii="Arial" w:hAnsi="Arial" w:cs="Arial"/>
          <w:sz w:val="21"/>
          <w:szCs w:val="21"/>
          <w:lang w:val="es-PE"/>
        </w:rPr>
        <w:t>.................................</w:t>
      </w:r>
      <w:r w:rsidRPr="00B8072D">
        <w:rPr>
          <w:rFonts w:ascii="Arial" w:hAnsi="Arial" w:cs="Arial"/>
          <w:sz w:val="21"/>
          <w:szCs w:val="21"/>
          <w:lang w:val="es-PE"/>
        </w:rPr>
        <w:t xml:space="preserve"> se comunicó al asegurado la aprobación parcial de la cobertura únicamente por el monto de S/.18.50 por duplicado de documentos como consecuencia de hurto; d) el 4/05/2019 el  asegurado presentó un reclamo al no estar de acuerdo con la posición de la compañía; e) el 20/05/2019 respondieron el reclamo indicando que el hecho se encontraba fuera de la cobertura contratada al tratarse de un hurto y no de un robo como exige la póliza; f) de la denuncia policial se aprecia que hubo una discusión en la que una de las personas empleó un desarmador durante la misma, pero que fue en un momento distinto en que el reclamante fue víctima de una sustracción de dinero, reconociendo que no sabe en qué momento ocurrió, ni quién o quiénes fueron los sujetos que efectuaron dicha sustracción; es claro que los hechos narrados por el reclamante constituyen un hurto y no un robo y por ello la misma PNP tipificó el delito como un hurto; g) el uso del desarmador por parte del sujetó que discutió con el reclamante no fue empleado directamente para la sustracción del dinero, sino solo por la discusión; y aun cuando se concluyera que dichos sujetos le sustrajeron el dinero, esto no desvirtúa que estemos ante un hurto toda vez que el uso del desarmador fue empleador como un distractor, aprovechando así el descuido del señor Jaramillo para el hurto de su dinero; tan es así que se percató de la ausencia de su </w:t>
      </w:r>
      <w:r w:rsidRPr="00B8072D">
        <w:rPr>
          <w:rFonts w:ascii="Arial" w:hAnsi="Arial" w:cs="Arial"/>
          <w:sz w:val="21"/>
          <w:szCs w:val="21"/>
          <w:lang w:val="es-PE"/>
        </w:rPr>
        <w:lastRenderedPageBreak/>
        <w:t>dinero 10 minutos después de la discusión, presumiendo que los sujetos que le sustrajeron el dinero serían los mismos con los que discutió; respaldar lo alegado por el asegurado sería incurrir en la falacia de la causa falsa, que consiste en asumir que si un acontecimiento sucede a otro, el segundo es consecuencia del rimero, la falacia viene de sacar una conclusión basándose solo en el orden de los acontecimientos; h) que el rechazo de dicha cobertura ha sido realizada conforme a derecho por lo que debe declararse infundado el reclamo.</w:t>
      </w:r>
    </w:p>
    <w:p w14:paraId="74099AFF" w14:textId="77777777" w:rsidR="00243B37" w:rsidRPr="00B8072D" w:rsidRDefault="00243B37" w:rsidP="00243B37">
      <w:pPr>
        <w:spacing w:after="0" w:line="240" w:lineRule="auto"/>
        <w:jc w:val="both"/>
        <w:rPr>
          <w:rFonts w:ascii="Arial" w:hAnsi="Arial" w:cs="Arial"/>
          <w:sz w:val="21"/>
          <w:szCs w:val="21"/>
          <w:lang w:val="es-PE"/>
        </w:rPr>
      </w:pPr>
    </w:p>
    <w:p w14:paraId="2F8C19C8" w14:textId="77777777" w:rsidR="00243B37" w:rsidRPr="00B8072D" w:rsidRDefault="00243B37" w:rsidP="00243B37">
      <w:pPr>
        <w:jc w:val="both"/>
        <w:rPr>
          <w:rFonts w:ascii="Arial" w:hAnsi="Arial" w:cs="Arial"/>
          <w:b/>
          <w:sz w:val="21"/>
          <w:szCs w:val="21"/>
          <w:lang w:val="es-PE"/>
        </w:rPr>
      </w:pPr>
      <w:r w:rsidRPr="00B8072D">
        <w:rPr>
          <w:rFonts w:ascii="Arial" w:hAnsi="Arial" w:cs="Arial"/>
          <w:b/>
          <w:sz w:val="21"/>
          <w:szCs w:val="21"/>
          <w:lang w:val="es-PE"/>
        </w:rPr>
        <w:t xml:space="preserve">CONSIDERANDO: </w:t>
      </w:r>
    </w:p>
    <w:p w14:paraId="2CC5CBEC" w14:textId="77777777" w:rsidR="00243B37" w:rsidRPr="00B8072D" w:rsidRDefault="00243B37" w:rsidP="00243B37">
      <w:pPr>
        <w:spacing w:after="0" w:line="240" w:lineRule="auto"/>
        <w:jc w:val="both"/>
        <w:rPr>
          <w:rFonts w:ascii="Arial" w:hAnsi="Arial" w:cs="Arial"/>
          <w:sz w:val="21"/>
          <w:szCs w:val="21"/>
          <w:lang w:val="es-PE"/>
        </w:rPr>
      </w:pPr>
      <w:r w:rsidRPr="00B8072D">
        <w:rPr>
          <w:rFonts w:ascii="Arial" w:hAnsi="Arial" w:cs="Arial"/>
          <w:b/>
          <w:sz w:val="21"/>
          <w:szCs w:val="21"/>
          <w:u w:val="single"/>
          <w:lang w:val="es-PE"/>
        </w:rPr>
        <w:t>PRIMERO</w:t>
      </w:r>
      <w:r w:rsidRPr="00B8072D">
        <w:rPr>
          <w:rFonts w:ascii="Arial" w:hAnsi="Arial" w:cs="Arial"/>
          <w:sz w:val="21"/>
          <w:szCs w:val="21"/>
          <w:lang w:val="es-PE"/>
        </w:rPr>
        <w:t>: Conforme al Reglamento de la Defensoría del Asegurado,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B2CF467" w14:textId="77777777" w:rsidR="00243B37" w:rsidRPr="00B8072D" w:rsidRDefault="00243B37" w:rsidP="00243B37">
      <w:pPr>
        <w:spacing w:after="0" w:line="240" w:lineRule="auto"/>
        <w:jc w:val="both"/>
        <w:rPr>
          <w:rStyle w:val="Textoennegrita"/>
          <w:rFonts w:ascii="Arial" w:hAnsi="Arial" w:cs="Arial"/>
          <w:sz w:val="21"/>
          <w:szCs w:val="21"/>
          <w:u w:val="single"/>
          <w:lang w:val="es-PE"/>
        </w:rPr>
      </w:pPr>
    </w:p>
    <w:p w14:paraId="46A8DAD3" w14:textId="77777777" w:rsidR="00243B37" w:rsidRPr="00B8072D" w:rsidRDefault="00243B37" w:rsidP="00243B37">
      <w:pPr>
        <w:spacing w:after="0" w:line="240" w:lineRule="auto"/>
        <w:jc w:val="both"/>
        <w:rPr>
          <w:rFonts w:ascii="Arial" w:hAnsi="Arial" w:cs="Arial"/>
          <w:sz w:val="21"/>
          <w:szCs w:val="21"/>
          <w:lang w:val="es-PE"/>
        </w:rPr>
      </w:pPr>
      <w:r w:rsidRPr="00B8072D">
        <w:rPr>
          <w:rStyle w:val="Textoennegrita"/>
          <w:rFonts w:ascii="Arial" w:hAnsi="Arial" w:cs="Arial"/>
          <w:sz w:val="21"/>
          <w:szCs w:val="21"/>
          <w:u w:val="single"/>
          <w:lang w:val="es-PE"/>
        </w:rPr>
        <w:t>SEGUNDO</w:t>
      </w:r>
      <w:r w:rsidRPr="00B8072D">
        <w:rPr>
          <w:rStyle w:val="Textoennegrita"/>
          <w:rFonts w:ascii="Arial" w:hAnsi="Arial" w:cs="Arial"/>
          <w:sz w:val="21"/>
          <w:szCs w:val="21"/>
          <w:lang w:val="es-PE"/>
        </w:rPr>
        <w:t xml:space="preserve">: </w:t>
      </w:r>
      <w:r w:rsidRPr="00B8072D">
        <w:rPr>
          <w:rFonts w:ascii="Arial" w:hAnsi="Arial" w:cs="Arial"/>
          <w:sz w:val="21"/>
          <w:szCs w:val="21"/>
          <w:lang w:val="es-PE"/>
        </w:rPr>
        <w:t>Asimismo, de acuerdo a 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56DFAE76" w14:textId="77777777" w:rsidR="00243B37" w:rsidRPr="00B8072D" w:rsidRDefault="00243B37" w:rsidP="00243B37">
      <w:pPr>
        <w:spacing w:after="0" w:line="240" w:lineRule="auto"/>
        <w:jc w:val="both"/>
        <w:rPr>
          <w:rStyle w:val="Textoennegrita"/>
          <w:rFonts w:ascii="Arial" w:hAnsi="Arial" w:cs="Arial"/>
          <w:sz w:val="21"/>
          <w:szCs w:val="21"/>
          <w:u w:val="single"/>
          <w:lang w:val="es-PE"/>
        </w:rPr>
      </w:pPr>
    </w:p>
    <w:p w14:paraId="5E34CE97" w14:textId="77777777" w:rsidR="00243B37" w:rsidRPr="00B8072D" w:rsidRDefault="00243B37" w:rsidP="00243B37">
      <w:pPr>
        <w:spacing w:after="0" w:line="240" w:lineRule="auto"/>
        <w:jc w:val="both"/>
        <w:rPr>
          <w:rFonts w:ascii="Arial" w:hAnsi="Arial" w:cs="Arial"/>
          <w:sz w:val="21"/>
          <w:szCs w:val="21"/>
          <w:lang w:val="es-PE"/>
        </w:rPr>
      </w:pPr>
      <w:r w:rsidRPr="00B8072D">
        <w:rPr>
          <w:rStyle w:val="Textoennegrita"/>
          <w:rFonts w:ascii="Arial" w:hAnsi="Arial" w:cs="Arial"/>
          <w:sz w:val="21"/>
          <w:szCs w:val="21"/>
          <w:u w:val="single"/>
          <w:lang w:val="es-PE"/>
        </w:rPr>
        <w:t>TERCERO</w:t>
      </w:r>
      <w:r w:rsidRPr="00B8072D">
        <w:rPr>
          <w:rStyle w:val="Textoennegrita"/>
          <w:rFonts w:ascii="Arial" w:hAnsi="Arial" w:cs="Arial"/>
          <w:sz w:val="21"/>
          <w:szCs w:val="21"/>
          <w:lang w:val="es-PE"/>
        </w:rPr>
        <w:t>:</w:t>
      </w:r>
      <w:r w:rsidRPr="00B8072D">
        <w:rPr>
          <w:rFonts w:ascii="Arial" w:hAnsi="Arial" w:cs="Arial"/>
          <w:sz w:val="21"/>
          <w:szCs w:val="21"/>
          <w:lang w:val="es-PE"/>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2AE65C03" w14:textId="77777777" w:rsidR="00243B37" w:rsidRPr="00B8072D" w:rsidRDefault="00243B37" w:rsidP="00243B37">
      <w:pPr>
        <w:spacing w:after="0" w:line="240" w:lineRule="auto"/>
        <w:jc w:val="both"/>
        <w:rPr>
          <w:rFonts w:ascii="Arial" w:hAnsi="Arial" w:cs="Arial"/>
          <w:sz w:val="21"/>
          <w:szCs w:val="21"/>
          <w:lang w:val="es-PE"/>
        </w:rPr>
      </w:pPr>
    </w:p>
    <w:p w14:paraId="62649ACE" w14:textId="77777777" w:rsidR="00243B37" w:rsidRPr="00B8072D" w:rsidRDefault="00243B37" w:rsidP="00243B37">
      <w:pPr>
        <w:spacing w:after="0" w:line="240" w:lineRule="auto"/>
        <w:contextualSpacing/>
        <w:jc w:val="both"/>
        <w:rPr>
          <w:rFonts w:ascii="Arial" w:hAnsi="Arial" w:cs="Arial"/>
          <w:sz w:val="21"/>
          <w:szCs w:val="21"/>
          <w:lang w:val="es-PE"/>
        </w:rPr>
      </w:pPr>
      <w:r w:rsidRPr="00B8072D">
        <w:rPr>
          <w:rFonts w:ascii="Arial" w:hAnsi="Arial" w:cs="Arial"/>
          <w:b/>
          <w:sz w:val="21"/>
          <w:szCs w:val="21"/>
          <w:u w:val="single"/>
          <w:lang w:val="es-PE"/>
        </w:rPr>
        <w:t>CUARTO</w:t>
      </w:r>
      <w:r w:rsidRPr="00B8072D">
        <w:rPr>
          <w:rFonts w:ascii="Arial" w:hAnsi="Arial" w:cs="Arial"/>
          <w:b/>
          <w:sz w:val="21"/>
          <w:szCs w:val="21"/>
          <w:lang w:val="es-PE"/>
        </w:rPr>
        <w:t>:</w:t>
      </w:r>
      <w:r w:rsidRPr="00B8072D">
        <w:rPr>
          <w:rFonts w:ascii="Arial" w:hAnsi="Arial" w:cs="Arial"/>
          <w:sz w:val="21"/>
          <w:szCs w:val="21"/>
          <w:lang w:val="es-PE"/>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4893C81F" w14:textId="77777777" w:rsidR="00243B37" w:rsidRPr="00B8072D" w:rsidRDefault="00243B37" w:rsidP="00243B37">
      <w:pPr>
        <w:spacing w:after="0" w:line="240" w:lineRule="auto"/>
        <w:jc w:val="both"/>
        <w:rPr>
          <w:rStyle w:val="Textoennegrita"/>
          <w:rFonts w:ascii="Arial" w:hAnsi="Arial" w:cs="Arial"/>
          <w:sz w:val="21"/>
          <w:szCs w:val="21"/>
          <w:u w:val="single"/>
          <w:lang w:val="es-PE"/>
        </w:rPr>
      </w:pPr>
    </w:p>
    <w:p w14:paraId="68712DB1" w14:textId="77777777" w:rsidR="00243B37" w:rsidRPr="00B8072D" w:rsidRDefault="00243B37" w:rsidP="00243B37">
      <w:pPr>
        <w:spacing w:after="0" w:line="240" w:lineRule="auto"/>
        <w:jc w:val="both"/>
        <w:rPr>
          <w:rFonts w:ascii="Arial" w:hAnsi="Arial" w:cs="Arial"/>
          <w:bCs/>
          <w:sz w:val="21"/>
          <w:szCs w:val="21"/>
          <w:lang w:val="es-PE"/>
        </w:rPr>
      </w:pPr>
      <w:r w:rsidRPr="00B8072D">
        <w:rPr>
          <w:rStyle w:val="Textoennegrita"/>
          <w:rFonts w:ascii="Arial" w:hAnsi="Arial" w:cs="Arial"/>
          <w:sz w:val="21"/>
          <w:szCs w:val="21"/>
          <w:u w:val="single"/>
          <w:lang w:val="es-PE"/>
        </w:rPr>
        <w:t>QUINTO</w:t>
      </w:r>
      <w:r w:rsidRPr="00B8072D">
        <w:rPr>
          <w:rStyle w:val="Textoennegrita"/>
          <w:rFonts w:ascii="Arial" w:hAnsi="Arial" w:cs="Arial"/>
          <w:sz w:val="21"/>
          <w:szCs w:val="21"/>
          <w:lang w:val="es-PE"/>
        </w:rPr>
        <w:t xml:space="preserve">: </w:t>
      </w:r>
      <w:r w:rsidRPr="00B8072D">
        <w:rPr>
          <w:rStyle w:val="Textoennegrita"/>
          <w:rFonts w:ascii="Arial" w:hAnsi="Arial" w:cs="Arial"/>
          <w:b w:val="0"/>
          <w:bCs w:val="0"/>
          <w:sz w:val="21"/>
          <w:szCs w:val="21"/>
          <w:lang w:val="es-PE"/>
        </w:rPr>
        <w:t>En materia procesal</w:t>
      </w:r>
      <w:r w:rsidRPr="00B8072D">
        <w:rPr>
          <w:rFonts w:ascii="Arial" w:hAnsi="Arial" w:cs="Arial"/>
          <w:b/>
          <w:bCs/>
          <w:sz w:val="21"/>
          <w:szCs w:val="21"/>
          <w:lang w:val="es-PE"/>
        </w:rPr>
        <w:t>,</w:t>
      </w:r>
      <w:r w:rsidRPr="00B8072D">
        <w:rPr>
          <w:rFonts w:ascii="Arial" w:hAnsi="Arial" w:cs="Arial"/>
          <w:sz w:val="21"/>
          <w:szCs w:val="21"/>
          <w:lang w:val="es-PE"/>
        </w:rPr>
        <w:t xml:space="preserve"> corresponde a quien invoca hechos probar su existencia, carga procesal a la que refiere el artículo 196 del Código Procesal Civil, salvo que se acoja a alguna presunción legal de carácter relativo o absoluto.</w:t>
      </w:r>
    </w:p>
    <w:p w14:paraId="58F2D6BC" w14:textId="77777777" w:rsidR="00243B37" w:rsidRPr="00B8072D" w:rsidRDefault="00243B37" w:rsidP="00243B37">
      <w:pPr>
        <w:spacing w:after="0" w:line="240" w:lineRule="auto"/>
        <w:jc w:val="both"/>
        <w:rPr>
          <w:rFonts w:ascii="Arial" w:hAnsi="Arial" w:cs="Arial"/>
          <w:b/>
          <w:sz w:val="21"/>
          <w:szCs w:val="21"/>
          <w:u w:val="single"/>
          <w:lang w:val="es-PE"/>
        </w:rPr>
      </w:pPr>
    </w:p>
    <w:p w14:paraId="7724D8AA" w14:textId="77777777" w:rsidR="00243B37" w:rsidRPr="00B8072D" w:rsidRDefault="00243B37" w:rsidP="00243B37">
      <w:pPr>
        <w:spacing w:after="0" w:line="240" w:lineRule="auto"/>
        <w:jc w:val="both"/>
        <w:rPr>
          <w:rFonts w:ascii="Arial" w:hAnsi="Arial" w:cs="Arial"/>
          <w:sz w:val="21"/>
          <w:szCs w:val="21"/>
          <w:lang w:val="es-PE"/>
        </w:rPr>
      </w:pPr>
      <w:r w:rsidRPr="00B8072D">
        <w:rPr>
          <w:rFonts w:ascii="Arial" w:hAnsi="Arial" w:cs="Arial"/>
          <w:b/>
          <w:sz w:val="21"/>
          <w:szCs w:val="21"/>
          <w:u w:val="single"/>
          <w:lang w:val="es-PE"/>
        </w:rPr>
        <w:t>SEXTO</w:t>
      </w:r>
      <w:r w:rsidRPr="00B8072D">
        <w:rPr>
          <w:rFonts w:ascii="Arial" w:hAnsi="Arial" w:cs="Arial"/>
          <w:b/>
          <w:sz w:val="21"/>
          <w:szCs w:val="21"/>
          <w:lang w:val="es-PE"/>
        </w:rPr>
        <w:t>:</w:t>
      </w:r>
      <w:r w:rsidRPr="00B8072D">
        <w:rPr>
          <w:rFonts w:ascii="Arial" w:hAnsi="Arial" w:cs="Arial"/>
          <w:sz w:val="21"/>
          <w:szCs w:val="21"/>
          <w:lang w:val="es-PE"/>
        </w:rPr>
        <w:t xml:space="preserve"> De acuerdo a los términos contenidos en el rechazo, la reclamación y en la respectiva absolución, así como a lo tratado en la audiencia de vista, la solución de la presente controversia consiste en determinar si en el presente caso se ha configurado la cobertura de seguro otorgada por la póliza.</w:t>
      </w:r>
    </w:p>
    <w:p w14:paraId="5B98E0F3" w14:textId="77777777" w:rsidR="00243B37" w:rsidRPr="00B8072D" w:rsidRDefault="00243B37" w:rsidP="00243B37">
      <w:pPr>
        <w:spacing w:after="0" w:line="240" w:lineRule="auto"/>
        <w:jc w:val="both"/>
        <w:rPr>
          <w:rFonts w:ascii="Arial" w:hAnsi="Arial" w:cs="Arial"/>
          <w:sz w:val="21"/>
          <w:szCs w:val="21"/>
          <w:lang w:val="es-PE"/>
        </w:rPr>
      </w:pPr>
    </w:p>
    <w:p w14:paraId="12FAB966" w14:textId="28B327EE" w:rsidR="00EC5DA0" w:rsidRPr="00B8072D" w:rsidRDefault="00243B37" w:rsidP="00243B37">
      <w:pPr>
        <w:spacing w:after="0" w:line="240" w:lineRule="auto"/>
        <w:jc w:val="both"/>
        <w:rPr>
          <w:rFonts w:ascii="Arial" w:hAnsi="Arial" w:cs="Arial"/>
          <w:bCs/>
          <w:sz w:val="21"/>
          <w:szCs w:val="21"/>
          <w:lang w:val="es-PE"/>
        </w:rPr>
      </w:pPr>
      <w:r w:rsidRPr="00B8072D">
        <w:rPr>
          <w:rFonts w:ascii="Arial" w:hAnsi="Arial" w:cs="Arial"/>
          <w:b/>
          <w:sz w:val="21"/>
          <w:szCs w:val="21"/>
          <w:u w:val="single"/>
          <w:lang w:val="es-PE"/>
        </w:rPr>
        <w:t>SÉPTIMO</w:t>
      </w:r>
      <w:r w:rsidRPr="00B8072D">
        <w:rPr>
          <w:rFonts w:ascii="Arial" w:hAnsi="Arial" w:cs="Arial"/>
          <w:b/>
          <w:sz w:val="21"/>
          <w:szCs w:val="21"/>
          <w:lang w:val="es-PE"/>
        </w:rPr>
        <w:t xml:space="preserve">: </w:t>
      </w:r>
      <w:r w:rsidRPr="00B8072D">
        <w:rPr>
          <w:rFonts w:ascii="Arial" w:hAnsi="Arial" w:cs="Arial"/>
          <w:bCs/>
          <w:sz w:val="21"/>
          <w:szCs w:val="21"/>
          <w:lang w:val="es-PE"/>
        </w:rPr>
        <w:t>Revisadas las coberturas otorgadas por la póliza</w:t>
      </w:r>
      <w:r w:rsidR="000479D5" w:rsidRPr="00B8072D">
        <w:rPr>
          <w:rFonts w:ascii="Arial" w:hAnsi="Arial" w:cs="Arial"/>
          <w:bCs/>
          <w:sz w:val="21"/>
          <w:szCs w:val="21"/>
          <w:lang w:val="es-PE"/>
        </w:rPr>
        <w:t xml:space="preserve">, </w:t>
      </w:r>
      <w:r w:rsidRPr="00B8072D">
        <w:rPr>
          <w:rFonts w:ascii="Arial" w:hAnsi="Arial" w:cs="Arial"/>
          <w:bCs/>
          <w:sz w:val="21"/>
          <w:szCs w:val="21"/>
          <w:lang w:val="es-PE"/>
        </w:rPr>
        <w:t xml:space="preserve"> presentadas</w:t>
      </w:r>
      <w:r w:rsidR="000479D5" w:rsidRPr="00B8072D">
        <w:rPr>
          <w:rFonts w:ascii="Arial" w:hAnsi="Arial" w:cs="Arial"/>
          <w:bCs/>
          <w:sz w:val="21"/>
          <w:szCs w:val="21"/>
          <w:lang w:val="es-PE"/>
        </w:rPr>
        <w:t xml:space="preserve"> </w:t>
      </w:r>
      <w:r w:rsidRPr="00B8072D">
        <w:rPr>
          <w:rFonts w:ascii="Arial" w:hAnsi="Arial" w:cs="Arial"/>
          <w:bCs/>
          <w:sz w:val="21"/>
          <w:szCs w:val="21"/>
          <w:lang w:val="es-PE"/>
        </w:rPr>
        <w:t xml:space="preserve">por el propio asegurado, </w:t>
      </w:r>
      <w:r w:rsidR="000479D5" w:rsidRPr="00B8072D">
        <w:rPr>
          <w:rFonts w:ascii="Arial" w:hAnsi="Arial" w:cs="Arial"/>
          <w:bCs/>
          <w:sz w:val="21"/>
          <w:szCs w:val="21"/>
          <w:lang w:val="es-PE"/>
        </w:rPr>
        <w:t xml:space="preserve">se aprecia que </w:t>
      </w:r>
      <w:r w:rsidRPr="00B8072D">
        <w:rPr>
          <w:rFonts w:ascii="Arial" w:hAnsi="Arial" w:cs="Arial"/>
          <w:bCs/>
          <w:sz w:val="21"/>
          <w:szCs w:val="21"/>
          <w:lang w:val="es-PE"/>
        </w:rPr>
        <w:t>esta cubre</w:t>
      </w:r>
      <w:r w:rsidR="00EC5DA0" w:rsidRPr="00B8072D">
        <w:rPr>
          <w:rFonts w:ascii="Arial" w:hAnsi="Arial" w:cs="Arial"/>
          <w:bCs/>
          <w:sz w:val="21"/>
          <w:szCs w:val="21"/>
          <w:lang w:val="es-PE"/>
        </w:rPr>
        <w:t xml:space="preserve"> -entre otras coberturas- el “</w:t>
      </w:r>
      <w:r w:rsidR="00EC5DA0" w:rsidRPr="00B8072D">
        <w:rPr>
          <w:rFonts w:ascii="Arial" w:hAnsi="Arial" w:cs="Arial"/>
          <w:b/>
          <w:i/>
          <w:iCs/>
          <w:sz w:val="21"/>
          <w:szCs w:val="21"/>
          <w:u w:val="single"/>
          <w:lang w:val="es-PE"/>
        </w:rPr>
        <w:t>robo</w:t>
      </w:r>
      <w:r w:rsidR="00EC5DA0" w:rsidRPr="00B8072D">
        <w:rPr>
          <w:rFonts w:ascii="Arial" w:hAnsi="Arial" w:cs="Arial"/>
          <w:bCs/>
          <w:i/>
          <w:iCs/>
          <w:sz w:val="21"/>
          <w:szCs w:val="21"/>
          <w:lang w:val="es-PE"/>
        </w:rPr>
        <w:t xml:space="preserve"> de dinero extraído del cajero </w:t>
      </w:r>
      <w:r w:rsidR="00A008A8" w:rsidRPr="00B8072D">
        <w:rPr>
          <w:rFonts w:ascii="Arial" w:hAnsi="Arial" w:cs="Arial"/>
          <w:bCs/>
          <w:i/>
          <w:iCs/>
          <w:sz w:val="21"/>
          <w:szCs w:val="21"/>
          <w:lang w:val="es-PE"/>
        </w:rPr>
        <w:t>automático</w:t>
      </w:r>
      <w:r w:rsidR="00EC5DA0" w:rsidRPr="00B8072D">
        <w:rPr>
          <w:rFonts w:ascii="Arial" w:hAnsi="Arial" w:cs="Arial"/>
          <w:bCs/>
          <w:i/>
          <w:iCs/>
          <w:sz w:val="21"/>
          <w:szCs w:val="21"/>
          <w:lang w:val="es-PE"/>
        </w:rPr>
        <w:t xml:space="preserve"> con una tarjeta de crédito o débito </w:t>
      </w:r>
      <w:proofErr w:type="gramStart"/>
      <w:r w:rsidR="00EC5DA0" w:rsidRPr="00B8072D">
        <w:rPr>
          <w:rFonts w:ascii="Arial" w:hAnsi="Arial" w:cs="Arial"/>
          <w:bCs/>
          <w:i/>
          <w:iCs/>
          <w:sz w:val="21"/>
          <w:szCs w:val="21"/>
          <w:lang w:val="es-PE"/>
        </w:rPr>
        <w:t xml:space="preserve">del </w:t>
      </w:r>
      <w:r w:rsidR="00C877A4">
        <w:rPr>
          <w:rFonts w:ascii="Arial" w:hAnsi="Arial" w:cs="Arial"/>
          <w:bCs/>
          <w:i/>
          <w:iCs/>
          <w:sz w:val="21"/>
          <w:szCs w:val="21"/>
          <w:lang w:val="es-PE"/>
        </w:rPr>
        <w:t>.................................</w:t>
      </w:r>
      <w:proofErr w:type="gramEnd"/>
      <w:r w:rsidR="00960487" w:rsidRPr="00B8072D">
        <w:rPr>
          <w:rFonts w:ascii="Arial" w:hAnsi="Arial" w:cs="Arial"/>
          <w:bCs/>
          <w:i/>
          <w:iCs/>
          <w:sz w:val="21"/>
          <w:szCs w:val="21"/>
          <w:lang w:val="es-PE"/>
        </w:rPr>
        <w:t>”</w:t>
      </w:r>
      <w:r w:rsidR="00EC5DA0" w:rsidRPr="00B8072D">
        <w:rPr>
          <w:rFonts w:ascii="Arial" w:hAnsi="Arial" w:cs="Arial"/>
          <w:bCs/>
          <w:i/>
          <w:iCs/>
          <w:sz w:val="21"/>
          <w:szCs w:val="21"/>
          <w:lang w:val="es-PE"/>
        </w:rPr>
        <w:t xml:space="preserve">. </w:t>
      </w:r>
      <w:r w:rsidR="00960487" w:rsidRPr="00B8072D">
        <w:rPr>
          <w:rFonts w:ascii="Arial" w:hAnsi="Arial" w:cs="Arial"/>
          <w:bCs/>
          <w:i/>
          <w:iCs/>
          <w:sz w:val="21"/>
          <w:szCs w:val="21"/>
          <w:lang w:val="es-PE"/>
        </w:rPr>
        <w:t xml:space="preserve"> </w:t>
      </w:r>
      <w:r w:rsidR="00960487" w:rsidRPr="00B8072D">
        <w:rPr>
          <w:rFonts w:ascii="Arial" w:hAnsi="Arial" w:cs="Arial"/>
          <w:bCs/>
          <w:sz w:val="21"/>
          <w:szCs w:val="21"/>
          <w:lang w:val="es-PE"/>
        </w:rPr>
        <w:t>El subrayado y resaltado es nuestro.</w:t>
      </w:r>
    </w:p>
    <w:p w14:paraId="37A73FD8" w14:textId="77777777" w:rsidR="00EC5DA0" w:rsidRPr="00B8072D" w:rsidRDefault="00EC5DA0" w:rsidP="00243B37">
      <w:pPr>
        <w:spacing w:after="0" w:line="240" w:lineRule="auto"/>
        <w:jc w:val="both"/>
        <w:rPr>
          <w:rFonts w:ascii="Arial" w:hAnsi="Arial" w:cs="Arial"/>
          <w:bCs/>
          <w:sz w:val="21"/>
          <w:szCs w:val="21"/>
          <w:lang w:val="es-PE"/>
        </w:rPr>
      </w:pPr>
    </w:p>
    <w:p w14:paraId="26490761" w14:textId="7F0482D1" w:rsidR="00EC5DA0" w:rsidRPr="00B8072D" w:rsidRDefault="00EC5DA0" w:rsidP="00243B37">
      <w:pPr>
        <w:spacing w:after="0" w:line="240" w:lineRule="auto"/>
        <w:jc w:val="both"/>
        <w:rPr>
          <w:rFonts w:ascii="Arial" w:hAnsi="Arial" w:cs="Arial"/>
          <w:bCs/>
          <w:sz w:val="21"/>
          <w:szCs w:val="21"/>
          <w:lang w:val="es-PE"/>
        </w:rPr>
      </w:pPr>
      <w:r w:rsidRPr="00B8072D">
        <w:rPr>
          <w:rFonts w:ascii="Arial" w:hAnsi="Arial" w:cs="Arial"/>
          <w:bCs/>
          <w:sz w:val="21"/>
          <w:szCs w:val="21"/>
          <w:lang w:val="es-PE"/>
        </w:rPr>
        <w:t xml:space="preserve">Es importante indicar que la descripción de </w:t>
      </w:r>
      <w:r w:rsidR="00960487" w:rsidRPr="00B8072D">
        <w:rPr>
          <w:rFonts w:ascii="Arial" w:hAnsi="Arial" w:cs="Arial"/>
          <w:bCs/>
          <w:sz w:val="21"/>
          <w:szCs w:val="21"/>
          <w:lang w:val="es-PE"/>
        </w:rPr>
        <w:t xml:space="preserve">algunas </w:t>
      </w:r>
      <w:r w:rsidRPr="00B8072D">
        <w:rPr>
          <w:rFonts w:ascii="Arial" w:hAnsi="Arial" w:cs="Arial"/>
          <w:bCs/>
          <w:sz w:val="21"/>
          <w:szCs w:val="21"/>
          <w:lang w:val="es-PE"/>
        </w:rPr>
        <w:t>otras coberturas s</w:t>
      </w:r>
      <w:r w:rsidR="00960487" w:rsidRPr="00B8072D">
        <w:rPr>
          <w:rFonts w:ascii="Arial" w:hAnsi="Arial" w:cs="Arial"/>
          <w:bCs/>
          <w:sz w:val="21"/>
          <w:szCs w:val="21"/>
          <w:lang w:val="es-PE"/>
        </w:rPr>
        <w:t>í</w:t>
      </w:r>
      <w:r w:rsidRPr="00B8072D">
        <w:rPr>
          <w:rFonts w:ascii="Arial" w:hAnsi="Arial" w:cs="Arial"/>
          <w:bCs/>
          <w:sz w:val="21"/>
          <w:szCs w:val="21"/>
          <w:lang w:val="es-PE"/>
        </w:rPr>
        <w:t xml:space="preserve"> contempla tanto al supuesto de robo </w:t>
      </w:r>
      <w:r w:rsidR="00071E29" w:rsidRPr="00B8072D">
        <w:rPr>
          <w:rFonts w:ascii="Arial" w:hAnsi="Arial" w:cs="Arial"/>
          <w:bCs/>
          <w:sz w:val="21"/>
          <w:szCs w:val="21"/>
          <w:lang w:val="es-PE"/>
        </w:rPr>
        <w:t xml:space="preserve">como al de </w:t>
      </w:r>
      <w:r w:rsidRPr="00B8072D">
        <w:rPr>
          <w:rFonts w:ascii="Arial" w:hAnsi="Arial" w:cs="Arial"/>
          <w:bCs/>
          <w:sz w:val="21"/>
          <w:szCs w:val="21"/>
          <w:lang w:val="es-PE"/>
        </w:rPr>
        <w:t>hurto</w:t>
      </w:r>
      <w:r w:rsidR="00071E29" w:rsidRPr="00B8072D">
        <w:rPr>
          <w:rFonts w:ascii="Arial" w:hAnsi="Arial" w:cs="Arial"/>
          <w:bCs/>
          <w:sz w:val="21"/>
          <w:szCs w:val="21"/>
          <w:lang w:val="es-PE"/>
        </w:rPr>
        <w:t>,</w:t>
      </w:r>
      <w:r w:rsidRPr="00B8072D">
        <w:rPr>
          <w:rFonts w:ascii="Arial" w:hAnsi="Arial" w:cs="Arial"/>
          <w:bCs/>
          <w:sz w:val="21"/>
          <w:szCs w:val="21"/>
          <w:lang w:val="es-PE"/>
        </w:rPr>
        <w:t xml:space="preserve"> como es en el caso de </w:t>
      </w:r>
      <w:r w:rsidR="00071E29" w:rsidRPr="00B8072D">
        <w:rPr>
          <w:rFonts w:ascii="Arial" w:hAnsi="Arial" w:cs="Arial"/>
          <w:bCs/>
          <w:sz w:val="21"/>
          <w:szCs w:val="21"/>
          <w:lang w:val="es-PE"/>
        </w:rPr>
        <w:t>“</w:t>
      </w:r>
      <w:r w:rsidRPr="00B8072D">
        <w:rPr>
          <w:rFonts w:ascii="Arial" w:hAnsi="Arial" w:cs="Arial"/>
          <w:bCs/>
          <w:sz w:val="21"/>
          <w:szCs w:val="21"/>
          <w:lang w:val="es-PE"/>
        </w:rPr>
        <w:t xml:space="preserve">uso indebido de tarjetas </w:t>
      </w:r>
      <w:proofErr w:type="gramStart"/>
      <w:r w:rsidRPr="00B8072D">
        <w:rPr>
          <w:rFonts w:ascii="Arial" w:hAnsi="Arial" w:cs="Arial"/>
          <w:bCs/>
          <w:sz w:val="21"/>
          <w:szCs w:val="21"/>
          <w:lang w:val="es-PE"/>
        </w:rPr>
        <w:t xml:space="preserve">del </w:t>
      </w:r>
      <w:r w:rsidR="00C877A4">
        <w:rPr>
          <w:rFonts w:ascii="Arial" w:hAnsi="Arial" w:cs="Arial"/>
          <w:bCs/>
          <w:sz w:val="21"/>
          <w:szCs w:val="21"/>
          <w:lang w:val="es-PE"/>
        </w:rPr>
        <w:t>.................................</w:t>
      </w:r>
      <w:proofErr w:type="gramEnd"/>
      <w:r w:rsidRPr="00B8072D">
        <w:rPr>
          <w:rFonts w:ascii="Arial" w:hAnsi="Arial" w:cs="Arial"/>
          <w:bCs/>
          <w:sz w:val="21"/>
          <w:szCs w:val="21"/>
          <w:lang w:val="es-PE"/>
        </w:rPr>
        <w:t xml:space="preserve"> a nombre del asegurado en establecimientos comerciales por robo y/o </w:t>
      </w:r>
      <w:r w:rsidRPr="00B8072D">
        <w:rPr>
          <w:rFonts w:ascii="Arial" w:hAnsi="Arial" w:cs="Arial"/>
          <w:bCs/>
          <w:sz w:val="21"/>
          <w:szCs w:val="21"/>
          <w:lang w:val="es-PE"/>
        </w:rPr>
        <w:lastRenderedPageBreak/>
        <w:t xml:space="preserve">hurto y/o </w:t>
      </w:r>
      <w:r w:rsidR="00071E29" w:rsidRPr="00B8072D">
        <w:rPr>
          <w:rFonts w:ascii="Arial" w:hAnsi="Arial" w:cs="Arial"/>
          <w:bCs/>
          <w:sz w:val="21"/>
          <w:szCs w:val="21"/>
          <w:lang w:val="es-PE"/>
        </w:rPr>
        <w:t>extravío</w:t>
      </w:r>
      <w:r w:rsidRPr="00B8072D">
        <w:rPr>
          <w:rFonts w:ascii="Arial" w:hAnsi="Arial" w:cs="Arial"/>
          <w:bCs/>
          <w:sz w:val="21"/>
          <w:szCs w:val="21"/>
          <w:lang w:val="es-PE"/>
        </w:rPr>
        <w:t xml:space="preserve"> y/o asalto y/o secuestro</w:t>
      </w:r>
      <w:r w:rsidR="00071E29" w:rsidRPr="00B8072D">
        <w:rPr>
          <w:rFonts w:ascii="Arial" w:hAnsi="Arial" w:cs="Arial"/>
          <w:bCs/>
          <w:sz w:val="21"/>
          <w:szCs w:val="21"/>
          <w:lang w:val="es-PE"/>
        </w:rPr>
        <w:t>”</w:t>
      </w:r>
      <w:r w:rsidRPr="00B8072D">
        <w:rPr>
          <w:rFonts w:ascii="Arial" w:hAnsi="Arial" w:cs="Arial"/>
          <w:bCs/>
          <w:sz w:val="21"/>
          <w:szCs w:val="21"/>
          <w:lang w:val="es-PE"/>
        </w:rPr>
        <w:t>. No obstante, en el caso que nos ocupa</w:t>
      </w:r>
      <w:r w:rsidR="00A418E3" w:rsidRPr="00B8072D">
        <w:rPr>
          <w:rFonts w:ascii="Arial" w:hAnsi="Arial" w:cs="Arial"/>
          <w:bCs/>
          <w:sz w:val="21"/>
          <w:szCs w:val="21"/>
          <w:lang w:val="es-PE"/>
        </w:rPr>
        <w:t>,</w:t>
      </w:r>
      <w:r w:rsidRPr="00B8072D">
        <w:rPr>
          <w:rFonts w:ascii="Arial" w:hAnsi="Arial" w:cs="Arial"/>
          <w:bCs/>
          <w:sz w:val="21"/>
          <w:szCs w:val="21"/>
          <w:lang w:val="es-PE"/>
        </w:rPr>
        <w:t xml:space="preserve"> es claro que la cobertura por</w:t>
      </w:r>
      <w:r w:rsidR="00071E29" w:rsidRPr="00B8072D">
        <w:rPr>
          <w:rFonts w:ascii="Arial" w:hAnsi="Arial" w:cs="Arial"/>
          <w:bCs/>
          <w:sz w:val="21"/>
          <w:szCs w:val="21"/>
          <w:lang w:val="es-PE"/>
        </w:rPr>
        <w:t xml:space="preserve"> sustracción </w:t>
      </w:r>
      <w:r w:rsidRPr="00B8072D">
        <w:rPr>
          <w:rFonts w:ascii="Arial" w:hAnsi="Arial" w:cs="Arial"/>
          <w:bCs/>
          <w:sz w:val="21"/>
          <w:szCs w:val="21"/>
          <w:lang w:val="es-PE"/>
        </w:rPr>
        <w:t xml:space="preserve">de dinero </w:t>
      </w:r>
      <w:r w:rsidR="00071E29" w:rsidRPr="00B8072D">
        <w:rPr>
          <w:rFonts w:ascii="Arial" w:hAnsi="Arial" w:cs="Arial"/>
          <w:bCs/>
          <w:sz w:val="21"/>
          <w:szCs w:val="21"/>
          <w:lang w:val="es-PE"/>
        </w:rPr>
        <w:t xml:space="preserve">retirado en cajero, </w:t>
      </w:r>
      <w:r w:rsidRPr="00B8072D">
        <w:rPr>
          <w:rFonts w:ascii="Arial" w:hAnsi="Arial" w:cs="Arial"/>
          <w:bCs/>
          <w:sz w:val="21"/>
          <w:szCs w:val="21"/>
          <w:lang w:val="es-PE"/>
        </w:rPr>
        <w:t>solo se circunscribe a</w:t>
      </w:r>
      <w:r w:rsidR="0099783A" w:rsidRPr="00B8072D">
        <w:rPr>
          <w:rFonts w:ascii="Arial" w:hAnsi="Arial" w:cs="Arial"/>
          <w:bCs/>
          <w:sz w:val="21"/>
          <w:szCs w:val="21"/>
          <w:lang w:val="es-PE"/>
        </w:rPr>
        <w:t>l</w:t>
      </w:r>
      <w:r w:rsidRPr="00B8072D">
        <w:rPr>
          <w:rFonts w:ascii="Arial" w:hAnsi="Arial" w:cs="Arial"/>
          <w:bCs/>
          <w:sz w:val="21"/>
          <w:szCs w:val="21"/>
          <w:lang w:val="es-PE"/>
        </w:rPr>
        <w:t xml:space="preserve"> robo y no incluye al hurto. Asimismo, se precisa que la cobertura de robo de dinero sustraído de cajero automático tendrá cobertura por un máximo de una hora y en un radio de 200 metros </w:t>
      </w:r>
      <w:r w:rsidR="00BE35FF" w:rsidRPr="00B8072D">
        <w:rPr>
          <w:rFonts w:ascii="Arial" w:hAnsi="Arial" w:cs="Arial"/>
          <w:bCs/>
          <w:sz w:val="21"/>
          <w:szCs w:val="21"/>
          <w:lang w:val="es-PE"/>
        </w:rPr>
        <w:t>(e</w:t>
      </w:r>
      <w:r w:rsidRPr="00B8072D">
        <w:rPr>
          <w:rFonts w:ascii="Arial" w:hAnsi="Arial" w:cs="Arial"/>
          <w:bCs/>
          <w:sz w:val="21"/>
          <w:szCs w:val="21"/>
          <w:lang w:val="es-PE"/>
        </w:rPr>
        <w:t>sto último no constituye un hecho controvertido, limitándose la discusión a determinar si se configuró o no la figura de robo</w:t>
      </w:r>
      <w:r w:rsidR="00BE35FF" w:rsidRPr="00B8072D">
        <w:rPr>
          <w:rFonts w:ascii="Arial" w:hAnsi="Arial" w:cs="Arial"/>
          <w:bCs/>
          <w:sz w:val="21"/>
          <w:szCs w:val="21"/>
          <w:lang w:val="es-PE"/>
        </w:rPr>
        <w:t>).</w:t>
      </w:r>
    </w:p>
    <w:p w14:paraId="5AACD9C5" w14:textId="77777777" w:rsidR="00EC5DA0" w:rsidRPr="00B8072D" w:rsidRDefault="00EC5DA0" w:rsidP="00243B37">
      <w:pPr>
        <w:spacing w:after="0" w:line="240" w:lineRule="auto"/>
        <w:jc w:val="both"/>
        <w:rPr>
          <w:rFonts w:ascii="Arial" w:hAnsi="Arial" w:cs="Arial"/>
          <w:bCs/>
          <w:sz w:val="21"/>
          <w:szCs w:val="21"/>
          <w:lang w:val="es-PE"/>
        </w:rPr>
      </w:pPr>
    </w:p>
    <w:p w14:paraId="342B49FC" w14:textId="77777777" w:rsidR="00EC5DA0" w:rsidRPr="00B8072D" w:rsidRDefault="00EC5DA0" w:rsidP="00243B37">
      <w:pPr>
        <w:spacing w:after="0" w:line="240" w:lineRule="auto"/>
        <w:jc w:val="both"/>
        <w:rPr>
          <w:rFonts w:ascii="Arial" w:hAnsi="Arial" w:cs="Arial"/>
          <w:bCs/>
          <w:sz w:val="21"/>
          <w:szCs w:val="21"/>
          <w:lang w:val="es-PE"/>
        </w:rPr>
      </w:pPr>
      <w:r w:rsidRPr="00B8072D">
        <w:rPr>
          <w:rFonts w:ascii="Arial" w:hAnsi="Arial" w:cs="Arial"/>
          <w:bCs/>
          <w:sz w:val="21"/>
          <w:szCs w:val="21"/>
          <w:lang w:val="es-PE"/>
        </w:rPr>
        <w:t>Se aprecia también un resumen informativo de la póliza que establece las siguientes distinciones:</w:t>
      </w:r>
    </w:p>
    <w:p w14:paraId="7BC22634" w14:textId="77777777" w:rsidR="00EC5DA0" w:rsidRPr="00B8072D" w:rsidRDefault="00EC5DA0" w:rsidP="00BE35FF">
      <w:pPr>
        <w:spacing w:after="0" w:line="240" w:lineRule="auto"/>
        <w:ind w:left="720"/>
        <w:jc w:val="both"/>
        <w:rPr>
          <w:rFonts w:ascii="Arial" w:hAnsi="Arial" w:cs="Arial"/>
          <w:bCs/>
          <w:i/>
          <w:iCs/>
          <w:sz w:val="21"/>
          <w:szCs w:val="21"/>
          <w:lang w:val="es-PE"/>
        </w:rPr>
      </w:pPr>
      <w:r w:rsidRPr="00B8072D">
        <w:rPr>
          <w:rFonts w:ascii="Arial" w:hAnsi="Arial" w:cs="Arial"/>
          <w:bCs/>
          <w:i/>
          <w:iCs/>
          <w:sz w:val="21"/>
          <w:szCs w:val="21"/>
          <w:lang w:val="es-PE"/>
        </w:rPr>
        <w:t>Hurto: cuando se apropian de un bien contra su voluntad sin uso de violencia.</w:t>
      </w:r>
    </w:p>
    <w:p w14:paraId="62409B0A" w14:textId="77777777" w:rsidR="00EC5DA0" w:rsidRPr="00B8072D" w:rsidRDefault="00EC5DA0" w:rsidP="00BE35FF">
      <w:pPr>
        <w:spacing w:after="0" w:line="240" w:lineRule="auto"/>
        <w:ind w:left="720"/>
        <w:jc w:val="both"/>
        <w:rPr>
          <w:rFonts w:ascii="Arial" w:hAnsi="Arial" w:cs="Arial"/>
          <w:bCs/>
          <w:i/>
          <w:iCs/>
          <w:sz w:val="21"/>
          <w:szCs w:val="21"/>
          <w:lang w:val="es-PE"/>
        </w:rPr>
      </w:pPr>
      <w:r w:rsidRPr="00B8072D">
        <w:rPr>
          <w:rFonts w:ascii="Arial" w:hAnsi="Arial" w:cs="Arial"/>
          <w:bCs/>
          <w:i/>
          <w:iCs/>
          <w:sz w:val="21"/>
          <w:szCs w:val="21"/>
          <w:lang w:val="es-PE"/>
        </w:rPr>
        <w:t>Robo, Asalto, Secuestro: Cuando se apropian de un bien contra su voluntad con uso de violencia o amenazas.</w:t>
      </w:r>
    </w:p>
    <w:p w14:paraId="6388BC1A" w14:textId="77777777" w:rsidR="00EC5DA0" w:rsidRPr="00B8072D" w:rsidRDefault="00EC5DA0" w:rsidP="00243B37">
      <w:pPr>
        <w:spacing w:after="0" w:line="240" w:lineRule="auto"/>
        <w:jc w:val="both"/>
        <w:rPr>
          <w:rFonts w:ascii="Arial" w:hAnsi="Arial" w:cs="Arial"/>
          <w:bCs/>
          <w:sz w:val="21"/>
          <w:szCs w:val="21"/>
          <w:lang w:val="es-PE"/>
        </w:rPr>
      </w:pPr>
    </w:p>
    <w:p w14:paraId="0FA519C0" w14:textId="77777777" w:rsidR="00EC5DA0" w:rsidRPr="00B8072D" w:rsidRDefault="00EC5DA0" w:rsidP="00243B37">
      <w:pPr>
        <w:spacing w:after="0" w:line="240" w:lineRule="auto"/>
        <w:jc w:val="both"/>
        <w:rPr>
          <w:rFonts w:ascii="Arial" w:hAnsi="Arial" w:cs="Arial"/>
          <w:bCs/>
          <w:sz w:val="21"/>
          <w:szCs w:val="21"/>
          <w:lang w:val="es-PE"/>
        </w:rPr>
      </w:pPr>
      <w:r w:rsidRPr="00B8072D">
        <w:rPr>
          <w:rFonts w:ascii="Arial" w:hAnsi="Arial" w:cs="Arial"/>
          <w:bCs/>
          <w:sz w:val="21"/>
          <w:szCs w:val="21"/>
          <w:lang w:val="es-PE"/>
        </w:rPr>
        <w:t xml:space="preserve">Asimismo, en la denuncia policial, se narran las circunstancias que rodearon al evento de la siguiente manera: </w:t>
      </w:r>
    </w:p>
    <w:p w14:paraId="4BD9883B" w14:textId="77777777" w:rsidR="00EC5DA0" w:rsidRPr="00B8072D" w:rsidRDefault="00EC5DA0" w:rsidP="00243B37">
      <w:pPr>
        <w:spacing w:after="0" w:line="240" w:lineRule="auto"/>
        <w:jc w:val="both"/>
        <w:rPr>
          <w:rFonts w:ascii="Arial" w:hAnsi="Arial" w:cs="Arial"/>
          <w:bCs/>
          <w:sz w:val="21"/>
          <w:szCs w:val="21"/>
          <w:lang w:val="es-PE"/>
        </w:rPr>
      </w:pPr>
    </w:p>
    <w:p w14:paraId="734C2316" w14:textId="77777777" w:rsidR="00EC5DA0" w:rsidRPr="00B8072D" w:rsidRDefault="00EC5DA0" w:rsidP="00EC5DA0">
      <w:pPr>
        <w:spacing w:after="0" w:line="240" w:lineRule="auto"/>
        <w:ind w:left="720"/>
        <w:jc w:val="both"/>
        <w:rPr>
          <w:rFonts w:ascii="Arial" w:hAnsi="Arial" w:cs="Arial"/>
          <w:sz w:val="21"/>
          <w:szCs w:val="21"/>
          <w:lang w:val="es-PE"/>
        </w:rPr>
      </w:pPr>
      <w:r w:rsidRPr="00B8072D">
        <w:rPr>
          <w:rFonts w:ascii="Arial" w:hAnsi="Arial" w:cs="Arial"/>
          <w:i/>
          <w:iCs/>
          <w:sz w:val="21"/>
          <w:szCs w:val="21"/>
          <w:lang w:val="es-PE"/>
        </w:rPr>
        <w:t xml:space="preserve">“…encontrándose al interior de un vehículo de transporte púbico (…) se percató que (…) dos sujetos desconocidos de sexo masculino, los mismos que se ubicaron a ambos lados del denunciante, generando una aparente discusión y </w:t>
      </w:r>
      <w:r w:rsidRPr="00B8072D">
        <w:rPr>
          <w:rFonts w:ascii="Arial" w:hAnsi="Arial" w:cs="Arial"/>
          <w:i/>
          <w:iCs/>
          <w:sz w:val="21"/>
          <w:szCs w:val="21"/>
          <w:u w:val="single"/>
          <w:lang w:val="es-PE"/>
        </w:rPr>
        <w:t>uno de ello le empujó</w:t>
      </w:r>
      <w:r w:rsidRPr="00B8072D">
        <w:rPr>
          <w:rFonts w:ascii="Arial" w:hAnsi="Arial" w:cs="Arial"/>
          <w:i/>
          <w:iCs/>
          <w:sz w:val="21"/>
          <w:szCs w:val="21"/>
          <w:lang w:val="es-PE"/>
        </w:rPr>
        <w:t xml:space="preserve"> y al increparle </w:t>
      </w:r>
      <w:r w:rsidRPr="00B8072D">
        <w:rPr>
          <w:rFonts w:ascii="Arial" w:hAnsi="Arial" w:cs="Arial"/>
          <w:i/>
          <w:iCs/>
          <w:sz w:val="21"/>
          <w:szCs w:val="21"/>
          <w:u w:val="single"/>
          <w:lang w:val="es-PE"/>
        </w:rPr>
        <w:t>le amenazó</w:t>
      </w:r>
      <w:r w:rsidRPr="00B8072D">
        <w:rPr>
          <w:rFonts w:ascii="Arial" w:hAnsi="Arial" w:cs="Arial"/>
          <w:i/>
          <w:iCs/>
          <w:sz w:val="21"/>
          <w:szCs w:val="21"/>
          <w:lang w:val="es-PE"/>
        </w:rPr>
        <w:t xml:space="preserve"> con un desarmador filudo, donde los sujetos desconocidos se dieron a la fuga con rumbo desconocido, ante esa situación al cabo de 10 minutos se percata que le habían hurtado dinero en efectivo la suma de 2500 soles, pero el denunciante no se dio cuenta de quienes pudieron ser los malhechores es por ello que el denunciante se constituyó a la </w:t>
      </w:r>
      <w:proofErr w:type="spellStart"/>
      <w:r w:rsidRPr="00B8072D">
        <w:rPr>
          <w:rFonts w:ascii="Arial" w:hAnsi="Arial" w:cs="Arial"/>
          <w:i/>
          <w:iCs/>
          <w:sz w:val="21"/>
          <w:szCs w:val="21"/>
          <w:lang w:val="es-PE"/>
        </w:rPr>
        <w:t>cía</w:t>
      </w:r>
      <w:proofErr w:type="spellEnd"/>
      <w:r w:rsidRPr="00B8072D">
        <w:rPr>
          <w:rFonts w:ascii="Arial" w:hAnsi="Arial" w:cs="Arial"/>
          <w:i/>
          <w:iCs/>
          <w:sz w:val="21"/>
          <w:szCs w:val="21"/>
          <w:lang w:val="es-PE"/>
        </w:rPr>
        <w:t xml:space="preserve"> a poner su respectiva denuncia lo que denuncia ante la PNP para los fines del caso.”</w:t>
      </w:r>
      <w:r w:rsidR="00C03E3D" w:rsidRPr="00B8072D">
        <w:rPr>
          <w:rFonts w:ascii="Arial" w:hAnsi="Arial" w:cs="Arial"/>
          <w:sz w:val="21"/>
          <w:szCs w:val="21"/>
          <w:lang w:val="es-PE"/>
        </w:rPr>
        <w:t xml:space="preserve"> El subrayado es nuestro</w:t>
      </w:r>
    </w:p>
    <w:p w14:paraId="4AEAF329" w14:textId="77777777" w:rsidR="00EC5DA0" w:rsidRPr="00B8072D" w:rsidRDefault="00EC5DA0" w:rsidP="00243B37">
      <w:pPr>
        <w:spacing w:after="0" w:line="240" w:lineRule="auto"/>
        <w:jc w:val="both"/>
        <w:rPr>
          <w:rFonts w:ascii="Arial" w:hAnsi="Arial" w:cs="Arial"/>
          <w:bCs/>
          <w:sz w:val="21"/>
          <w:szCs w:val="21"/>
          <w:lang w:val="es-PE"/>
        </w:rPr>
      </w:pPr>
    </w:p>
    <w:p w14:paraId="327F4296" w14:textId="7B8AA0F6" w:rsidR="00EC5DA0" w:rsidRPr="00B8072D" w:rsidRDefault="00EC5DA0" w:rsidP="00243B37">
      <w:pPr>
        <w:spacing w:after="0" w:line="240" w:lineRule="auto"/>
        <w:jc w:val="both"/>
        <w:rPr>
          <w:rFonts w:ascii="Arial" w:hAnsi="Arial" w:cs="Arial"/>
          <w:bCs/>
          <w:sz w:val="21"/>
          <w:szCs w:val="21"/>
          <w:lang w:val="es-PE"/>
        </w:rPr>
      </w:pPr>
      <w:r w:rsidRPr="00B8072D">
        <w:rPr>
          <w:rFonts w:ascii="Arial" w:hAnsi="Arial" w:cs="Arial"/>
          <w:bCs/>
          <w:sz w:val="21"/>
          <w:szCs w:val="21"/>
          <w:lang w:val="es-PE"/>
        </w:rPr>
        <w:t>Hay por</w:t>
      </w:r>
      <w:r w:rsidR="007D4054" w:rsidRPr="00B8072D">
        <w:rPr>
          <w:rFonts w:ascii="Arial" w:hAnsi="Arial" w:cs="Arial"/>
          <w:bCs/>
          <w:sz w:val="21"/>
          <w:szCs w:val="21"/>
          <w:lang w:val="es-PE"/>
        </w:rPr>
        <w:t xml:space="preserve"> lo </w:t>
      </w:r>
      <w:r w:rsidRPr="00B8072D">
        <w:rPr>
          <w:rFonts w:ascii="Arial" w:hAnsi="Arial" w:cs="Arial"/>
          <w:bCs/>
          <w:sz w:val="21"/>
          <w:szCs w:val="21"/>
          <w:lang w:val="es-PE"/>
        </w:rPr>
        <w:t>tanto</w:t>
      </w:r>
      <w:r w:rsidR="007D4054" w:rsidRPr="00B8072D">
        <w:rPr>
          <w:rFonts w:ascii="Arial" w:hAnsi="Arial" w:cs="Arial"/>
          <w:bCs/>
          <w:sz w:val="21"/>
          <w:szCs w:val="21"/>
          <w:lang w:val="es-PE"/>
        </w:rPr>
        <w:t>,</w:t>
      </w:r>
      <w:r w:rsidRPr="00B8072D">
        <w:rPr>
          <w:rFonts w:ascii="Arial" w:hAnsi="Arial" w:cs="Arial"/>
          <w:bCs/>
          <w:sz w:val="21"/>
          <w:szCs w:val="21"/>
          <w:lang w:val="es-PE"/>
        </w:rPr>
        <w:t xml:space="preserve"> dos momentos de contacto entre los presuntos delincuentes y el reclamante: (i) el momento en </w:t>
      </w:r>
      <w:r w:rsidR="003F27DF" w:rsidRPr="00B8072D">
        <w:rPr>
          <w:rFonts w:ascii="Arial" w:hAnsi="Arial" w:cs="Arial"/>
          <w:bCs/>
          <w:sz w:val="21"/>
          <w:szCs w:val="21"/>
          <w:lang w:val="es-PE"/>
        </w:rPr>
        <w:t xml:space="preserve">el </w:t>
      </w:r>
      <w:r w:rsidRPr="00B8072D">
        <w:rPr>
          <w:rFonts w:ascii="Arial" w:hAnsi="Arial" w:cs="Arial"/>
          <w:bCs/>
          <w:sz w:val="21"/>
          <w:szCs w:val="21"/>
          <w:lang w:val="es-PE"/>
        </w:rPr>
        <w:t>que es empujado por</w:t>
      </w:r>
      <w:r w:rsidR="0071519F" w:rsidRPr="00B8072D">
        <w:rPr>
          <w:rFonts w:ascii="Arial" w:hAnsi="Arial" w:cs="Arial"/>
          <w:bCs/>
          <w:sz w:val="21"/>
          <w:szCs w:val="21"/>
          <w:lang w:val="es-PE"/>
        </w:rPr>
        <w:t xml:space="preserve"> uno de</w:t>
      </w:r>
      <w:r w:rsidRPr="00B8072D">
        <w:rPr>
          <w:rFonts w:ascii="Arial" w:hAnsi="Arial" w:cs="Arial"/>
          <w:bCs/>
          <w:sz w:val="21"/>
          <w:szCs w:val="21"/>
          <w:lang w:val="es-PE"/>
        </w:rPr>
        <w:t xml:space="preserve"> los desconocidos entrampados en una discusión; y (ii) el momento en que al increpar por el empujón lo amenazan con un desarmador</w:t>
      </w:r>
      <w:r w:rsidR="00F10699" w:rsidRPr="00B8072D">
        <w:rPr>
          <w:rFonts w:ascii="Arial" w:hAnsi="Arial" w:cs="Arial"/>
          <w:bCs/>
          <w:sz w:val="21"/>
          <w:szCs w:val="21"/>
          <w:lang w:val="es-PE"/>
        </w:rPr>
        <w:t>, pudiendo la sustracción haberse realizado en cualquiera de dichos momentos</w:t>
      </w:r>
      <w:r w:rsidR="00123AE5" w:rsidRPr="00B8072D">
        <w:rPr>
          <w:rFonts w:ascii="Arial" w:hAnsi="Arial" w:cs="Arial"/>
          <w:bCs/>
          <w:sz w:val="21"/>
          <w:szCs w:val="21"/>
          <w:lang w:val="es-PE"/>
        </w:rPr>
        <w:t xml:space="preserve"> o en uno posterior </w:t>
      </w:r>
      <w:r w:rsidR="0073701B" w:rsidRPr="00B8072D">
        <w:rPr>
          <w:rFonts w:ascii="Arial" w:hAnsi="Arial" w:cs="Arial"/>
          <w:bCs/>
          <w:sz w:val="21"/>
          <w:szCs w:val="21"/>
          <w:lang w:val="es-PE"/>
        </w:rPr>
        <w:t>(</w:t>
      </w:r>
      <w:r w:rsidR="0071519F" w:rsidRPr="00B8072D">
        <w:rPr>
          <w:rFonts w:ascii="Arial" w:hAnsi="Arial" w:cs="Arial"/>
          <w:bCs/>
          <w:sz w:val="21"/>
          <w:szCs w:val="21"/>
          <w:lang w:val="es-PE"/>
        </w:rPr>
        <w:t>o</w:t>
      </w:r>
      <w:r w:rsidR="00123AE5" w:rsidRPr="00B8072D">
        <w:rPr>
          <w:rFonts w:ascii="Arial" w:hAnsi="Arial" w:cs="Arial"/>
          <w:bCs/>
          <w:sz w:val="21"/>
          <w:szCs w:val="21"/>
          <w:lang w:val="es-PE"/>
        </w:rPr>
        <w:t xml:space="preserve"> anterior al momento en que el reclamante se percata de la falta de dinero</w:t>
      </w:r>
      <w:r w:rsidR="0073701B" w:rsidRPr="00B8072D">
        <w:rPr>
          <w:rFonts w:ascii="Arial" w:hAnsi="Arial" w:cs="Arial"/>
          <w:bCs/>
          <w:sz w:val="21"/>
          <w:szCs w:val="21"/>
          <w:lang w:val="es-PE"/>
        </w:rPr>
        <w:t>)</w:t>
      </w:r>
      <w:r w:rsidR="00123AE5" w:rsidRPr="00B8072D">
        <w:rPr>
          <w:rFonts w:ascii="Arial" w:hAnsi="Arial" w:cs="Arial"/>
          <w:bCs/>
          <w:sz w:val="21"/>
          <w:szCs w:val="21"/>
          <w:lang w:val="es-PE"/>
        </w:rPr>
        <w:t>.</w:t>
      </w:r>
    </w:p>
    <w:p w14:paraId="572A5466" w14:textId="77777777" w:rsidR="00EC5DA0" w:rsidRPr="00B8072D" w:rsidRDefault="00EC5DA0" w:rsidP="00243B37">
      <w:pPr>
        <w:spacing w:after="0" w:line="240" w:lineRule="auto"/>
        <w:jc w:val="both"/>
        <w:rPr>
          <w:rFonts w:ascii="Arial" w:hAnsi="Arial" w:cs="Arial"/>
          <w:bCs/>
          <w:sz w:val="21"/>
          <w:szCs w:val="21"/>
          <w:lang w:val="es-PE"/>
        </w:rPr>
      </w:pPr>
    </w:p>
    <w:p w14:paraId="0DF4BA14" w14:textId="5E6CE3ED" w:rsidR="00C03E3D" w:rsidRPr="00B8072D" w:rsidRDefault="00EC5DA0" w:rsidP="00243B37">
      <w:pPr>
        <w:spacing w:after="0" w:line="240" w:lineRule="auto"/>
        <w:jc w:val="both"/>
        <w:rPr>
          <w:rFonts w:ascii="Arial" w:hAnsi="Arial" w:cs="Arial"/>
          <w:bCs/>
          <w:sz w:val="21"/>
          <w:szCs w:val="21"/>
          <w:lang w:val="es-PE"/>
        </w:rPr>
      </w:pPr>
      <w:r w:rsidRPr="00B8072D">
        <w:rPr>
          <w:rFonts w:ascii="Arial" w:hAnsi="Arial" w:cs="Arial"/>
          <w:bCs/>
          <w:sz w:val="21"/>
          <w:szCs w:val="21"/>
          <w:lang w:val="es-PE"/>
        </w:rPr>
        <w:t>Ahora bien, si bien dichos momentos podrían ser cataloga</w:t>
      </w:r>
      <w:r w:rsidR="00C03E3D" w:rsidRPr="00B8072D">
        <w:rPr>
          <w:rFonts w:ascii="Arial" w:hAnsi="Arial" w:cs="Arial"/>
          <w:bCs/>
          <w:sz w:val="21"/>
          <w:szCs w:val="21"/>
          <w:lang w:val="es-PE"/>
        </w:rPr>
        <w:t>do</w:t>
      </w:r>
      <w:r w:rsidRPr="00B8072D">
        <w:rPr>
          <w:rFonts w:ascii="Arial" w:hAnsi="Arial" w:cs="Arial"/>
          <w:bCs/>
          <w:sz w:val="21"/>
          <w:szCs w:val="21"/>
          <w:lang w:val="es-PE"/>
        </w:rPr>
        <w:t>s de situaciones de violencia</w:t>
      </w:r>
      <w:r w:rsidR="00123AE5" w:rsidRPr="00B8072D">
        <w:rPr>
          <w:rFonts w:ascii="Arial" w:hAnsi="Arial" w:cs="Arial"/>
          <w:bCs/>
          <w:sz w:val="21"/>
          <w:szCs w:val="21"/>
          <w:lang w:val="es-PE"/>
        </w:rPr>
        <w:t xml:space="preserve"> (un empujón)</w:t>
      </w:r>
      <w:r w:rsidRPr="00B8072D">
        <w:rPr>
          <w:rFonts w:ascii="Arial" w:hAnsi="Arial" w:cs="Arial"/>
          <w:bCs/>
          <w:sz w:val="21"/>
          <w:szCs w:val="21"/>
          <w:lang w:val="es-PE"/>
        </w:rPr>
        <w:t xml:space="preserve"> y amenaza </w:t>
      </w:r>
      <w:r w:rsidR="00123AE5" w:rsidRPr="00B8072D">
        <w:rPr>
          <w:rFonts w:ascii="Arial" w:hAnsi="Arial" w:cs="Arial"/>
          <w:bCs/>
          <w:sz w:val="21"/>
          <w:szCs w:val="21"/>
          <w:lang w:val="es-PE"/>
        </w:rPr>
        <w:t>(el uso del desarmador)</w:t>
      </w:r>
      <w:r w:rsidRPr="00B8072D">
        <w:rPr>
          <w:rFonts w:ascii="Arial" w:hAnsi="Arial" w:cs="Arial"/>
          <w:bCs/>
          <w:sz w:val="21"/>
          <w:szCs w:val="21"/>
          <w:lang w:val="es-PE"/>
        </w:rPr>
        <w:t xml:space="preserve">, </w:t>
      </w:r>
      <w:r w:rsidR="00C03E3D" w:rsidRPr="00B8072D">
        <w:rPr>
          <w:rFonts w:ascii="Arial" w:hAnsi="Arial" w:cs="Arial"/>
          <w:bCs/>
          <w:sz w:val="21"/>
          <w:szCs w:val="21"/>
          <w:lang w:val="es-PE"/>
        </w:rPr>
        <w:t>no era</w:t>
      </w:r>
      <w:r w:rsidR="00414345" w:rsidRPr="00B8072D">
        <w:rPr>
          <w:rFonts w:ascii="Arial" w:hAnsi="Arial" w:cs="Arial"/>
          <w:bCs/>
          <w:sz w:val="21"/>
          <w:szCs w:val="21"/>
          <w:lang w:val="es-PE"/>
        </w:rPr>
        <w:t>n</w:t>
      </w:r>
      <w:r w:rsidR="00C03E3D" w:rsidRPr="00B8072D">
        <w:rPr>
          <w:rFonts w:ascii="Arial" w:hAnsi="Arial" w:cs="Arial"/>
          <w:bCs/>
          <w:sz w:val="21"/>
          <w:szCs w:val="21"/>
          <w:lang w:val="es-PE"/>
        </w:rPr>
        <w:t xml:space="preserve"> violencia y amenaza para obligarlo a entregar el dinero retirado de cajero</w:t>
      </w:r>
      <w:r w:rsidR="004145BD" w:rsidRPr="00B8072D">
        <w:rPr>
          <w:rFonts w:ascii="Arial" w:hAnsi="Arial" w:cs="Arial"/>
          <w:bCs/>
          <w:sz w:val="21"/>
          <w:szCs w:val="21"/>
          <w:lang w:val="es-PE"/>
        </w:rPr>
        <w:t xml:space="preserve"> o para </w:t>
      </w:r>
      <w:r w:rsidR="00C74175" w:rsidRPr="00B8072D">
        <w:rPr>
          <w:rFonts w:ascii="Arial" w:hAnsi="Arial" w:cs="Arial"/>
          <w:bCs/>
          <w:sz w:val="21"/>
          <w:szCs w:val="21"/>
          <w:lang w:val="es-PE"/>
        </w:rPr>
        <w:t>anular la resistencia de la víctima</w:t>
      </w:r>
      <w:r w:rsidR="00C03E3D" w:rsidRPr="00B8072D">
        <w:rPr>
          <w:rFonts w:ascii="Arial" w:hAnsi="Arial" w:cs="Arial"/>
          <w:bCs/>
          <w:sz w:val="21"/>
          <w:szCs w:val="21"/>
          <w:lang w:val="es-PE"/>
        </w:rPr>
        <w:t xml:space="preserve">; más bien </w:t>
      </w:r>
      <w:r w:rsidR="00DA4947" w:rsidRPr="00B8072D">
        <w:rPr>
          <w:rFonts w:ascii="Arial" w:hAnsi="Arial" w:cs="Arial"/>
          <w:bCs/>
          <w:sz w:val="21"/>
          <w:szCs w:val="21"/>
          <w:lang w:val="es-PE"/>
        </w:rPr>
        <w:t xml:space="preserve">pudieron ser </w:t>
      </w:r>
      <w:r w:rsidR="00C03E3D" w:rsidRPr="00B8072D">
        <w:rPr>
          <w:rFonts w:ascii="Arial" w:hAnsi="Arial" w:cs="Arial"/>
          <w:bCs/>
          <w:sz w:val="21"/>
          <w:szCs w:val="21"/>
          <w:lang w:val="es-PE"/>
        </w:rPr>
        <w:t>situaciones de distracción</w:t>
      </w:r>
      <w:r w:rsidR="005F6250" w:rsidRPr="00B8072D">
        <w:rPr>
          <w:rFonts w:ascii="Arial" w:hAnsi="Arial" w:cs="Arial"/>
          <w:bCs/>
          <w:sz w:val="21"/>
          <w:szCs w:val="21"/>
          <w:lang w:val="es-PE"/>
        </w:rPr>
        <w:t xml:space="preserve"> </w:t>
      </w:r>
      <w:r w:rsidR="00C03E3D" w:rsidRPr="00B8072D">
        <w:rPr>
          <w:rFonts w:ascii="Arial" w:hAnsi="Arial" w:cs="Arial"/>
          <w:bCs/>
          <w:sz w:val="21"/>
          <w:szCs w:val="21"/>
          <w:lang w:val="es-PE"/>
        </w:rPr>
        <w:t>para que a través de un acto subrepticio le sustrajeran el dinero sin que se diera cuenta</w:t>
      </w:r>
      <w:r w:rsidR="006A5C5E" w:rsidRPr="00B8072D">
        <w:rPr>
          <w:rFonts w:ascii="Arial" w:hAnsi="Arial" w:cs="Arial"/>
          <w:bCs/>
          <w:sz w:val="21"/>
          <w:szCs w:val="21"/>
          <w:lang w:val="es-PE"/>
        </w:rPr>
        <w:t xml:space="preserve">; siendo dicha conclusión una </w:t>
      </w:r>
      <w:r w:rsidR="00DA4947" w:rsidRPr="00B8072D">
        <w:rPr>
          <w:rFonts w:ascii="Arial" w:hAnsi="Arial" w:cs="Arial"/>
          <w:bCs/>
          <w:sz w:val="21"/>
          <w:szCs w:val="21"/>
          <w:lang w:val="es-PE"/>
        </w:rPr>
        <w:t>presunción, no un hecho probado</w:t>
      </w:r>
      <w:r w:rsidR="00C03E3D" w:rsidRPr="00B8072D">
        <w:rPr>
          <w:rFonts w:ascii="Arial" w:hAnsi="Arial" w:cs="Arial"/>
          <w:bCs/>
          <w:sz w:val="21"/>
          <w:szCs w:val="21"/>
          <w:lang w:val="es-PE"/>
        </w:rPr>
        <w:t xml:space="preserve">. </w:t>
      </w:r>
    </w:p>
    <w:p w14:paraId="0488BF1B" w14:textId="0D18262F" w:rsidR="005D35FE" w:rsidRPr="00B8072D" w:rsidRDefault="005D35FE" w:rsidP="00243B37">
      <w:pPr>
        <w:spacing w:after="0" w:line="240" w:lineRule="auto"/>
        <w:jc w:val="both"/>
        <w:rPr>
          <w:rFonts w:ascii="Arial" w:hAnsi="Arial" w:cs="Arial"/>
          <w:bCs/>
          <w:sz w:val="21"/>
          <w:szCs w:val="21"/>
          <w:lang w:val="es-PE"/>
        </w:rPr>
      </w:pPr>
    </w:p>
    <w:p w14:paraId="3B2AB68E" w14:textId="21EEB117" w:rsidR="00DD2BFC" w:rsidRPr="00B8072D" w:rsidRDefault="006C06B1" w:rsidP="00243B37">
      <w:pPr>
        <w:spacing w:after="0" w:line="240" w:lineRule="auto"/>
        <w:jc w:val="both"/>
        <w:rPr>
          <w:rFonts w:ascii="Arial" w:hAnsi="Arial" w:cs="Arial"/>
          <w:bCs/>
          <w:sz w:val="21"/>
          <w:szCs w:val="21"/>
          <w:lang w:val="es-PE"/>
        </w:rPr>
      </w:pPr>
      <w:r w:rsidRPr="00B8072D">
        <w:rPr>
          <w:rFonts w:ascii="Arial" w:hAnsi="Arial" w:cs="Arial"/>
          <w:bCs/>
          <w:sz w:val="21"/>
          <w:szCs w:val="21"/>
          <w:lang w:val="es-PE"/>
        </w:rPr>
        <w:t xml:space="preserve">En efecto, en este caso no está </w:t>
      </w:r>
      <w:r w:rsidR="005D35FE" w:rsidRPr="00B8072D">
        <w:rPr>
          <w:rFonts w:ascii="Arial" w:hAnsi="Arial" w:cs="Arial"/>
          <w:bCs/>
          <w:sz w:val="21"/>
          <w:szCs w:val="21"/>
          <w:lang w:val="es-PE"/>
        </w:rPr>
        <w:t xml:space="preserve">acreditada la relación causal que debe existir entre el hecho violento o la amenaza y la sustracción, </w:t>
      </w:r>
      <w:r w:rsidR="001D6D23" w:rsidRPr="00B8072D">
        <w:rPr>
          <w:rFonts w:ascii="Arial" w:hAnsi="Arial" w:cs="Arial"/>
          <w:bCs/>
          <w:sz w:val="21"/>
          <w:szCs w:val="21"/>
          <w:lang w:val="es-PE"/>
        </w:rPr>
        <w:t xml:space="preserve">ella solo es presumida por el reclamante, quién </w:t>
      </w:r>
      <w:r w:rsidR="009F4020" w:rsidRPr="00B8072D">
        <w:rPr>
          <w:rFonts w:ascii="Arial" w:hAnsi="Arial" w:cs="Arial"/>
          <w:bCs/>
          <w:sz w:val="21"/>
          <w:szCs w:val="21"/>
          <w:lang w:val="es-PE"/>
        </w:rPr>
        <w:t xml:space="preserve">no puede afirmar </w:t>
      </w:r>
      <w:r w:rsidR="00E16F34" w:rsidRPr="00B8072D">
        <w:rPr>
          <w:rFonts w:ascii="Arial" w:hAnsi="Arial" w:cs="Arial"/>
          <w:bCs/>
          <w:sz w:val="21"/>
          <w:szCs w:val="21"/>
          <w:lang w:val="es-PE"/>
        </w:rPr>
        <w:t>-</w:t>
      </w:r>
      <w:r w:rsidR="009F4020" w:rsidRPr="00B8072D">
        <w:rPr>
          <w:rFonts w:ascii="Arial" w:hAnsi="Arial" w:cs="Arial"/>
          <w:bCs/>
          <w:sz w:val="21"/>
          <w:szCs w:val="21"/>
          <w:lang w:val="es-PE"/>
        </w:rPr>
        <w:t>y menos probar</w:t>
      </w:r>
      <w:r w:rsidR="00E16F34" w:rsidRPr="00B8072D">
        <w:rPr>
          <w:rFonts w:ascii="Arial" w:hAnsi="Arial" w:cs="Arial"/>
          <w:bCs/>
          <w:sz w:val="21"/>
          <w:szCs w:val="21"/>
          <w:lang w:val="es-PE"/>
        </w:rPr>
        <w:t>-</w:t>
      </w:r>
      <w:r w:rsidR="009F4020" w:rsidRPr="00B8072D">
        <w:rPr>
          <w:rFonts w:ascii="Arial" w:hAnsi="Arial" w:cs="Arial"/>
          <w:bCs/>
          <w:sz w:val="21"/>
          <w:szCs w:val="21"/>
          <w:lang w:val="es-PE"/>
        </w:rPr>
        <w:t xml:space="preserve"> que </w:t>
      </w:r>
      <w:r w:rsidR="008C1A06" w:rsidRPr="00B8072D">
        <w:rPr>
          <w:rFonts w:ascii="Arial" w:hAnsi="Arial" w:cs="Arial"/>
          <w:bCs/>
          <w:sz w:val="21"/>
          <w:szCs w:val="21"/>
          <w:lang w:val="es-PE"/>
        </w:rPr>
        <w:t>dicho evento fue consecuencia del empujón -menos aún</w:t>
      </w:r>
      <w:r w:rsidR="00377285" w:rsidRPr="00B8072D">
        <w:rPr>
          <w:rFonts w:ascii="Arial" w:hAnsi="Arial" w:cs="Arial"/>
          <w:bCs/>
          <w:sz w:val="21"/>
          <w:szCs w:val="21"/>
          <w:lang w:val="es-PE"/>
        </w:rPr>
        <w:t xml:space="preserve"> que fue consecuencia</w:t>
      </w:r>
      <w:r w:rsidR="008C1A06" w:rsidRPr="00B8072D">
        <w:rPr>
          <w:rFonts w:ascii="Arial" w:hAnsi="Arial" w:cs="Arial"/>
          <w:bCs/>
          <w:sz w:val="21"/>
          <w:szCs w:val="21"/>
          <w:lang w:val="es-PE"/>
        </w:rPr>
        <w:t xml:space="preserve"> de la amenaza- </w:t>
      </w:r>
      <w:r w:rsidR="0040107C" w:rsidRPr="00B8072D">
        <w:rPr>
          <w:rFonts w:ascii="Arial" w:hAnsi="Arial" w:cs="Arial"/>
          <w:bCs/>
          <w:sz w:val="21"/>
          <w:szCs w:val="21"/>
          <w:lang w:val="es-PE"/>
        </w:rPr>
        <w:t xml:space="preserve">toda vez que </w:t>
      </w:r>
      <w:r w:rsidR="00A1636C" w:rsidRPr="00B8072D">
        <w:rPr>
          <w:rFonts w:ascii="Arial" w:hAnsi="Arial" w:cs="Arial"/>
          <w:bCs/>
          <w:sz w:val="21"/>
          <w:szCs w:val="21"/>
          <w:lang w:val="es-PE"/>
        </w:rPr>
        <w:t xml:space="preserve">la sustracción </w:t>
      </w:r>
      <w:r w:rsidR="0040107C" w:rsidRPr="00B8072D">
        <w:rPr>
          <w:rFonts w:ascii="Arial" w:hAnsi="Arial" w:cs="Arial"/>
          <w:bCs/>
          <w:sz w:val="21"/>
          <w:szCs w:val="21"/>
          <w:lang w:val="es-PE"/>
        </w:rPr>
        <w:t xml:space="preserve">pudo ocurrir en </w:t>
      </w:r>
      <w:r w:rsidR="008E161B" w:rsidRPr="00B8072D">
        <w:rPr>
          <w:rFonts w:ascii="Arial" w:hAnsi="Arial" w:cs="Arial"/>
          <w:bCs/>
          <w:sz w:val="21"/>
          <w:szCs w:val="21"/>
          <w:lang w:val="es-PE"/>
        </w:rPr>
        <w:t xml:space="preserve">cualquier </w:t>
      </w:r>
      <w:r w:rsidR="0040107C" w:rsidRPr="00B8072D">
        <w:rPr>
          <w:rFonts w:ascii="Arial" w:hAnsi="Arial" w:cs="Arial"/>
          <w:bCs/>
          <w:sz w:val="21"/>
          <w:szCs w:val="21"/>
          <w:lang w:val="es-PE"/>
        </w:rPr>
        <w:t>momento posterior</w:t>
      </w:r>
      <w:r w:rsidR="006E1CD0" w:rsidRPr="00B8072D">
        <w:rPr>
          <w:rFonts w:ascii="Arial" w:hAnsi="Arial" w:cs="Arial"/>
          <w:bCs/>
          <w:sz w:val="21"/>
          <w:szCs w:val="21"/>
          <w:lang w:val="es-PE"/>
        </w:rPr>
        <w:t xml:space="preserve"> -incluso anterior-</w:t>
      </w:r>
      <w:r w:rsidR="00D74075" w:rsidRPr="00B8072D">
        <w:rPr>
          <w:rFonts w:ascii="Arial" w:hAnsi="Arial" w:cs="Arial"/>
          <w:bCs/>
          <w:sz w:val="21"/>
          <w:szCs w:val="21"/>
          <w:lang w:val="es-PE"/>
        </w:rPr>
        <w:t xml:space="preserve">, pudo </w:t>
      </w:r>
      <w:r w:rsidR="00FD3A06" w:rsidRPr="00B8072D">
        <w:rPr>
          <w:rFonts w:ascii="Arial" w:hAnsi="Arial" w:cs="Arial"/>
          <w:bCs/>
          <w:sz w:val="21"/>
          <w:szCs w:val="21"/>
          <w:lang w:val="es-PE"/>
        </w:rPr>
        <w:t xml:space="preserve">haber sido realizado </w:t>
      </w:r>
      <w:r w:rsidR="0040107C" w:rsidRPr="00B8072D">
        <w:rPr>
          <w:rFonts w:ascii="Arial" w:hAnsi="Arial" w:cs="Arial"/>
          <w:bCs/>
          <w:sz w:val="21"/>
          <w:szCs w:val="21"/>
          <w:lang w:val="es-PE"/>
        </w:rPr>
        <w:t xml:space="preserve">por una tercera persona que </w:t>
      </w:r>
      <w:r w:rsidR="00D74075" w:rsidRPr="00B8072D">
        <w:rPr>
          <w:rFonts w:ascii="Arial" w:hAnsi="Arial" w:cs="Arial"/>
          <w:bCs/>
          <w:sz w:val="21"/>
          <w:szCs w:val="21"/>
          <w:lang w:val="es-PE"/>
        </w:rPr>
        <w:t xml:space="preserve">observaba </w:t>
      </w:r>
      <w:r w:rsidR="00367813" w:rsidRPr="00B8072D">
        <w:rPr>
          <w:rFonts w:ascii="Arial" w:hAnsi="Arial" w:cs="Arial"/>
          <w:bCs/>
          <w:sz w:val="21"/>
          <w:szCs w:val="21"/>
          <w:lang w:val="es-PE"/>
        </w:rPr>
        <w:t xml:space="preserve">el altercado </w:t>
      </w:r>
      <w:r w:rsidR="00FD3A06" w:rsidRPr="00B8072D">
        <w:rPr>
          <w:rFonts w:ascii="Arial" w:hAnsi="Arial" w:cs="Arial"/>
          <w:bCs/>
          <w:sz w:val="21"/>
          <w:szCs w:val="21"/>
          <w:lang w:val="es-PE"/>
        </w:rPr>
        <w:t>(</w:t>
      </w:r>
      <w:r w:rsidR="00D74075" w:rsidRPr="00B8072D">
        <w:rPr>
          <w:rFonts w:ascii="Arial" w:hAnsi="Arial" w:cs="Arial"/>
          <w:bCs/>
          <w:sz w:val="21"/>
          <w:szCs w:val="21"/>
          <w:lang w:val="es-PE"/>
        </w:rPr>
        <w:t xml:space="preserve">la que </w:t>
      </w:r>
      <w:r w:rsidR="0066244B" w:rsidRPr="00B8072D">
        <w:rPr>
          <w:rFonts w:ascii="Arial" w:hAnsi="Arial" w:cs="Arial"/>
          <w:bCs/>
          <w:sz w:val="21"/>
          <w:szCs w:val="21"/>
          <w:lang w:val="es-PE"/>
        </w:rPr>
        <w:t>pudo o no estar coludida con las personas que se encontraban discutiendo</w:t>
      </w:r>
      <w:r w:rsidR="00FD3A06" w:rsidRPr="00B8072D">
        <w:rPr>
          <w:rFonts w:ascii="Arial" w:hAnsi="Arial" w:cs="Arial"/>
          <w:bCs/>
          <w:sz w:val="21"/>
          <w:szCs w:val="21"/>
          <w:lang w:val="es-PE"/>
        </w:rPr>
        <w:t>) o pudo ocurrir en cualquier momento anterior o posterior a la misma, siendo que el reclamante recién se percata de la ausencia de dinero aproximadamente 10 minutos después.</w:t>
      </w:r>
      <w:r w:rsidR="0066244B" w:rsidRPr="00B8072D">
        <w:rPr>
          <w:rFonts w:ascii="Arial" w:hAnsi="Arial" w:cs="Arial"/>
          <w:bCs/>
          <w:sz w:val="21"/>
          <w:szCs w:val="21"/>
          <w:lang w:val="es-PE"/>
        </w:rPr>
        <w:t xml:space="preserve"> </w:t>
      </w:r>
    </w:p>
    <w:p w14:paraId="4AC972E1" w14:textId="77777777" w:rsidR="00DD2BFC" w:rsidRPr="00B8072D" w:rsidRDefault="00DD2BFC" w:rsidP="00243B37">
      <w:pPr>
        <w:spacing w:after="0" w:line="240" w:lineRule="auto"/>
        <w:jc w:val="both"/>
        <w:rPr>
          <w:rFonts w:ascii="Arial" w:hAnsi="Arial" w:cs="Arial"/>
          <w:bCs/>
          <w:sz w:val="21"/>
          <w:szCs w:val="21"/>
          <w:lang w:val="es-PE"/>
        </w:rPr>
      </w:pPr>
    </w:p>
    <w:p w14:paraId="6D17376B" w14:textId="70AA27E5" w:rsidR="006D5590" w:rsidRPr="00B8072D" w:rsidRDefault="0066244B" w:rsidP="00243B37">
      <w:pPr>
        <w:spacing w:after="0" w:line="240" w:lineRule="auto"/>
        <w:jc w:val="both"/>
        <w:rPr>
          <w:rFonts w:ascii="Arial" w:hAnsi="Arial" w:cs="Arial"/>
          <w:bCs/>
          <w:sz w:val="21"/>
          <w:szCs w:val="21"/>
          <w:lang w:val="es-PE"/>
        </w:rPr>
      </w:pPr>
      <w:r w:rsidRPr="00B8072D">
        <w:rPr>
          <w:rFonts w:ascii="Arial" w:hAnsi="Arial" w:cs="Arial"/>
          <w:bCs/>
          <w:sz w:val="21"/>
          <w:szCs w:val="21"/>
          <w:lang w:val="es-PE"/>
        </w:rPr>
        <w:t xml:space="preserve">No puede </w:t>
      </w:r>
      <w:r w:rsidR="00130D7B" w:rsidRPr="00B8072D">
        <w:rPr>
          <w:rFonts w:ascii="Arial" w:hAnsi="Arial" w:cs="Arial"/>
          <w:bCs/>
          <w:sz w:val="21"/>
          <w:szCs w:val="21"/>
          <w:lang w:val="es-PE"/>
        </w:rPr>
        <w:t xml:space="preserve">por tanto </w:t>
      </w:r>
      <w:r w:rsidRPr="00B8072D">
        <w:rPr>
          <w:rFonts w:ascii="Arial" w:hAnsi="Arial" w:cs="Arial"/>
          <w:bCs/>
          <w:sz w:val="21"/>
          <w:szCs w:val="21"/>
          <w:lang w:val="es-PE"/>
        </w:rPr>
        <w:t>esta defensoría ordenar e</w:t>
      </w:r>
      <w:r w:rsidR="00146457" w:rsidRPr="00B8072D">
        <w:rPr>
          <w:rFonts w:ascii="Arial" w:hAnsi="Arial" w:cs="Arial"/>
          <w:bCs/>
          <w:sz w:val="21"/>
          <w:szCs w:val="21"/>
          <w:lang w:val="es-PE"/>
        </w:rPr>
        <w:t xml:space="preserve">l pago de la cobertura basada en una presunción, </w:t>
      </w:r>
      <w:r w:rsidR="006D5590" w:rsidRPr="00B8072D">
        <w:rPr>
          <w:rFonts w:ascii="Arial" w:hAnsi="Arial" w:cs="Arial"/>
          <w:bCs/>
          <w:sz w:val="21"/>
          <w:szCs w:val="21"/>
          <w:lang w:val="es-PE"/>
        </w:rPr>
        <w:t xml:space="preserve">sino basado en hechos acreditados y conforme a derecho. </w:t>
      </w:r>
    </w:p>
    <w:p w14:paraId="16AD6B53" w14:textId="77777777" w:rsidR="006D5590" w:rsidRPr="00B8072D" w:rsidRDefault="006D5590" w:rsidP="00243B37">
      <w:pPr>
        <w:spacing w:after="0" w:line="240" w:lineRule="auto"/>
        <w:jc w:val="both"/>
        <w:rPr>
          <w:rFonts w:ascii="Arial" w:hAnsi="Arial" w:cs="Arial"/>
          <w:bCs/>
          <w:sz w:val="21"/>
          <w:szCs w:val="21"/>
          <w:lang w:val="es-PE"/>
        </w:rPr>
      </w:pPr>
    </w:p>
    <w:p w14:paraId="557E7AD9" w14:textId="7CBD0B1D" w:rsidR="00E823CF" w:rsidRPr="00B8072D" w:rsidRDefault="00145D73" w:rsidP="00243B37">
      <w:pPr>
        <w:spacing w:after="0" w:line="240" w:lineRule="auto"/>
        <w:jc w:val="both"/>
        <w:rPr>
          <w:rFonts w:ascii="Arial" w:hAnsi="Arial" w:cs="Arial"/>
          <w:bCs/>
          <w:sz w:val="21"/>
          <w:szCs w:val="21"/>
          <w:lang w:val="es-PE"/>
        </w:rPr>
      </w:pPr>
      <w:r w:rsidRPr="00B8072D">
        <w:rPr>
          <w:rFonts w:ascii="Arial" w:hAnsi="Arial" w:cs="Arial"/>
          <w:bCs/>
          <w:sz w:val="21"/>
          <w:szCs w:val="21"/>
          <w:lang w:val="es-PE"/>
        </w:rPr>
        <w:lastRenderedPageBreak/>
        <w:t>Sobre este aspecto, e</w:t>
      </w:r>
      <w:r w:rsidR="003F3AA8" w:rsidRPr="00B8072D">
        <w:rPr>
          <w:rFonts w:ascii="Arial" w:hAnsi="Arial" w:cs="Arial"/>
          <w:bCs/>
          <w:sz w:val="21"/>
          <w:szCs w:val="21"/>
          <w:lang w:val="es-PE"/>
        </w:rPr>
        <w:t>s oportuno</w:t>
      </w:r>
      <w:r w:rsidR="00D368FC" w:rsidRPr="00B8072D">
        <w:rPr>
          <w:rFonts w:ascii="Arial" w:hAnsi="Arial" w:cs="Arial"/>
          <w:bCs/>
          <w:sz w:val="21"/>
          <w:szCs w:val="21"/>
          <w:lang w:val="es-PE"/>
        </w:rPr>
        <w:t xml:space="preserve"> citar </w:t>
      </w:r>
      <w:r w:rsidR="00E67D1C" w:rsidRPr="00B8072D">
        <w:rPr>
          <w:rFonts w:ascii="Arial" w:hAnsi="Arial" w:cs="Arial"/>
          <w:bCs/>
          <w:sz w:val="21"/>
          <w:szCs w:val="21"/>
          <w:lang w:val="es-PE"/>
        </w:rPr>
        <w:t>el</w:t>
      </w:r>
      <w:r w:rsidR="002175A7" w:rsidRPr="00B8072D">
        <w:rPr>
          <w:rFonts w:ascii="Arial" w:hAnsi="Arial" w:cs="Arial"/>
          <w:bCs/>
          <w:sz w:val="21"/>
          <w:szCs w:val="21"/>
          <w:lang w:val="es-PE"/>
        </w:rPr>
        <w:t xml:space="preserve"> numeral 10° del</w:t>
      </w:r>
      <w:r w:rsidR="00E67D1C" w:rsidRPr="00B8072D">
        <w:rPr>
          <w:rFonts w:ascii="Arial" w:hAnsi="Arial" w:cs="Arial"/>
          <w:bCs/>
          <w:sz w:val="21"/>
          <w:szCs w:val="21"/>
          <w:lang w:val="es-PE"/>
        </w:rPr>
        <w:t xml:space="preserve"> análisis del segundo caso </w:t>
      </w:r>
      <w:r w:rsidR="002175A7" w:rsidRPr="00B8072D">
        <w:rPr>
          <w:rFonts w:ascii="Arial" w:hAnsi="Arial" w:cs="Arial"/>
          <w:bCs/>
          <w:sz w:val="21"/>
          <w:szCs w:val="21"/>
          <w:lang w:val="es-PE"/>
        </w:rPr>
        <w:t>(</w:t>
      </w:r>
      <w:r w:rsidR="00E209CF" w:rsidRPr="00B8072D">
        <w:rPr>
          <w:rFonts w:ascii="Arial" w:hAnsi="Arial" w:cs="Arial"/>
          <w:bCs/>
          <w:sz w:val="21"/>
          <w:szCs w:val="21"/>
          <w:lang w:val="es-PE"/>
        </w:rPr>
        <w:t>II</w:t>
      </w:r>
      <w:r w:rsidR="002175A7" w:rsidRPr="00B8072D">
        <w:rPr>
          <w:rFonts w:ascii="Arial" w:hAnsi="Arial" w:cs="Arial"/>
          <w:bCs/>
          <w:sz w:val="21"/>
          <w:szCs w:val="21"/>
          <w:lang w:val="es-PE"/>
        </w:rPr>
        <w:t>.</w:t>
      </w:r>
      <w:r w:rsidR="00E209CF" w:rsidRPr="00B8072D">
        <w:rPr>
          <w:rFonts w:ascii="Arial" w:hAnsi="Arial" w:cs="Arial"/>
          <w:bCs/>
          <w:sz w:val="21"/>
          <w:szCs w:val="21"/>
          <w:lang w:val="es-PE"/>
        </w:rPr>
        <w:t xml:space="preserve"> Fundamentos Jurídicos) </w:t>
      </w:r>
      <w:r w:rsidR="00951206" w:rsidRPr="00B8072D">
        <w:rPr>
          <w:rFonts w:ascii="Arial" w:hAnsi="Arial" w:cs="Arial"/>
          <w:bCs/>
          <w:sz w:val="21"/>
          <w:szCs w:val="21"/>
          <w:lang w:val="es-PE"/>
        </w:rPr>
        <w:t>del Acuerdo</w:t>
      </w:r>
      <w:r w:rsidR="0056538C" w:rsidRPr="00B8072D">
        <w:rPr>
          <w:rFonts w:ascii="Arial" w:hAnsi="Arial" w:cs="Arial"/>
          <w:bCs/>
          <w:sz w:val="21"/>
          <w:szCs w:val="21"/>
          <w:lang w:val="es-PE"/>
        </w:rPr>
        <w:t xml:space="preserve"> Plenario </w:t>
      </w:r>
      <w:r w:rsidR="00294B7D" w:rsidRPr="00B8072D">
        <w:rPr>
          <w:rFonts w:ascii="Arial" w:hAnsi="Arial" w:cs="Arial"/>
          <w:bCs/>
          <w:sz w:val="21"/>
          <w:szCs w:val="21"/>
          <w:lang w:val="es-PE"/>
        </w:rPr>
        <w:t>N° 3-2009/CJ-116</w:t>
      </w:r>
      <w:r w:rsidR="00C34BF7" w:rsidRPr="00B8072D">
        <w:rPr>
          <w:rFonts w:ascii="Arial" w:hAnsi="Arial" w:cs="Arial"/>
          <w:bCs/>
          <w:sz w:val="21"/>
          <w:szCs w:val="21"/>
          <w:lang w:val="es-PE"/>
        </w:rPr>
        <w:t xml:space="preserve"> de la Corte Suprema (V P</w:t>
      </w:r>
      <w:r w:rsidR="0092536A" w:rsidRPr="00B8072D">
        <w:rPr>
          <w:rFonts w:ascii="Arial" w:hAnsi="Arial" w:cs="Arial"/>
          <w:bCs/>
          <w:sz w:val="21"/>
          <w:szCs w:val="21"/>
          <w:lang w:val="es-PE"/>
        </w:rPr>
        <w:t>leno Jurisdiccional de las Salas Penales Permanente y Transitorias</w:t>
      </w:r>
      <w:r w:rsidR="00C34BF7" w:rsidRPr="00B8072D">
        <w:rPr>
          <w:rFonts w:ascii="Arial" w:hAnsi="Arial" w:cs="Arial"/>
          <w:bCs/>
          <w:sz w:val="21"/>
          <w:szCs w:val="21"/>
          <w:lang w:val="es-PE"/>
        </w:rPr>
        <w:t>)</w:t>
      </w:r>
      <w:r w:rsidR="00E722B8" w:rsidRPr="00B8072D">
        <w:rPr>
          <w:rStyle w:val="Refdenotaalpie"/>
          <w:rFonts w:ascii="Arial" w:hAnsi="Arial" w:cs="Arial"/>
          <w:bCs/>
          <w:sz w:val="21"/>
          <w:szCs w:val="21"/>
          <w:lang w:val="es-PE"/>
        </w:rPr>
        <w:footnoteReference w:id="1"/>
      </w:r>
    </w:p>
    <w:p w14:paraId="75CE5814" w14:textId="0815DC33" w:rsidR="00565180" w:rsidRPr="00B8072D" w:rsidRDefault="00565180" w:rsidP="00565180">
      <w:pPr>
        <w:spacing w:after="0" w:line="240" w:lineRule="auto"/>
        <w:ind w:left="720"/>
        <w:jc w:val="both"/>
        <w:rPr>
          <w:rFonts w:ascii="Arial" w:hAnsi="Arial" w:cs="Arial"/>
          <w:bCs/>
          <w:i/>
          <w:iCs/>
          <w:sz w:val="21"/>
          <w:szCs w:val="21"/>
          <w:lang w:val="es-PE"/>
        </w:rPr>
      </w:pPr>
    </w:p>
    <w:p w14:paraId="49AD376A" w14:textId="7096B081" w:rsidR="00565180" w:rsidRPr="00B8072D" w:rsidRDefault="00565180" w:rsidP="00565180">
      <w:pPr>
        <w:spacing w:after="0" w:line="240" w:lineRule="auto"/>
        <w:ind w:left="720"/>
        <w:jc w:val="both"/>
        <w:rPr>
          <w:rFonts w:ascii="Arial" w:hAnsi="Arial" w:cs="Arial"/>
          <w:bCs/>
          <w:i/>
          <w:iCs/>
          <w:sz w:val="21"/>
          <w:szCs w:val="21"/>
          <w:lang w:val="es-PE"/>
        </w:rPr>
      </w:pPr>
      <w:r w:rsidRPr="00B8072D">
        <w:rPr>
          <w:rFonts w:ascii="Arial" w:hAnsi="Arial" w:cs="Arial"/>
          <w:bCs/>
          <w:i/>
          <w:iCs/>
          <w:sz w:val="21"/>
          <w:szCs w:val="21"/>
          <w:lang w:val="es-PE"/>
        </w:rPr>
        <w:t xml:space="preserve">10°. El delito de robo previsto y sancionado en el artículo 188° CP tiene como nota esencial, que lo diferencia del delito de hurto, el empleo por el agente de violencias o amenazas contra la persona –no necesariamente sobre el titular del bien mueble-. La conducta típica, por tanto, integra el apoderamiento de un bien mueble total o parcialmente ajeno con la utilización de violencia física o intimidación sobre un tercero. Esto es, la violencia o amenazas –como medio para la realización típica del robo - han de estar encaminadas a facilitar el apoderamiento o a vencer la resistencia de quien se opone al apoderamiento. En consecuencia </w:t>
      </w:r>
      <w:r w:rsidRPr="00B8072D">
        <w:rPr>
          <w:rFonts w:ascii="Arial" w:hAnsi="Arial" w:cs="Arial"/>
          <w:b/>
          <w:i/>
          <w:iCs/>
          <w:sz w:val="21"/>
          <w:szCs w:val="21"/>
          <w:u w:val="single"/>
          <w:lang w:val="es-PE"/>
        </w:rPr>
        <w:t>la violencia es causa determinante del desapoderamiento y está siempre orientada a neutralizar o impedir toda capacidad de actuación anterior o de reacción concomitante de la víctima que pueda obstaculizar la consumación del robo</w:t>
      </w:r>
      <w:r w:rsidRPr="00B8072D">
        <w:rPr>
          <w:rFonts w:ascii="Arial" w:hAnsi="Arial" w:cs="Arial"/>
          <w:bCs/>
          <w:i/>
          <w:iCs/>
          <w:sz w:val="21"/>
          <w:szCs w:val="21"/>
          <w:lang w:val="es-PE"/>
        </w:rPr>
        <w:t xml:space="preserve">. Ahora bien, cualquier género e intensidad de violencia física “vis in corpore” –energía física idónea para vencer la resistencia de la víctima- es penalmente relevante. Además, ella puede ejercerse antes o en el desarrollo </w:t>
      </w:r>
      <w:bookmarkStart w:id="0" w:name="_GoBack"/>
      <w:bookmarkEnd w:id="0"/>
      <w:r w:rsidRPr="00B8072D">
        <w:rPr>
          <w:rFonts w:ascii="Arial" w:hAnsi="Arial" w:cs="Arial"/>
          <w:bCs/>
          <w:i/>
          <w:iCs/>
          <w:sz w:val="21"/>
          <w:szCs w:val="21"/>
          <w:lang w:val="es-PE"/>
        </w:rPr>
        <w:t>de la sustracción del bien mueble, pudiéndose distinguir entre la violencia que es utilizada para conseguir la fuga y evitar la detención –que no modifica la naturaleza del delito de apoderamiento consumado con anterioridad-; y la violencia que se emplea para conseguir el apoderamiento y la disponibilidad, la que convierte típicamente un aparente delito de hurto en robo. Cabe precisar que en el primer de los casos mencionados, no hay conexión instrumental de medio a fin entre la violencia y la sustracción, pues ésta ya se había producido. No obstante, el medio violento se aplica antes de que cese la acción contra el patrimonio y el aseguramiento del bien en la esfera de dominio del agente vía el apoderamiento.</w:t>
      </w:r>
    </w:p>
    <w:p w14:paraId="5FFE3D0C" w14:textId="3778DCB0" w:rsidR="00565180" w:rsidRPr="00B8072D" w:rsidRDefault="00565180" w:rsidP="00243B37">
      <w:pPr>
        <w:spacing w:after="0" w:line="240" w:lineRule="auto"/>
        <w:jc w:val="both"/>
        <w:rPr>
          <w:rFonts w:ascii="Arial" w:hAnsi="Arial" w:cs="Arial"/>
          <w:bCs/>
          <w:sz w:val="21"/>
          <w:szCs w:val="21"/>
          <w:lang w:val="es-PE"/>
        </w:rPr>
      </w:pPr>
    </w:p>
    <w:p w14:paraId="4A17E97B" w14:textId="36FA4CD8" w:rsidR="006970B4" w:rsidRPr="00B8072D" w:rsidRDefault="00E71609" w:rsidP="00243B37">
      <w:pPr>
        <w:spacing w:after="0" w:line="240" w:lineRule="auto"/>
        <w:jc w:val="both"/>
        <w:rPr>
          <w:rFonts w:ascii="Arial" w:hAnsi="Arial" w:cs="Arial"/>
          <w:bCs/>
          <w:sz w:val="21"/>
          <w:szCs w:val="21"/>
          <w:lang w:val="es-PE"/>
        </w:rPr>
      </w:pPr>
      <w:r w:rsidRPr="00B8072D">
        <w:rPr>
          <w:rFonts w:ascii="Arial" w:hAnsi="Arial" w:cs="Arial"/>
          <w:bCs/>
          <w:sz w:val="21"/>
          <w:szCs w:val="21"/>
          <w:lang w:val="es-PE"/>
        </w:rPr>
        <w:t>En este caso, el reclamante no p</w:t>
      </w:r>
      <w:r w:rsidR="006970B4" w:rsidRPr="00B8072D">
        <w:rPr>
          <w:rFonts w:ascii="Arial" w:hAnsi="Arial" w:cs="Arial"/>
          <w:bCs/>
          <w:sz w:val="21"/>
          <w:szCs w:val="21"/>
          <w:lang w:val="es-PE"/>
        </w:rPr>
        <w:t>o</w:t>
      </w:r>
      <w:r w:rsidRPr="00B8072D">
        <w:rPr>
          <w:rFonts w:ascii="Arial" w:hAnsi="Arial" w:cs="Arial"/>
          <w:bCs/>
          <w:sz w:val="21"/>
          <w:szCs w:val="21"/>
          <w:lang w:val="es-PE"/>
        </w:rPr>
        <w:t xml:space="preserve">día obstaculizar la consumación del </w:t>
      </w:r>
      <w:r w:rsidR="00BB105F" w:rsidRPr="00B8072D">
        <w:rPr>
          <w:rFonts w:ascii="Arial" w:hAnsi="Arial" w:cs="Arial"/>
          <w:bCs/>
          <w:sz w:val="21"/>
          <w:szCs w:val="21"/>
          <w:lang w:val="es-PE"/>
        </w:rPr>
        <w:t xml:space="preserve">supuesto </w:t>
      </w:r>
      <w:r w:rsidRPr="00B8072D">
        <w:rPr>
          <w:rFonts w:ascii="Arial" w:hAnsi="Arial" w:cs="Arial"/>
          <w:bCs/>
          <w:sz w:val="21"/>
          <w:szCs w:val="21"/>
          <w:lang w:val="es-PE"/>
        </w:rPr>
        <w:t>robo</w:t>
      </w:r>
      <w:r w:rsidR="00AA7A2A" w:rsidRPr="00B8072D">
        <w:rPr>
          <w:rFonts w:ascii="Arial" w:hAnsi="Arial" w:cs="Arial"/>
          <w:bCs/>
          <w:sz w:val="21"/>
          <w:szCs w:val="21"/>
          <w:lang w:val="es-PE"/>
        </w:rPr>
        <w:t xml:space="preserve"> </w:t>
      </w:r>
      <w:r w:rsidR="005A181B" w:rsidRPr="00B8072D">
        <w:rPr>
          <w:rFonts w:ascii="Arial" w:hAnsi="Arial" w:cs="Arial"/>
          <w:bCs/>
          <w:sz w:val="21"/>
          <w:szCs w:val="21"/>
          <w:lang w:val="es-PE"/>
        </w:rPr>
        <w:t xml:space="preserve">(decimos supuesto porque </w:t>
      </w:r>
      <w:r w:rsidR="00D4084E" w:rsidRPr="00B8072D">
        <w:rPr>
          <w:rFonts w:ascii="Arial" w:hAnsi="Arial" w:cs="Arial"/>
          <w:bCs/>
          <w:sz w:val="21"/>
          <w:szCs w:val="21"/>
          <w:lang w:val="es-PE"/>
        </w:rPr>
        <w:t xml:space="preserve">-reiteramos- </w:t>
      </w:r>
      <w:r w:rsidR="005A181B" w:rsidRPr="00B8072D">
        <w:rPr>
          <w:rFonts w:ascii="Arial" w:hAnsi="Arial" w:cs="Arial"/>
          <w:bCs/>
          <w:sz w:val="21"/>
          <w:szCs w:val="21"/>
          <w:lang w:val="es-PE"/>
        </w:rPr>
        <w:t>tampoco está acreditado que la sustracción se produjo debido a este incidente)</w:t>
      </w:r>
      <w:r w:rsidR="007D5C7E" w:rsidRPr="00B8072D">
        <w:rPr>
          <w:rFonts w:ascii="Arial" w:hAnsi="Arial" w:cs="Arial"/>
          <w:bCs/>
          <w:sz w:val="21"/>
          <w:szCs w:val="21"/>
          <w:lang w:val="es-PE"/>
        </w:rPr>
        <w:t xml:space="preserve"> en tanto </w:t>
      </w:r>
      <w:r w:rsidRPr="00B8072D">
        <w:rPr>
          <w:rFonts w:ascii="Arial" w:hAnsi="Arial" w:cs="Arial"/>
          <w:bCs/>
          <w:sz w:val="21"/>
          <w:szCs w:val="21"/>
          <w:lang w:val="es-PE"/>
        </w:rPr>
        <w:t xml:space="preserve">no fue consciente del mismo sino </w:t>
      </w:r>
      <w:r w:rsidR="00A86311" w:rsidRPr="00B8072D">
        <w:rPr>
          <w:rFonts w:ascii="Arial" w:hAnsi="Arial" w:cs="Arial"/>
          <w:bCs/>
          <w:sz w:val="21"/>
          <w:szCs w:val="21"/>
          <w:lang w:val="es-PE"/>
        </w:rPr>
        <w:t xml:space="preserve">hasta pasados </w:t>
      </w:r>
      <w:r w:rsidR="006970B4" w:rsidRPr="00B8072D">
        <w:rPr>
          <w:rFonts w:ascii="Arial" w:hAnsi="Arial" w:cs="Arial"/>
          <w:bCs/>
          <w:sz w:val="21"/>
          <w:szCs w:val="21"/>
          <w:lang w:val="es-PE"/>
        </w:rPr>
        <w:t>10 minutos</w:t>
      </w:r>
      <w:r w:rsidR="00A86311" w:rsidRPr="00B8072D">
        <w:rPr>
          <w:rFonts w:ascii="Arial" w:hAnsi="Arial" w:cs="Arial"/>
          <w:bCs/>
          <w:sz w:val="21"/>
          <w:szCs w:val="21"/>
          <w:lang w:val="es-PE"/>
        </w:rPr>
        <w:t xml:space="preserve"> del incidente</w:t>
      </w:r>
      <w:r w:rsidR="006970B4" w:rsidRPr="00B8072D">
        <w:rPr>
          <w:rFonts w:ascii="Arial" w:hAnsi="Arial" w:cs="Arial"/>
          <w:bCs/>
          <w:sz w:val="21"/>
          <w:szCs w:val="21"/>
          <w:lang w:val="es-PE"/>
        </w:rPr>
        <w:t>, como narra en la denuncia</w:t>
      </w:r>
      <w:r w:rsidR="00B61F56" w:rsidRPr="00B8072D">
        <w:rPr>
          <w:rFonts w:ascii="Arial" w:hAnsi="Arial" w:cs="Arial"/>
          <w:bCs/>
          <w:sz w:val="21"/>
          <w:szCs w:val="21"/>
          <w:lang w:val="es-PE"/>
        </w:rPr>
        <w:t xml:space="preserve">, lo que justamente determina que la </w:t>
      </w:r>
      <w:r w:rsidR="002F7989" w:rsidRPr="00B8072D">
        <w:rPr>
          <w:rFonts w:ascii="Arial" w:hAnsi="Arial" w:cs="Arial"/>
          <w:bCs/>
          <w:sz w:val="21"/>
          <w:szCs w:val="21"/>
          <w:lang w:val="es-PE"/>
        </w:rPr>
        <w:t xml:space="preserve">violencia o amenaza no sea causa determinante del apoderamiento. </w:t>
      </w:r>
    </w:p>
    <w:p w14:paraId="37BCB22A" w14:textId="379B18C9" w:rsidR="00EC5DA0" w:rsidRPr="00B8072D" w:rsidRDefault="00EC5DA0" w:rsidP="00243B37">
      <w:pPr>
        <w:spacing w:after="0" w:line="240" w:lineRule="auto"/>
        <w:jc w:val="both"/>
        <w:rPr>
          <w:rFonts w:ascii="Arial" w:hAnsi="Arial" w:cs="Arial"/>
          <w:bCs/>
          <w:sz w:val="21"/>
          <w:szCs w:val="21"/>
          <w:lang w:val="es-PE"/>
        </w:rPr>
      </w:pPr>
    </w:p>
    <w:p w14:paraId="3C7E23D5" w14:textId="77777777" w:rsidR="00243B37" w:rsidRPr="00B8072D" w:rsidRDefault="00243B37" w:rsidP="00243B37">
      <w:pPr>
        <w:tabs>
          <w:tab w:val="left" w:pos="2386"/>
        </w:tabs>
        <w:spacing w:after="0"/>
        <w:jc w:val="both"/>
        <w:outlineLvl w:val="0"/>
        <w:rPr>
          <w:rFonts w:ascii="Arial" w:hAnsi="Arial" w:cs="Arial"/>
          <w:b/>
          <w:sz w:val="21"/>
          <w:szCs w:val="21"/>
          <w:lang w:val="es-PE"/>
        </w:rPr>
      </w:pPr>
      <w:r w:rsidRPr="00B8072D">
        <w:rPr>
          <w:rFonts w:ascii="Arial" w:hAnsi="Arial" w:cs="Arial"/>
          <w:b/>
          <w:sz w:val="21"/>
          <w:szCs w:val="21"/>
          <w:lang w:val="es-PE"/>
        </w:rPr>
        <w:t>Atendiendo a lo expresado, este órgano resolutivo unipersonal concluye su apreciación razonada y conjunta al amparo de lo establecido en el Reglamento de la DEFASEG, por lo que resuelve:</w:t>
      </w:r>
    </w:p>
    <w:p w14:paraId="4E3189DB" w14:textId="77777777" w:rsidR="00243B37" w:rsidRPr="00B8072D" w:rsidRDefault="00243B37" w:rsidP="00243B37">
      <w:pPr>
        <w:spacing w:after="0" w:line="240" w:lineRule="auto"/>
        <w:jc w:val="both"/>
        <w:rPr>
          <w:rFonts w:ascii="Arial" w:hAnsi="Arial" w:cs="Arial"/>
          <w:b/>
          <w:sz w:val="21"/>
          <w:szCs w:val="21"/>
          <w:lang w:val="es-PE"/>
        </w:rPr>
      </w:pPr>
    </w:p>
    <w:p w14:paraId="5D826A7A" w14:textId="77777777" w:rsidR="00243B37" w:rsidRPr="00B8072D" w:rsidRDefault="00243B37" w:rsidP="00243B37">
      <w:pPr>
        <w:spacing w:after="0" w:line="240" w:lineRule="auto"/>
        <w:jc w:val="both"/>
        <w:rPr>
          <w:rFonts w:ascii="Arial" w:hAnsi="Arial" w:cs="Arial"/>
          <w:b/>
          <w:sz w:val="21"/>
          <w:szCs w:val="21"/>
          <w:lang w:val="es-PE"/>
        </w:rPr>
      </w:pPr>
      <w:r w:rsidRPr="00B8072D">
        <w:rPr>
          <w:rFonts w:ascii="Arial" w:hAnsi="Arial" w:cs="Arial"/>
          <w:b/>
          <w:sz w:val="21"/>
          <w:szCs w:val="21"/>
          <w:lang w:val="es-PE"/>
        </w:rPr>
        <w:t>RESUELVE:</w:t>
      </w:r>
    </w:p>
    <w:p w14:paraId="6F3BB4F1" w14:textId="77777777" w:rsidR="00243B37" w:rsidRPr="00B8072D" w:rsidRDefault="00243B37" w:rsidP="00243B37">
      <w:pPr>
        <w:spacing w:after="0" w:line="240" w:lineRule="auto"/>
        <w:jc w:val="both"/>
        <w:rPr>
          <w:rFonts w:ascii="Arial" w:hAnsi="Arial" w:cs="Arial"/>
          <w:sz w:val="21"/>
          <w:szCs w:val="21"/>
          <w:lang w:val="es-PE"/>
        </w:rPr>
      </w:pPr>
    </w:p>
    <w:p w14:paraId="4BEFB299" w14:textId="6E6D236D" w:rsidR="00197A9F" w:rsidRPr="00B8072D" w:rsidRDefault="00243B37" w:rsidP="00243B37">
      <w:pPr>
        <w:spacing w:after="0" w:line="240" w:lineRule="auto"/>
        <w:jc w:val="both"/>
        <w:rPr>
          <w:rFonts w:ascii="Arial" w:hAnsi="Arial" w:cs="Arial"/>
          <w:sz w:val="21"/>
          <w:szCs w:val="21"/>
          <w:lang w:val="es-MX"/>
        </w:rPr>
      </w:pPr>
      <w:r w:rsidRPr="00B8072D">
        <w:rPr>
          <w:rFonts w:ascii="Arial" w:hAnsi="Arial" w:cs="Arial"/>
          <w:sz w:val="21"/>
          <w:szCs w:val="21"/>
          <w:lang w:val="es-PE"/>
        </w:rPr>
        <w:t>Declarar</w:t>
      </w:r>
      <w:r w:rsidRPr="00B8072D">
        <w:rPr>
          <w:rFonts w:ascii="Arial" w:hAnsi="Arial" w:cs="Arial"/>
          <w:b/>
          <w:sz w:val="21"/>
          <w:szCs w:val="21"/>
          <w:lang w:val="es-PE"/>
        </w:rPr>
        <w:t xml:space="preserve"> </w:t>
      </w:r>
      <w:r w:rsidR="00197A9F" w:rsidRPr="00B8072D">
        <w:rPr>
          <w:rFonts w:ascii="Arial" w:hAnsi="Arial" w:cs="Arial"/>
          <w:b/>
          <w:sz w:val="21"/>
          <w:szCs w:val="21"/>
          <w:lang w:val="es-PE"/>
        </w:rPr>
        <w:t>IN</w:t>
      </w:r>
      <w:r w:rsidRPr="00B8072D">
        <w:rPr>
          <w:rFonts w:ascii="Arial" w:hAnsi="Arial" w:cs="Arial"/>
          <w:b/>
          <w:sz w:val="21"/>
          <w:szCs w:val="21"/>
          <w:lang w:val="es-PE"/>
        </w:rPr>
        <w:t xml:space="preserve">FUNDADA </w:t>
      </w:r>
      <w:r w:rsidRPr="00B8072D">
        <w:rPr>
          <w:rFonts w:ascii="Arial" w:hAnsi="Arial" w:cs="Arial"/>
          <w:sz w:val="21"/>
          <w:szCs w:val="21"/>
          <w:lang w:val="es-PE"/>
        </w:rPr>
        <w:t>la reclamación</w:t>
      </w:r>
      <w:r w:rsidRPr="00B8072D">
        <w:rPr>
          <w:rFonts w:ascii="Arial" w:hAnsi="Arial" w:cs="Arial"/>
          <w:b/>
          <w:sz w:val="21"/>
          <w:szCs w:val="21"/>
          <w:lang w:val="es-PE"/>
        </w:rPr>
        <w:t xml:space="preserve"> </w:t>
      </w:r>
      <w:r w:rsidRPr="00B8072D">
        <w:rPr>
          <w:rFonts w:ascii="Arial" w:hAnsi="Arial" w:cs="Arial"/>
          <w:sz w:val="21"/>
          <w:szCs w:val="21"/>
          <w:lang w:val="es-PE"/>
        </w:rPr>
        <w:t>interpuesta</w:t>
      </w:r>
      <w:r w:rsidRPr="00B8072D">
        <w:rPr>
          <w:rFonts w:ascii="Arial" w:hAnsi="Arial" w:cs="Arial"/>
          <w:sz w:val="21"/>
          <w:szCs w:val="21"/>
          <w:lang w:val="es-MX"/>
        </w:rPr>
        <w:t xml:space="preserve"> por</w:t>
      </w:r>
      <w:r w:rsidRPr="00B8072D">
        <w:rPr>
          <w:rFonts w:ascii="Arial" w:hAnsi="Arial" w:cs="Arial"/>
          <w:b/>
          <w:bCs/>
          <w:sz w:val="21"/>
          <w:szCs w:val="21"/>
          <w:lang w:val="es-MX"/>
        </w:rPr>
        <w:t xml:space="preserve"> </w:t>
      </w:r>
      <w:proofErr w:type="gramStart"/>
      <w:r w:rsidR="00197A9F" w:rsidRPr="00B8072D">
        <w:rPr>
          <w:rFonts w:ascii="Arial" w:hAnsi="Arial" w:cs="Arial"/>
          <w:sz w:val="21"/>
          <w:szCs w:val="21"/>
          <w:lang w:val="es-MX"/>
        </w:rPr>
        <w:t xml:space="preserve">don </w:t>
      </w:r>
      <w:r w:rsidR="00C877A4">
        <w:rPr>
          <w:rFonts w:ascii="Arial" w:hAnsi="Arial" w:cs="Arial"/>
          <w:sz w:val="21"/>
          <w:szCs w:val="21"/>
          <w:lang w:val="es-PE"/>
        </w:rPr>
        <w:t>.................................</w:t>
      </w:r>
      <w:proofErr w:type="gramEnd"/>
      <w:r w:rsidR="00197A9F" w:rsidRPr="00B8072D">
        <w:rPr>
          <w:rFonts w:ascii="Arial" w:hAnsi="Arial" w:cs="Arial"/>
          <w:sz w:val="21"/>
          <w:szCs w:val="21"/>
          <w:lang w:val="es-PE"/>
        </w:rPr>
        <w:t xml:space="preserve"> </w:t>
      </w:r>
      <w:r w:rsidRPr="00B8072D">
        <w:rPr>
          <w:rFonts w:ascii="Arial" w:hAnsi="Arial" w:cs="Arial"/>
          <w:sz w:val="21"/>
          <w:szCs w:val="21"/>
          <w:lang w:val="es-PE"/>
        </w:rPr>
        <w:t xml:space="preserve">contra </w:t>
      </w:r>
      <w:r w:rsidRPr="00B8072D">
        <w:rPr>
          <w:rFonts w:ascii="Arial" w:hAnsi="Arial" w:cs="Arial"/>
          <w:b/>
          <w:bCs/>
          <w:sz w:val="21"/>
          <w:szCs w:val="21"/>
          <w:lang w:val="es-MX"/>
        </w:rPr>
        <w:t>PACÍFICO SEGUROS</w:t>
      </w:r>
      <w:r w:rsidR="00197A9F" w:rsidRPr="00B8072D">
        <w:rPr>
          <w:rFonts w:ascii="Arial" w:hAnsi="Arial" w:cs="Arial"/>
          <w:sz w:val="21"/>
          <w:szCs w:val="21"/>
          <w:lang w:val="es-MX"/>
        </w:rPr>
        <w:t>, dejando a salvo del derecho del reclamante de acudir ante las instancias que considere pertinente.</w:t>
      </w:r>
    </w:p>
    <w:p w14:paraId="790E5DB8" w14:textId="77777777" w:rsidR="00243B37" w:rsidRPr="00B8072D" w:rsidRDefault="00243B37" w:rsidP="00243B37">
      <w:pPr>
        <w:spacing w:after="0" w:line="240" w:lineRule="auto"/>
        <w:rPr>
          <w:rFonts w:ascii="Arial" w:hAnsi="Arial" w:cs="Arial"/>
          <w:sz w:val="21"/>
          <w:szCs w:val="21"/>
          <w:lang w:val="es-MX"/>
        </w:rPr>
      </w:pPr>
    </w:p>
    <w:p w14:paraId="372E6590" w14:textId="15666E1D" w:rsidR="00243B37" w:rsidRPr="00C877A4" w:rsidRDefault="00243B37" w:rsidP="00243B37">
      <w:pPr>
        <w:spacing w:line="240" w:lineRule="auto"/>
        <w:jc w:val="right"/>
        <w:rPr>
          <w:rFonts w:ascii="Arial" w:hAnsi="Arial" w:cs="Arial"/>
          <w:sz w:val="21"/>
          <w:szCs w:val="21"/>
          <w:lang w:val="es-PE"/>
        </w:rPr>
      </w:pPr>
      <w:r w:rsidRPr="00C877A4">
        <w:rPr>
          <w:rFonts w:ascii="Arial" w:hAnsi="Arial" w:cs="Arial"/>
          <w:sz w:val="21"/>
          <w:szCs w:val="21"/>
          <w:lang w:val="es-PE"/>
        </w:rPr>
        <w:t>Lima</w:t>
      </w:r>
      <w:r w:rsidR="00B8072D" w:rsidRPr="00C877A4">
        <w:rPr>
          <w:rFonts w:ascii="Arial" w:hAnsi="Arial" w:cs="Arial"/>
          <w:sz w:val="21"/>
          <w:szCs w:val="21"/>
          <w:lang w:val="es-PE"/>
        </w:rPr>
        <w:t xml:space="preserve">, 11 de noviembre </w:t>
      </w:r>
      <w:r w:rsidRPr="00C877A4">
        <w:rPr>
          <w:rFonts w:ascii="Arial" w:hAnsi="Arial" w:cs="Arial"/>
          <w:sz w:val="21"/>
          <w:szCs w:val="21"/>
          <w:lang w:val="es-PE"/>
        </w:rPr>
        <w:t>de 2019</w:t>
      </w:r>
    </w:p>
    <w:p w14:paraId="159AFF17" w14:textId="36EA77F7" w:rsidR="00B8072D" w:rsidRPr="00C877A4" w:rsidRDefault="00B8072D" w:rsidP="00243B37">
      <w:pPr>
        <w:spacing w:line="240" w:lineRule="auto"/>
        <w:jc w:val="right"/>
        <w:rPr>
          <w:rFonts w:ascii="Arial" w:hAnsi="Arial" w:cs="Arial"/>
          <w:sz w:val="21"/>
          <w:szCs w:val="21"/>
          <w:lang w:val="es-PE"/>
        </w:rPr>
      </w:pPr>
    </w:p>
    <w:p w14:paraId="5C091905" w14:textId="6411A9EF" w:rsidR="00B8072D" w:rsidRPr="00C877A4" w:rsidRDefault="00B8072D" w:rsidP="00243B37">
      <w:pPr>
        <w:spacing w:line="240" w:lineRule="auto"/>
        <w:jc w:val="right"/>
        <w:rPr>
          <w:rFonts w:ascii="Arial" w:hAnsi="Arial" w:cs="Arial"/>
          <w:sz w:val="21"/>
          <w:szCs w:val="21"/>
          <w:lang w:val="es-PE"/>
        </w:rPr>
      </w:pPr>
    </w:p>
    <w:p w14:paraId="295C8816" w14:textId="09E45529" w:rsidR="00B8072D" w:rsidRPr="00B8072D" w:rsidRDefault="00B8072D" w:rsidP="00B8072D">
      <w:pPr>
        <w:spacing w:after="0"/>
        <w:jc w:val="center"/>
        <w:rPr>
          <w:rFonts w:ascii="Arial" w:hAnsi="Arial" w:cs="Arial"/>
          <w:sz w:val="21"/>
          <w:szCs w:val="21"/>
          <w:lang w:val="es-PE"/>
        </w:rPr>
      </w:pPr>
      <w:r w:rsidRPr="00B8072D">
        <w:rPr>
          <w:rFonts w:ascii="Arial" w:hAnsi="Arial" w:cs="Arial"/>
          <w:sz w:val="21"/>
          <w:szCs w:val="21"/>
          <w:lang w:val="es-PE"/>
        </w:rPr>
        <w:t>María Eugenia Valdez Fernández Baca</w:t>
      </w:r>
    </w:p>
    <w:p w14:paraId="5DDD6ECF" w14:textId="7F673F0B" w:rsidR="00B8072D" w:rsidRPr="00B8072D" w:rsidRDefault="00B8072D" w:rsidP="00B8072D">
      <w:pPr>
        <w:spacing w:after="0"/>
        <w:jc w:val="center"/>
        <w:rPr>
          <w:rFonts w:ascii="Arial" w:hAnsi="Arial" w:cs="Arial"/>
          <w:sz w:val="21"/>
          <w:szCs w:val="21"/>
        </w:rPr>
      </w:pPr>
      <w:r w:rsidRPr="00B8072D">
        <w:rPr>
          <w:rFonts w:ascii="Arial" w:hAnsi="Arial" w:cs="Arial"/>
          <w:sz w:val="21"/>
          <w:szCs w:val="21"/>
        </w:rPr>
        <w:t>Vocal</w:t>
      </w:r>
    </w:p>
    <w:p w14:paraId="12F0EB98" w14:textId="77777777" w:rsidR="00B8072D" w:rsidRPr="00B8072D" w:rsidRDefault="00B8072D" w:rsidP="00B8072D">
      <w:pPr>
        <w:rPr>
          <w:rFonts w:ascii="Arial" w:hAnsi="Arial" w:cs="Arial"/>
          <w:sz w:val="21"/>
          <w:szCs w:val="21"/>
        </w:rPr>
      </w:pPr>
    </w:p>
    <w:p w14:paraId="7F88367D" w14:textId="77777777" w:rsidR="00B8072D" w:rsidRPr="00B8072D" w:rsidRDefault="00B8072D" w:rsidP="00243B37">
      <w:pPr>
        <w:spacing w:line="240" w:lineRule="auto"/>
        <w:jc w:val="right"/>
        <w:rPr>
          <w:rFonts w:ascii="Arial" w:hAnsi="Arial" w:cs="Arial"/>
          <w:sz w:val="21"/>
          <w:szCs w:val="21"/>
        </w:rPr>
      </w:pPr>
    </w:p>
    <w:p w14:paraId="09FB19C3" w14:textId="77777777" w:rsidR="00517989" w:rsidRPr="00B8072D" w:rsidRDefault="00F936FE" w:rsidP="00243B37">
      <w:pPr>
        <w:tabs>
          <w:tab w:val="num" w:pos="720"/>
        </w:tabs>
        <w:spacing w:after="0" w:line="240" w:lineRule="auto"/>
        <w:jc w:val="both"/>
        <w:rPr>
          <w:rFonts w:ascii="Arial" w:hAnsi="Arial" w:cs="Arial"/>
          <w:sz w:val="21"/>
          <w:szCs w:val="21"/>
          <w:lang w:val="es-ES"/>
        </w:rPr>
      </w:pPr>
    </w:p>
    <w:sectPr w:rsidR="00517989" w:rsidRPr="00B8072D"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748DB" w14:textId="77777777" w:rsidR="00F936FE" w:rsidRDefault="00F936FE" w:rsidP="008B0F15">
      <w:pPr>
        <w:spacing w:after="0" w:line="240" w:lineRule="auto"/>
      </w:pPr>
      <w:r>
        <w:separator/>
      </w:r>
    </w:p>
  </w:endnote>
  <w:endnote w:type="continuationSeparator" w:id="0">
    <w:p w14:paraId="0F672979" w14:textId="77777777" w:rsidR="00F936FE" w:rsidRDefault="00F936FE" w:rsidP="008B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A8DF9" w14:textId="77777777" w:rsidR="00F936FE" w:rsidRDefault="00F936FE" w:rsidP="008B0F15">
      <w:pPr>
        <w:spacing w:after="0" w:line="240" w:lineRule="auto"/>
      </w:pPr>
      <w:r>
        <w:separator/>
      </w:r>
    </w:p>
  </w:footnote>
  <w:footnote w:type="continuationSeparator" w:id="0">
    <w:p w14:paraId="56C44422" w14:textId="77777777" w:rsidR="00F936FE" w:rsidRDefault="00F936FE" w:rsidP="008B0F15">
      <w:pPr>
        <w:spacing w:after="0" w:line="240" w:lineRule="auto"/>
      </w:pPr>
      <w:r>
        <w:continuationSeparator/>
      </w:r>
    </w:p>
  </w:footnote>
  <w:footnote w:id="1">
    <w:p w14:paraId="42AE5F6D" w14:textId="07BB947E" w:rsidR="00E722B8" w:rsidRPr="00E722B8" w:rsidRDefault="00E722B8">
      <w:pPr>
        <w:pStyle w:val="Textonotapie"/>
        <w:rPr>
          <w:lang w:val="es-PE"/>
        </w:rPr>
      </w:pPr>
      <w:r>
        <w:rPr>
          <w:rStyle w:val="Refdenotaalpie"/>
        </w:rPr>
        <w:footnoteRef/>
      </w:r>
      <w:r w:rsidRPr="00E722B8">
        <w:rPr>
          <w:lang w:val="es-PE"/>
        </w:rPr>
        <w:t xml:space="preserve"> </w:t>
      </w:r>
      <w:hyperlink r:id="rId1" w:history="1">
        <w:r w:rsidRPr="00E722B8">
          <w:rPr>
            <w:rStyle w:val="Hipervnculo"/>
            <w:lang w:val="es-PE"/>
          </w:rPr>
          <w:t>http://spij.minjus.gob.pe/Graficos/Jurisp/2010/Enero/08/AP-3-2009-CJ-116.pdf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3C26"/>
    <w:multiLevelType w:val="hybridMultilevel"/>
    <w:tmpl w:val="9184FE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FC"/>
    <w:rsid w:val="000118DB"/>
    <w:rsid w:val="00017E58"/>
    <w:rsid w:val="00027C65"/>
    <w:rsid w:val="00032526"/>
    <w:rsid w:val="000479D5"/>
    <w:rsid w:val="00071E29"/>
    <w:rsid w:val="00084E51"/>
    <w:rsid w:val="00123AE5"/>
    <w:rsid w:val="00126EF3"/>
    <w:rsid w:val="00130D7B"/>
    <w:rsid w:val="00145D73"/>
    <w:rsid w:val="00146457"/>
    <w:rsid w:val="00186674"/>
    <w:rsid w:val="00197A9F"/>
    <w:rsid w:val="001D6D23"/>
    <w:rsid w:val="001E4F0A"/>
    <w:rsid w:val="002175A7"/>
    <w:rsid w:val="00241074"/>
    <w:rsid w:val="00243B37"/>
    <w:rsid w:val="00244F3C"/>
    <w:rsid w:val="00294B7D"/>
    <w:rsid w:val="002B7872"/>
    <w:rsid w:val="002C6EC3"/>
    <w:rsid w:val="002D0624"/>
    <w:rsid w:val="002D2E63"/>
    <w:rsid w:val="002E38AF"/>
    <w:rsid w:val="002F45F5"/>
    <w:rsid w:val="002F7989"/>
    <w:rsid w:val="00302504"/>
    <w:rsid w:val="003436F7"/>
    <w:rsid w:val="00367813"/>
    <w:rsid w:val="00377285"/>
    <w:rsid w:val="00382426"/>
    <w:rsid w:val="003825CE"/>
    <w:rsid w:val="003A5700"/>
    <w:rsid w:val="003C331D"/>
    <w:rsid w:val="003C6637"/>
    <w:rsid w:val="003D04E5"/>
    <w:rsid w:val="003D76ED"/>
    <w:rsid w:val="003F27DF"/>
    <w:rsid w:val="003F3AA8"/>
    <w:rsid w:val="0040107C"/>
    <w:rsid w:val="00414345"/>
    <w:rsid w:val="004145BD"/>
    <w:rsid w:val="00417E23"/>
    <w:rsid w:val="00463283"/>
    <w:rsid w:val="0047324C"/>
    <w:rsid w:val="00485614"/>
    <w:rsid w:val="004A48BF"/>
    <w:rsid w:val="004B2D92"/>
    <w:rsid w:val="005229ED"/>
    <w:rsid w:val="00542F52"/>
    <w:rsid w:val="00565180"/>
    <w:rsid w:val="0056538C"/>
    <w:rsid w:val="005705FC"/>
    <w:rsid w:val="0058358B"/>
    <w:rsid w:val="005A181B"/>
    <w:rsid w:val="005A74A6"/>
    <w:rsid w:val="005B79AD"/>
    <w:rsid w:val="005D35FE"/>
    <w:rsid w:val="005F6250"/>
    <w:rsid w:val="0066244B"/>
    <w:rsid w:val="006970B4"/>
    <w:rsid w:val="006A5C5E"/>
    <w:rsid w:val="006C06B1"/>
    <w:rsid w:val="006D5590"/>
    <w:rsid w:val="006E1CD0"/>
    <w:rsid w:val="0071519F"/>
    <w:rsid w:val="0073701B"/>
    <w:rsid w:val="007C0B8B"/>
    <w:rsid w:val="007C2FC5"/>
    <w:rsid w:val="007C46BB"/>
    <w:rsid w:val="007D4054"/>
    <w:rsid w:val="007D5C7E"/>
    <w:rsid w:val="008247E1"/>
    <w:rsid w:val="0083387A"/>
    <w:rsid w:val="008740D8"/>
    <w:rsid w:val="008930FB"/>
    <w:rsid w:val="008B0F15"/>
    <w:rsid w:val="008C1A06"/>
    <w:rsid w:val="008C5482"/>
    <w:rsid w:val="008E161B"/>
    <w:rsid w:val="008F5800"/>
    <w:rsid w:val="0090142B"/>
    <w:rsid w:val="0092536A"/>
    <w:rsid w:val="00933C9E"/>
    <w:rsid w:val="00951206"/>
    <w:rsid w:val="00960487"/>
    <w:rsid w:val="00964FCD"/>
    <w:rsid w:val="00967F34"/>
    <w:rsid w:val="00980234"/>
    <w:rsid w:val="0099783A"/>
    <w:rsid w:val="009A1FB4"/>
    <w:rsid w:val="009E298C"/>
    <w:rsid w:val="009E7AF5"/>
    <w:rsid w:val="009F4020"/>
    <w:rsid w:val="009F5E03"/>
    <w:rsid w:val="009F75C6"/>
    <w:rsid w:val="00A008A8"/>
    <w:rsid w:val="00A1001B"/>
    <w:rsid w:val="00A1636C"/>
    <w:rsid w:val="00A223FC"/>
    <w:rsid w:val="00A26E8D"/>
    <w:rsid w:val="00A418E3"/>
    <w:rsid w:val="00A86311"/>
    <w:rsid w:val="00A93574"/>
    <w:rsid w:val="00AA499C"/>
    <w:rsid w:val="00AA7A2A"/>
    <w:rsid w:val="00AB1983"/>
    <w:rsid w:val="00B24A68"/>
    <w:rsid w:val="00B61F56"/>
    <w:rsid w:val="00B66281"/>
    <w:rsid w:val="00B8072D"/>
    <w:rsid w:val="00B83870"/>
    <w:rsid w:val="00BB105F"/>
    <w:rsid w:val="00BE35FF"/>
    <w:rsid w:val="00C03E3D"/>
    <w:rsid w:val="00C3161B"/>
    <w:rsid w:val="00C34BF7"/>
    <w:rsid w:val="00C50A84"/>
    <w:rsid w:val="00C54A98"/>
    <w:rsid w:val="00C74175"/>
    <w:rsid w:val="00C82195"/>
    <w:rsid w:val="00C877A4"/>
    <w:rsid w:val="00D15C1E"/>
    <w:rsid w:val="00D368FC"/>
    <w:rsid w:val="00D4084E"/>
    <w:rsid w:val="00D55738"/>
    <w:rsid w:val="00D74075"/>
    <w:rsid w:val="00D86E87"/>
    <w:rsid w:val="00DA0177"/>
    <w:rsid w:val="00DA4947"/>
    <w:rsid w:val="00DB1825"/>
    <w:rsid w:val="00DD2BFC"/>
    <w:rsid w:val="00DD7833"/>
    <w:rsid w:val="00E07764"/>
    <w:rsid w:val="00E16F34"/>
    <w:rsid w:val="00E209CF"/>
    <w:rsid w:val="00E67D1C"/>
    <w:rsid w:val="00E71609"/>
    <w:rsid w:val="00E722B8"/>
    <w:rsid w:val="00E823CF"/>
    <w:rsid w:val="00E83ECB"/>
    <w:rsid w:val="00EA422E"/>
    <w:rsid w:val="00EC5DA0"/>
    <w:rsid w:val="00EF625D"/>
    <w:rsid w:val="00F029DD"/>
    <w:rsid w:val="00F050A1"/>
    <w:rsid w:val="00F10699"/>
    <w:rsid w:val="00F25BCE"/>
    <w:rsid w:val="00F936FE"/>
    <w:rsid w:val="00FD3A06"/>
    <w:rsid w:val="00FF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705FC"/>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5705FC"/>
    <w:rPr>
      <w:rFonts w:ascii="Times New Roman" w:eastAsia="Times New Roman" w:hAnsi="Times New Roman" w:cs="Times New Roman"/>
      <w:b/>
      <w:bCs/>
      <w:sz w:val="24"/>
      <w:szCs w:val="24"/>
      <w:lang w:val="es-MX" w:eastAsia="es-ES"/>
    </w:rPr>
  </w:style>
  <w:style w:type="character" w:styleId="Textoennegrita">
    <w:name w:val="Strong"/>
    <w:qFormat/>
    <w:rsid w:val="005705FC"/>
    <w:rPr>
      <w:b/>
      <w:bCs/>
    </w:rPr>
  </w:style>
  <w:style w:type="paragraph" w:styleId="Prrafodelista">
    <w:name w:val="List Paragraph"/>
    <w:basedOn w:val="Normal"/>
    <w:uiPriority w:val="34"/>
    <w:qFormat/>
    <w:rsid w:val="00243B37"/>
    <w:pPr>
      <w:spacing w:after="200" w:line="20" w:lineRule="atLeast"/>
      <w:ind w:left="720"/>
      <w:contextualSpacing/>
    </w:pPr>
    <w:rPr>
      <w:rFonts w:ascii="Calibri" w:eastAsia="Calibri" w:hAnsi="Calibri" w:cs="Times New Roman"/>
      <w:lang w:val="es-PE"/>
    </w:rPr>
  </w:style>
  <w:style w:type="paragraph" w:styleId="Textonotapie">
    <w:name w:val="footnote text"/>
    <w:basedOn w:val="Normal"/>
    <w:link w:val="TextonotapieCar"/>
    <w:uiPriority w:val="99"/>
    <w:semiHidden/>
    <w:unhideWhenUsed/>
    <w:rsid w:val="008B0F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0F15"/>
    <w:rPr>
      <w:sz w:val="20"/>
      <w:szCs w:val="20"/>
    </w:rPr>
  </w:style>
  <w:style w:type="character" w:styleId="Refdenotaalpie">
    <w:name w:val="footnote reference"/>
    <w:basedOn w:val="Fuentedeprrafopredeter"/>
    <w:uiPriority w:val="99"/>
    <w:semiHidden/>
    <w:unhideWhenUsed/>
    <w:rsid w:val="008B0F15"/>
    <w:rPr>
      <w:vertAlign w:val="superscript"/>
    </w:rPr>
  </w:style>
  <w:style w:type="character" w:styleId="Hipervnculo">
    <w:name w:val="Hyperlink"/>
    <w:basedOn w:val="Fuentedeprrafopredeter"/>
    <w:uiPriority w:val="99"/>
    <w:semiHidden/>
    <w:unhideWhenUsed/>
    <w:rsid w:val="008F5800"/>
    <w:rPr>
      <w:color w:val="0000FF"/>
      <w:u w:val="single"/>
    </w:rPr>
  </w:style>
  <w:style w:type="character" w:styleId="Hipervnculovisitado">
    <w:name w:val="FollowedHyperlink"/>
    <w:basedOn w:val="Fuentedeprrafopredeter"/>
    <w:uiPriority w:val="99"/>
    <w:semiHidden/>
    <w:unhideWhenUsed/>
    <w:rsid w:val="003436F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705FC"/>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5705FC"/>
    <w:rPr>
      <w:rFonts w:ascii="Times New Roman" w:eastAsia="Times New Roman" w:hAnsi="Times New Roman" w:cs="Times New Roman"/>
      <w:b/>
      <w:bCs/>
      <w:sz w:val="24"/>
      <w:szCs w:val="24"/>
      <w:lang w:val="es-MX" w:eastAsia="es-ES"/>
    </w:rPr>
  </w:style>
  <w:style w:type="character" w:styleId="Textoennegrita">
    <w:name w:val="Strong"/>
    <w:qFormat/>
    <w:rsid w:val="005705FC"/>
    <w:rPr>
      <w:b/>
      <w:bCs/>
    </w:rPr>
  </w:style>
  <w:style w:type="paragraph" w:styleId="Prrafodelista">
    <w:name w:val="List Paragraph"/>
    <w:basedOn w:val="Normal"/>
    <w:uiPriority w:val="34"/>
    <w:qFormat/>
    <w:rsid w:val="00243B37"/>
    <w:pPr>
      <w:spacing w:after="200" w:line="20" w:lineRule="atLeast"/>
      <w:ind w:left="720"/>
      <w:contextualSpacing/>
    </w:pPr>
    <w:rPr>
      <w:rFonts w:ascii="Calibri" w:eastAsia="Calibri" w:hAnsi="Calibri" w:cs="Times New Roman"/>
      <w:lang w:val="es-PE"/>
    </w:rPr>
  </w:style>
  <w:style w:type="paragraph" w:styleId="Textonotapie">
    <w:name w:val="footnote text"/>
    <w:basedOn w:val="Normal"/>
    <w:link w:val="TextonotapieCar"/>
    <w:uiPriority w:val="99"/>
    <w:semiHidden/>
    <w:unhideWhenUsed/>
    <w:rsid w:val="008B0F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0F15"/>
    <w:rPr>
      <w:sz w:val="20"/>
      <w:szCs w:val="20"/>
    </w:rPr>
  </w:style>
  <w:style w:type="character" w:styleId="Refdenotaalpie">
    <w:name w:val="footnote reference"/>
    <w:basedOn w:val="Fuentedeprrafopredeter"/>
    <w:uiPriority w:val="99"/>
    <w:semiHidden/>
    <w:unhideWhenUsed/>
    <w:rsid w:val="008B0F15"/>
    <w:rPr>
      <w:vertAlign w:val="superscript"/>
    </w:rPr>
  </w:style>
  <w:style w:type="character" w:styleId="Hipervnculo">
    <w:name w:val="Hyperlink"/>
    <w:basedOn w:val="Fuentedeprrafopredeter"/>
    <w:uiPriority w:val="99"/>
    <w:semiHidden/>
    <w:unhideWhenUsed/>
    <w:rsid w:val="008F5800"/>
    <w:rPr>
      <w:color w:val="0000FF"/>
      <w:u w:val="single"/>
    </w:rPr>
  </w:style>
  <w:style w:type="character" w:styleId="Hipervnculovisitado">
    <w:name w:val="FollowedHyperlink"/>
    <w:basedOn w:val="Fuentedeprrafopredeter"/>
    <w:uiPriority w:val="99"/>
    <w:semiHidden/>
    <w:unhideWhenUsed/>
    <w:rsid w:val="003436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ij.minjus.gob.pe/Graficos/Jurisp/2010/Enero/08/AP-3-2009-CJ-1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B653-BC51-4869-AB84-16EB7D7E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11801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2020-04-12T03:04:00Z</dcterms:created>
  <dcterms:modified xsi:type="dcterms:W3CDTF">2020-04-12T03:04:00Z</dcterms:modified>
</cp:coreProperties>
</file>