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B5" w:rsidRPr="00FC277F" w:rsidRDefault="00D514B5">
      <w:pPr>
        <w:pStyle w:val="Puesto"/>
        <w:rPr>
          <w:rStyle w:val="Textoennegrita"/>
          <w:b/>
          <w:bCs/>
          <w:sz w:val="22"/>
          <w:szCs w:val="22"/>
          <w:lang w:val="es-ES"/>
        </w:rPr>
      </w:pPr>
      <w:r w:rsidRPr="00FC277F">
        <w:rPr>
          <w:rStyle w:val="Textoennegrita"/>
          <w:sz w:val="22"/>
          <w:szCs w:val="22"/>
          <w:lang w:val="es-ES"/>
        </w:rPr>
        <w:t xml:space="preserve"> </w:t>
      </w:r>
      <w:r w:rsidRPr="00FC277F">
        <w:rPr>
          <w:rStyle w:val="Textoennegrita"/>
          <w:b/>
          <w:bCs/>
          <w:sz w:val="22"/>
          <w:szCs w:val="22"/>
          <w:lang w:val="es-ES"/>
        </w:rPr>
        <w:t>RESOLUCION N°</w:t>
      </w:r>
      <w:r w:rsidR="00FC277F" w:rsidRPr="00FC277F">
        <w:rPr>
          <w:rStyle w:val="Textoennegrita"/>
          <w:b/>
          <w:bCs/>
          <w:sz w:val="22"/>
          <w:szCs w:val="22"/>
          <w:lang w:val="es-ES"/>
        </w:rPr>
        <w:t xml:space="preserve"> 153</w:t>
      </w:r>
      <w:r w:rsidRPr="00FC277F">
        <w:rPr>
          <w:rStyle w:val="Textoennegrita"/>
          <w:b/>
          <w:bCs/>
          <w:sz w:val="22"/>
          <w:szCs w:val="22"/>
          <w:lang w:val="es-ES"/>
        </w:rPr>
        <w:t xml:space="preserve"> /</w:t>
      </w:r>
      <w:r w:rsidR="00317CEC" w:rsidRPr="00FC277F">
        <w:rPr>
          <w:rStyle w:val="Textoennegrita"/>
          <w:b/>
          <w:bCs/>
          <w:sz w:val="22"/>
          <w:szCs w:val="22"/>
          <w:lang w:val="es-ES"/>
        </w:rPr>
        <w:t>201</w:t>
      </w:r>
      <w:r w:rsidR="00455B3E" w:rsidRPr="00FC277F">
        <w:rPr>
          <w:rStyle w:val="Textoennegrita"/>
          <w:b/>
          <w:bCs/>
          <w:sz w:val="22"/>
          <w:szCs w:val="22"/>
          <w:lang w:val="es-ES"/>
        </w:rPr>
        <w:t>9</w:t>
      </w:r>
      <w:r w:rsidR="000953FA" w:rsidRPr="00FC277F">
        <w:rPr>
          <w:rStyle w:val="Textoennegrita"/>
          <w:b/>
          <w:bCs/>
          <w:sz w:val="22"/>
          <w:szCs w:val="22"/>
          <w:lang w:val="es-ES"/>
        </w:rPr>
        <w:t xml:space="preserve"> </w:t>
      </w:r>
    </w:p>
    <w:p w:rsidR="00D514B5" w:rsidRPr="00FC277F" w:rsidRDefault="00D514B5">
      <w:pPr>
        <w:rPr>
          <w:rStyle w:val="Textoennegrita"/>
          <w:sz w:val="22"/>
          <w:szCs w:val="22"/>
        </w:rPr>
      </w:pPr>
    </w:p>
    <w:p w:rsidR="00D514B5" w:rsidRPr="00FC277F" w:rsidRDefault="00317CEC">
      <w:pPr>
        <w:jc w:val="both"/>
        <w:rPr>
          <w:sz w:val="22"/>
          <w:szCs w:val="22"/>
        </w:rPr>
      </w:pPr>
      <w:r w:rsidRPr="00FC277F">
        <w:rPr>
          <w:rStyle w:val="Textoennegrita"/>
          <w:sz w:val="22"/>
          <w:szCs w:val="22"/>
        </w:rPr>
        <w:t>VISTOS</w:t>
      </w:r>
      <w:r w:rsidR="00D514B5" w:rsidRPr="00FC277F">
        <w:rPr>
          <w:rStyle w:val="Textoennegrita"/>
          <w:sz w:val="22"/>
          <w:szCs w:val="22"/>
        </w:rPr>
        <w:t>:</w:t>
      </w:r>
    </w:p>
    <w:p w:rsidR="000953FA" w:rsidRPr="00FC277F" w:rsidRDefault="000953FA">
      <w:pPr>
        <w:jc w:val="both"/>
        <w:rPr>
          <w:sz w:val="22"/>
          <w:szCs w:val="22"/>
        </w:rPr>
      </w:pPr>
    </w:p>
    <w:p w:rsidR="000953FA" w:rsidRPr="00FC277F" w:rsidRDefault="000953FA" w:rsidP="00D776DB">
      <w:pPr>
        <w:jc w:val="both"/>
        <w:rPr>
          <w:b/>
          <w:sz w:val="22"/>
          <w:szCs w:val="22"/>
          <w:lang w:val="es-MX"/>
        </w:rPr>
      </w:pPr>
      <w:r w:rsidRPr="00FC277F">
        <w:rPr>
          <w:sz w:val="22"/>
          <w:szCs w:val="22"/>
        </w:rPr>
        <w:t xml:space="preserve">Que, </w:t>
      </w:r>
      <w:proofErr w:type="gramStart"/>
      <w:r w:rsidRPr="00FC277F">
        <w:rPr>
          <w:sz w:val="22"/>
          <w:szCs w:val="22"/>
        </w:rPr>
        <w:t>do</w:t>
      </w:r>
      <w:r w:rsidR="00455B3E" w:rsidRPr="00FC277F">
        <w:rPr>
          <w:sz w:val="22"/>
          <w:szCs w:val="22"/>
        </w:rPr>
        <w:t xml:space="preserve">n </w:t>
      </w:r>
      <w:r w:rsidR="00921EA2">
        <w:rPr>
          <w:b/>
          <w:bCs/>
          <w:sz w:val="22"/>
          <w:szCs w:val="22"/>
          <w:lang w:val="es-MX"/>
        </w:rPr>
        <w:t>........................</w:t>
      </w:r>
      <w:proofErr w:type="gramEnd"/>
      <w:r w:rsidR="00D776DB" w:rsidRPr="00FC277F">
        <w:rPr>
          <w:b/>
          <w:bCs/>
          <w:sz w:val="22"/>
          <w:szCs w:val="22"/>
          <w:lang w:val="es-MX"/>
        </w:rPr>
        <w:t xml:space="preserve"> </w:t>
      </w:r>
      <w:r w:rsidRPr="00FC277F">
        <w:rPr>
          <w:bCs/>
          <w:sz w:val="22"/>
          <w:szCs w:val="22"/>
          <w:lang w:val="es-MX"/>
        </w:rPr>
        <w:t xml:space="preserve">interpone </w:t>
      </w:r>
      <w:r w:rsidRPr="00FC277F">
        <w:rPr>
          <w:sz w:val="22"/>
          <w:szCs w:val="22"/>
        </w:rPr>
        <w:t xml:space="preserve">reclamación ante esta Defensoría del Asegurado (DEFASEG) contra </w:t>
      </w:r>
      <w:r w:rsidR="00921EA2">
        <w:rPr>
          <w:b/>
          <w:bCs/>
          <w:sz w:val="22"/>
          <w:szCs w:val="22"/>
          <w:lang w:val="es-MX"/>
        </w:rPr>
        <w:t>........................</w:t>
      </w:r>
      <w:r w:rsidR="009230CC" w:rsidRPr="00FC277F">
        <w:rPr>
          <w:b/>
          <w:bCs/>
          <w:sz w:val="22"/>
          <w:szCs w:val="22"/>
          <w:lang w:val="es-MX"/>
        </w:rPr>
        <w:t xml:space="preserve"> SEGUROS</w:t>
      </w:r>
      <w:r w:rsidRPr="00FC277F">
        <w:rPr>
          <w:bCs/>
          <w:sz w:val="22"/>
          <w:szCs w:val="22"/>
          <w:lang w:val="es-MX"/>
        </w:rPr>
        <w:t>, solicitando se le</w:t>
      </w:r>
      <w:r w:rsidRPr="00FC277F">
        <w:rPr>
          <w:sz w:val="22"/>
          <w:szCs w:val="22"/>
        </w:rPr>
        <w:t xml:space="preserve"> otorgue la </w:t>
      </w:r>
      <w:r w:rsidRPr="00FC277F">
        <w:rPr>
          <w:bCs/>
          <w:sz w:val="22"/>
          <w:szCs w:val="22"/>
        </w:rPr>
        <w:t>cobertura de</w:t>
      </w:r>
      <w:r w:rsidR="00D776DB" w:rsidRPr="00FC277F">
        <w:rPr>
          <w:bCs/>
          <w:sz w:val="22"/>
          <w:szCs w:val="22"/>
        </w:rPr>
        <w:t xml:space="preserve">l </w:t>
      </w:r>
      <w:r w:rsidR="00D776DB" w:rsidRPr="00FC277F">
        <w:rPr>
          <w:b/>
          <w:sz w:val="22"/>
          <w:szCs w:val="22"/>
          <w:lang w:val="es-MX"/>
        </w:rPr>
        <w:t xml:space="preserve">SEGURO DE DESGRAVAMEN - PÓLIZA </w:t>
      </w:r>
      <w:proofErr w:type="gramStart"/>
      <w:r w:rsidR="00D776DB" w:rsidRPr="00FC277F">
        <w:rPr>
          <w:b/>
          <w:sz w:val="22"/>
          <w:szCs w:val="22"/>
          <w:lang w:val="es-MX"/>
        </w:rPr>
        <w:t xml:space="preserve">No </w:t>
      </w:r>
      <w:r w:rsidR="00921EA2">
        <w:rPr>
          <w:b/>
          <w:sz w:val="22"/>
          <w:szCs w:val="22"/>
          <w:lang w:val="es-MX"/>
        </w:rPr>
        <w:t>........................</w:t>
      </w:r>
      <w:r w:rsidRPr="00FC277F">
        <w:rPr>
          <w:bCs/>
          <w:sz w:val="22"/>
          <w:szCs w:val="22"/>
          <w:lang w:val="es-MX"/>
        </w:rPr>
        <w:t>.</w:t>
      </w:r>
      <w:proofErr w:type="gramEnd"/>
    </w:p>
    <w:p w:rsidR="000953FA" w:rsidRPr="00FC277F" w:rsidRDefault="000953FA" w:rsidP="000953FA">
      <w:pPr>
        <w:jc w:val="both"/>
        <w:rPr>
          <w:sz w:val="22"/>
          <w:szCs w:val="22"/>
        </w:rPr>
      </w:pPr>
      <w:r w:rsidRPr="00FC277F">
        <w:rPr>
          <w:sz w:val="22"/>
          <w:szCs w:val="22"/>
        </w:rPr>
        <w:t xml:space="preserve"> </w:t>
      </w:r>
      <w:bookmarkStart w:id="0" w:name="OLE_LINK2"/>
    </w:p>
    <w:bookmarkEnd w:id="0"/>
    <w:p w:rsidR="000953FA" w:rsidRPr="00FC277F" w:rsidRDefault="000953FA" w:rsidP="000953FA">
      <w:pPr>
        <w:jc w:val="both"/>
        <w:rPr>
          <w:rFonts w:eastAsia="Arial Unicode MS"/>
          <w:sz w:val="22"/>
          <w:szCs w:val="22"/>
        </w:rPr>
      </w:pPr>
      <w:r w:rsidRPr="00FC277F">
        <w:rPr>
          <w:rFonts w:eastAsia="Arial Unicode MS"/>
          <w:sz w:val="22"/>
          <w:szCs w:val="22"/>
        </w:rPr>
        <w:t>Que, la señalada reclamación cumple con los requisitos de materia, cuantía y oportunidad establecidos en el Reglamento de la DEFASEG (http://www.defaseg.com.pe/reglamento).</w:t>
      </w:r>
    </w:p>
    <w:p w:rsidR="000953FA" w:rsidRPr="00FC277F" w:rsidRDefault="000953FA" w:rsidP="000953FA">
      <w:pPr>
        <w:tabs>
          <w:tab w:val="left" w:pos="2160"/>
        </w:tabs>
        <w:jc w:val="both"/>
        <w:rPr>
          <w:sz w:val="22"/>
          <w:szCs w:val="22"/>
        </w:rPr>
      </w:pPr>
    </w:p>
    <w:p w:rsidR="000953FA" w:rsidRPr="00FC277F" w:rsidRDefault="000953FA" w:rsidP="000953FA">
      <w:pPr>
        <w:tabs>
          <w:tab w:val="num" w:pos="720"/>
        </w:tabs>
        <w:jc w:val="both"/>
        <w:rPr>
          <w:sz w:val="22"/>
          <w:szCs w:val="22"/>
        </w:rPr>
      </w:pPr>
      <w:r w:rsidRPr="00FC277F">
        <w:rPr>
          <w:sz w:val="22"/>
          <w:szCs w:val="22"/>
        </w:rPr>
        <w:t xml:space="preserve">Que, habiéndosele corrido traslado de la respectiva reclamación, la aseguradora presentó sus descargos y la documentación solicitada. </w:t>
      </w:r>
    </w:p>
    <w:p w:rsidR="000953FA" w:rsidRPr="00FC277F" w:rsidRDefault="000953FA" w:rsidP="000953FA">
      <w:pPr>
        <w:tabs>
          <w:tab w:val="num" w:pos="720"/>
        </w:tabs>
        <w:jc w:val="both"/>
        <w:rPr>
          <w:sz w:val="22"/>
          <w:szCs w:val="22"/>
        </w:rPr>
      </w:pPr>
    </w:p>
    <w:p w:rsidR="000953FA" w:rsidRPr="00FC277F" w:rsidRDefault="000953FA" w:rsidP="000953FA">
      <w:pPr>
        <w:tabs>
          <w:tab w:val="num" w:pos="720"/>
        </w:tabs>
        <w:jc w:val="both"/>
        <w:rPr>
          <w:sz w:val="22"/>
          <w:szCs w:val="22"/>
        </w:rPr>
      </w:pPr>
      <w:r w:rsidRPr="00FC277F">
        <w:rPr>
          <w:sz w:val="22"/>
          <w:szCs w:val="22"/>
        </w:rPr>
        <w:t xml:space="preserve">Que, el </w:t>
      </w:r>
      <w:r w:rsidR="009230CC" w:rsidRPr="00FC277F">
        <w:rPr>
          <w:sz w:val="22"/>
          <w:szCs w:val="22"/>
        </w:rPr>
        <w:t>2</w:t>
      </w:r>
      <w:r w:rsidR="00D776DB" w:rsidRPr="00FC277F">
        <w:rPr>
          <w:sz w:val="22"/>
          <w:szCs w:val="22"/>
        </w:rPr>
        <w:t>8</w:t>
      </w:r>
      <w:r w:rsidR="00455B3E" w:rsidRPr="00FC277F">
        <w:rPr>
          <w:sz w:val="22"/>
          <w:szCs w:val="22"/>
        </w:rPr>
        <w:t xml:space="preserve"> </w:t>
      </w:r>
      <w:r w:rsidRPr="00FC277F">
        <w:rPr>
          <w:sz w:val="22"/>
          <w:szCs w:val="22"/>
        </w:rPr>
        <w:t xml:space="preserve">de </w:t>
      </w:r>
      <w:r w:rsidR="00D776DB" w:rsidRPr="00FC277F">
        <w:rPr>
          <w:sz w:val="22"/>
          <w:szCs w:val="22"/>
        </w:rPr>
        <w:t>octubre</w:t>
      </w:r>
      <w:r w:rsidRPr="00FC277F">
        <w:rPr>
          <w:sz w:val="22"/>
          <w:szCs w:val="22"/>
        </w:rPr>
        <w:t xml:space="preserve"> de 201</w:t>
      </w:r>
      <w:r w:rsidR="00455B3E" w:rsidRPr="00FC277F">
        <w:rPr>
          <w:sz w:val="22"/>
          <w:szCs w:val="22"/>
        </w:rPr>
        <w:t>9</w:t>
      </w:r>
      <w:r w:rsidRPr="00FC277F">
        <w:rPr>
          <w:sz w:val="22"/>
          <w:szCs w:val="22"/>
        </w:rPr>
        <w:t xml:space="preserve"> se llevó a cabo la audiencia de vista, con la asistencia </w:t>
      </w:r>
      <w:r w:rsidR="009230CC" w:rsidRPr="00FC277F">
        <w:rPr>
          <w:sz w:val="22"/>
          <w:szCs w:val="22"/>
        </w:rPr>
        <w:t>de las partes</w:t>
      </w:r>
      <w:r w:rsidRPr="00FC277F">
        <w:rPr>
          <w:sz w:val="22"/>
          <w:szCs w:val="22"/>
        </w:rPr>
        <w:t xml:space="preserve">, conforme consta </w:t>
      </w:r>
      <w:r w:rsidRPr="00FC277F">
        <w:rPr>
          <w:sz w:val="22"/>
          <w:szCs w:val="22"/>
          <w:lang w:val="es-419"/>
        </w:rPr>
        <w:t>en</w:t>
      </w:r>
      <w:r w:rsidRPr="00FC277F">
        <w:rPr>
          <w:sz w:val="22"/>
          <w:szCs w:val="22"/>
        </w:rPr>
        <w:t xml:space="preserve"> la correspondiente acta</w:t>
      </w:r>
      <w:r w:rsidRPr="00FC277F">
        <w:rPr>
          <w:sz w:val="22"/>
          <w:szCs w:val="22"/>
          <w:lang w:val="es-419"/>
        </w:rPr>
        <w:t>;</w:t>
      </w:r>
      <w:r w:rsidRPr="00FC277F">
        <w:rPr>
          <w:sz w:val="22"/>
          <w:szCs w:val="22"/>
        </w:rPr>
        <w:t xml:space="preserve"> </w:t>
      </w:r>
    </w:p>
    <w:p w:rsidR="000953FA" w:rsidRPr="00FC277F" w:rsidRDefault="000953FA" w:rsidP="000953FA">
      <w:pPr>
        <w:jc w:val="both"/>
        <w:rPr>
          <w:sz w:val="22"/>
          <w:szCs w:val="22"/>
        </w:rPr>
      </w:pPr>
    </w:p>
    <w:p w:rsidR="00D776DB" w:rsidRPr="00FC277F" w:rsidRDefault="000953FA" w:rsidP="00D776DB">
      <w:pPr>
        <w:jc w:val="both"/>
        <w:rPr>
          <w:sz w:val="22"/>
          <w:szCs w:val="22"/>
          <w:lang w:val="es-MX"/>
        </w:rPr>
      </w:pPr>
      <w:r w:rsidRPr="00FC277F">
        <w:rPr>
          <w:sz w:val="22"/>
          <w:szCs w:val="22"/>
        </w:rPr>
        <w:t>Que, en síntesis, la posición de</w:t>
      </w:r>
      <w:r w:rsidR="00455B3E" w:rsidRPr="00FC277F">
        <w:rPr>
          <w:sz w:val="22"/>
          <w:szCs w:val="22"/>
        </w:rPr>
        <w:t>l</w:t>
      </w:r>
      <w:r w:rsidRPr="00FC277F">
        <w:rPr>
          <w:sz w:val="22"/>
          <w:szCs w:val="22"/>
        </w:rPr>
        <w:t xml:space="preserve"> reclamante es la siguiente: (1)</w:t>
      </w:r>
      <w:r w:rsidR="009230CC" w:rsidRPr="00FC277F">
        <w:rPr>
          <w:sz w:val="22"/>
          <w:szCs w:val="22"/>
          <w:lang w:val="es-MX"/>
        </w:rPr>
        <w:t xml:space="preserve"> </w:t>
      </w:r>
      <w:r w:rsidR="00D776DB" w:rsidRPr="00FC277F">
        <w:rPr>
          <w:sz w:val="22"/>
          <w:szCs w:val="22"/>
          <w:lang w:val="es-MX"/>
        </w:rPr>
        <w:t xml:space="preserve">la asegurada falleció el 04 de septiembre de 2018, por lo que el 15 de noviembre de 2018 solicitó hacer efectiva la cobertura de desgravamen, a efecto de cancelar el monto total de la deuda ante la entidad financiera; (2) el 28 de febrero de 2019, se volvió a reiterar ante la entidad financiera el pedido de cobertura del seguro; (3) el 25 de marzo de 2019, cumplió con presentar la documentación faltante que se le requirió para evaluar el caso; (4) nunca se le ha notificado a la asegurada y menos a sus </w:t>
      </w:r>
      <w:proofErr w:type="gramStart"/>
      <w:r w:rsidR="00D776DB" w:rsidRPr="00FC277F">
        <w:rPr>
          <w:sz w:val="22"/>
          <w:szCs w:val="22"/>
          <w:lang w:val="es-MX"/>
        </w:rPr>
        <w:t>herederos</w:t>
      </w:r>
      <w:proofErr w:type="gramEnd"/>
      <w:r w:rsidR="00D776DB" w:rsidRPr="00FC277F">
        <w:rPr>
          <w:sz w:val="22"/>
          <w:szCs w:val="22"/>
          <w:lang w:val="es-MX"/>
        </w:rPr>
        <w:t xml:space="preserve"> respecto de la suspensión de cobertura por incumplimiento de pago de prima; (5) sólo el 18 de octubre del 2018 se puso en conocimiento la existencia de un seguro contratado, pero nunca se puso en conocimiento la suspensión de cobertura.</w:t>
      </w:r>
    </w:p>
    <w:p w:rsidR="00D776DB" w:rsidRPr="00FC277F" w:rsidRDefault="00D776DB" w:rsidP="00D776DB">
      <w:pPr>
        <w:jc w:val="both"/>
        <w:rPr>
          <w:sz w:val="22"/>
          <w:szCs w:val="22"/>
          <w:lang w:val="es-MX"/>
        </w:rPr>
      </w:pPr>
      <w:r w:rsidRPr="00FC277F">
        <w:rPr>
          <w:sz w:val="22"/>
          <w:szCs w:val="22"/>
          <w:lang w:val="es-MX"/>
        </w:rPr>
        <w:t xml:space="preserve"> </w:t>
      </w:r>
    </w:p>
    <w:p w:rsidR="00D776DB" w:rsidRPr="00FC277F" w:rsidRDefault="000953FA" w:rsidP="00D776DB">
      <w:pPr>
        <w:jc w:val="both"/>
        <w:rPr>
          <w:sz w:val="22"/>
          <w:szCs w:val="22"/>
          <w:lang w:val="es-MX"/>
        </w:rPr>
      </w:pPr>
      <w:r w:rsidRPr="00FC277F">
        <w:rPr>
          <w:sz w:val="22"/>
          <w:szCs w:val="22"/>
        </w:rPr>
        <w:t>Que, por su parte y en resumen la compañía de seguros sostiene que: (1)</w:t>
      </w:r>
      <w:r w:rsidR="009230CC" w:rsidRPr="00FC277F">
        <w:rPr>
          <w:sz w:val="22"/>
          <w:szCs w:val="22"/>
          <w:lang w:val="es-MX"/>
        </w:rPr>
        <w:t xml:space="preserve"> </w:t>
      </w:r>
      <w:r w:rsidR="00D776DB" w:rsidRPr="00FC277F">
        <w:rPr>
          <w:sz w:val="22"/>
          <w:szCs w:val="22"/>
          <w:lang w:val="es-MX"/>
        </w:rPr>
        <w:t xml:space="preserve">la reclamación carece de cobertura bajo las condiciones de la póliza de seguros contratada, puesto que la póliza sólo fue pagada hasta mayo de 2018, no existiendo transferencia de riesgo ni pago de prima de seguro a la fecha del siniestro; (2) el seguro de desgravamen fue declarado hasta mayo del año 2018, siendo que el 24 de julio de 2018 la deuda pasó al área judicial por falta de pago, en consecuencia, a la fecha del siniestro la asegurada no estaba bajo la cobertura del seguro, pues no había vínculo contractual entre </w:t>
      </w:r>
      <w:r w:rsidR="00921EA2">
        <w:rPr>
          <w:sz w:val="22"/>
          <w:szCs w:val="22"/>
          <w:lang w:val="es-MX"/>
        </w:rPr>
        <w:t>........................</w:t>
      </w:r>
      <w:r w:rsidR="00D776DB" w:rsidRPr="00FC277F">
        <w:rPr>
          <w:sz w:val="22"/>
          <w:szCs w:val="22"/>
          <w:lang w:val="es-MX"/>
        </w:rPr>
        <w:t xml:space="preserve"> y la entidad financiera; (3) el riesgo no fue transferido a </w:t>
      </w:r>
      <w:r w:rsidR="00921EA2">
        <w:rPr>
          <w:sz w:val="22"/>
          <w:szCs w:val="22"/>
          <w:lang w:val="es-MX"/>
        </w:rPr>
        <w:t>........................</w:t>
      </w:r>
      <w:r w:rsidR="00D776DB" w:rsidRPr="00FC277F">
        <w:rPr>
          <w:sz w:val="22"/>
          <w:szCs w:val="22"/>
          <w:lang w:val="es-MX"/>
        </w:rPr>
        <w:t>, toda vez que la Financiera confirmó que la deuda pasó a judicial el 24 de julio de 2018, mucho antes de que ocurra el deceso de la asegurada el 04 de septiembre de 2018; (4) el colegiado mediante Resolución N° 108/13 resolvió un caso similar al presente, el mismo que fue declarado improcedente.</w:t>
      </w:r>
    </w:p>
    <w:p w:rsidR="001E489C" w:rsidRPr="00FC277F" w:rsidRDefault="001E489C" w:rsidP="001E489C">
      <w:pPr>
        <w:ind w:left="708"/>
        <w:jc w:val="both"/>
        <w:rPr>
          <w:sz w:val="22"/>
          <w:szCs w:val="22"/>
          <w:lang w:val="es-MX"/>
        </w:rPr>
      </w:pPr>
    </w:p>
    <w:p w:rsidR="00D514B5" w:rsidRPr="00FC277F" w:rsidRDefault="00AE104B">
      <w:pPr>
        <w:jc w:val="both"/>
        <w:rPr>
          <w:sz w:val="22"/>
          <w:szCs w:val="22"/>
        </w:rPr>
      </w:pPr>
      <w:r w:rsidRPr="00FC277F">
        <w:rPr>
          <w:rStyle w:val="Textoennegrita"/>
          <w:sz w:val="22"/>
          <w:szCs w:val="22"/>
        </w:rPr>
        <w:t>CONSIDERANDO</w:t>
      </w:r>
      <w:r w:rsidR="00D514B5" w:rsidRPr="00FC277F">
        <w:rPr>
          <w:rStyle w:val="Textoennegrita"/>
          <w:sz w:val="22"/>
          <w:szCs w:val="22"/>
        </w:rPr>
        <w:t>:</w:t>
      </w:r>
    </w:p>
    <w:p w:rsidR="00AE716D" w:rsidRPr="00FC277F" w:rsidRDefault="00D514B5" w:rsidP="00AE716D">
      <w:pPr>
        <w:jc w:val="both"/>
        <w:rPr>
          <w:sz w:val="22"/>
          <w:szCs w:val="22"/>
        </w:rPr>
      </w:pPr>
      <w:r w:rsidRPr="00FC277F">
        <w:rPr>
          <w:sz w:val="22"/>
          <w:szCs w:val="22"/>
        </w:rPr>
        <w:t> </w:t>
      </w:r>
    </w:p>
    <w:p w:rsidR="009230CC" w:rsidRPr="00FC277F" w:rsidRDefault="009230CC" w:rsidP="009230CC">
      <w:pPr>
        <w:jc w:val="both"/>
        <w:rPr>
          <w:sz w:val="22"/>
          <w:szCs w:val="22"/>
        </w:rPr>
      </w:pPr>
      <w:r w:rsidRPr="00FC277F">
        <w:rPr>
          <w:b/>
          <w:sz w:val="22"/>
          <w:szCs w:val="22"/>
          <w:u w:val="single"/>
        </w:rPr>
        <w:t>PRIMERO</w:t>
      </w:r>
      <w:r w:rsidRPr="00FC277F">
        <w:rPr>
          <w:b/>
          <w:sz w:val="22"/>
          <w:szCs w:val="22"/>
        </w:rPr>
        <w:t xml:space="preserve">: </w:t>
      </w:r>
      <w:r w:rsidRPr="00FC277F">
        <w:rPr>
          <w:sz w:val="22"/>
          <w:szCs w:val="22"/>
        </w:rPr>
        <w:t>Conforme a su Reglamento, la</w:t>
      </w:r>
      <w:r w:rsidRPr="00FC277F">
        <w:rPr>
          <w:b/>
          <w:bCs/>
          <w:sz w:val="22"/>
          <w:szCs w:val="22"/>
        </w:rPr>
        <w:t xml:space="preserve"> </w:t>
      </w:r>
      <w:r w:rsidRPr="00FC277F">
        <w:rPr>
          <w:sz w:val="22"/>
          <w:szCs w:val="22"/>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9230CC" w:rsidRPr="00FC277F" w:rsidRDefault="009230CC" w:rsidP="009230CC">
      <w:pPr>
        <w:jc w:val="both"/>
        <w:rPr>
          <w:bCs/>
          <w:sz w:val="22"/>
          <w:szCs w:val="22"/>
        </w:rPr>
      </w:pPr>
    </w:p>
    <w:p w:rsidR="009230CC" w:rsidRPr="00FC277F" w:rsidRDefault="009230CC" w:rsidP="009230CC">
      <w:pPr>
        <w:jc w:val="both"/>
        <w:rPr>
          <w:bCs/>
          <w:sz w:val="22"/>
          <w:szCs w:val="22"/>
        </w:rPr>
      </w:pPr>
      <w:r w:rsidRPr="00FC277F">
        <w:rPr>
          <w:b/>
          <w:bCs/>
          <w:sz w:val="22"/>
          <w:szCs w:val="22"/>
          <w:u w:val="single"/>
        </w:rPr>
        <w:t>SEGUNDO</w:t>
      </w:r>
      <w:r w:rsidRPr="00FC277F">
        <w:rPr>
          <w:b/>
          <w:bCs/>
          <w:sz w:val="22"/>
          <w:szCs w:val="22"/>
        </w:rPr>
        <w:t>:</w:t>
      </w:r>
      <w:r w:rsidRPr="00FC277F">
        <w:rPr>
          <w:bCs/>
          <w:sz w:val="22"/>
          <w:szCs w:val="22"/>
        </w:rPr>
        <w:t xml:space="preserve"> </w:t>
      </w:r>
      <w:r w:rsidRPr="00FC277F">
        <w:rPr>
          <w:sz w:val="22"/>
          <w:szCs w:val="22"/>
        </w:rPr>
        <w:t xml:space="preserve">Asimismo, de acuerdo a </w:t>
      </w:r>
      <w:r w:rsidRPr="00FC277F">
        <w:rPr>
          <w:bCs/>
          <w:sz w:val="22"/>
          <w:szCs w:val="22"/>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w:t>
      </w:r>
      <w:r w:rsidRPr="00FC277F">
        <w:rPr>
          <w:bCs/>
          <w:sz w:val="22"/>
          <w:szCs w:val="22"/>
        </w:rPr>
        <w:lastRenderedPageBreak/>
        <w:t>indemnizatorias por daños y perjuicios, por reembolso de gastos, o idoneidad de servicios, son ajenas a la competencia funcional de esta Defensoría.</w:t>
      </w:r>
    </w:p>
    <w:p w:rsidR="009230CC" w:rsidRPr="00FC277F" w:rsidRDefault="009230CC" w:rsidP="009230CC">
      <w:pPr>
        <w:jc w:val="both"/>
        <w:rPr>
          <w:sz w:val="22"/>
          <w:szCs w:val="22"/>
        </w:rPr>
      </w:pPr>
    </w:p>
    <w:p w:rsidR="009230CC" w:rsidRPr="00FC277F" w:rsidRDefault="009230CC" w:rsidP="009230CC">
      <w:pPr>
        <w:jc w:val="both"/>
        <w:rPr>
          <w:sz w:val="22"/>
          <w:szCs w:val="22"/>
        </w:rPr>
      </w:pPr>
      <w:r w:rsidRPr="00FC277F">
        <w:rPr>
          <w:b/>
          <w:bCs/>
          <w:sz w:val="22"/>
          <w:szCs w:val="22"/>
          <w:u w:val="single"/>
        </w:rPr>
        <w:t>TERCERO</w:t>
      </w:r>
      <w:r w:rsidRPr="00FC277F">
        <w:rPr>
          <w:b/>
          <w:bCs/>
          <w:sz w:val="22"/>
          <w:szCs w:val="22"/>
        </w:rPr>
        <w:t>:</w:t>
      </w:r>
      <w:r w:rsidRPr="00FC277F">
        <w:rPr>
          <w:sz w:val="22"/>
          <w:szCs w:val="22"/>
        </w:rPr>
        <w:t xml:space="preserve"> Que, de acuerdo a la Ley Nro. 29946 – Ley del Contrato de Seguro (LCS),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9230CC" w:rsidRPr="00FC277F" w:rsidRDefault="009230CC" w:rsidP="009230CC">
      <w:pPr>
        <w:contextualSpacing/>
        <w:jc w:val="both"/>
        <w:rPr>
          <w:b/>
          <w:sz w:val="22"/>
          <w:szCs w:val="22"/>
          <w:u w:val="single"/>
        </w:rPr>
      </w:pPr>
    </w:p>
    <w:p w:rsidR="009230CC" w:rsidRPr="00FC277F" w:rsidRDefault="009230CC" w:rsidP="009230CC">
      <w:pPr>
        <w:contextualSpacing/>
        <w:jc w:val="both"/>
        <w:rPr>
          <w:sz w:val="22"/>
          <w:szCs w:val="22"/>
        </w:rPr>
      </w:pPr>
      <w:r w:rsidRPr="00FC277F">
        <w:rPr>
          <w:b/>
          <w:sz w:val="22"/>
          <w:szCs w:val="22"/>
          <w:u w:val="single"/>
        </w:rPr>
        <w:t>CUARTO</w:t>
      </w:r>
      <w:r w:rsidRPr="00FC277F">
        <w:rPr>
          <w:b/>
          <w:sz w:val="22"/>
          <w:szCs w:val="22"/>
        </w:rPr>
        <w:t>:</w:t>
      </w:r>
      <w:r w:rsidRPr="00FC277F">
        <w:rPr>
          <w:sz w:val="22"/>
          <w:szCs w:val="22"/>
        </w:rPr>
        <w:t xml:space="preserve"> Que, el artículo 1361 del Código Civil dispone que los contratos </w:t>
      </w:r>
      <w:proofErr w:type="gramStart"/>
      <w:r w:rsidRPr="00FC277F">
        <w:rPr>
          <w:sz w:val="22"/>
          <w:szCs w:val="22"/>
        </w:rPr>
        <w:t>son</w:t>
      </w:r>
      <w:proofErr w:type="gramEnd"/>
      <w:r w:rsidRPr="00FC277F">
        <w:rPr>
          <w:sz w:val="22"/>
          <w:szCs w:val="22"/>
        </w:rPr>
        <w:t xml:space="preserve"> obligatorios en cuanto se haya expresado en ellos, presumiéndose que lo declarado es lo querido por ambas partes, de manera que la parte que sostenga lo contrario debe probarlo.</w:t>
      </w:r>
    </w:p>
    <w:p w:rsidR="009230CC" w:rsidRPr="00FC277F" w:rsidRDefault="009230CC" w:rsidP="009230CC">
      <w:pPr>
        <w:jc w:val="both"/>
        <w:rPr>
          <w:bCs/>
          <w:sz w:val="22"/>
          <w:szCs w:val="22"/>
        </w:rPr>
      </w:pPr>
    </w:p>
    <w:p w:rsidR="009230CC" w:rsidRPr="00FC277F" w:rsidRDefault="009230CC" w:rsidP="009230CC">
      <w:pPr>
        <w:jc w:val="both"/>
        <w:rPr>
          <w:bCs/>
          <w:sz w:val="22"/>
          <w:szCs w:val="22"/>
        </w:rPr>
      </w:pPr>
      <w:r w:rsidRPr="00FC277F">
        <w:rPr>
          <w:b/>
          <w:bCs/>
          <w:sz w:val="22"/>
          <w:szCs w:val="22"/>
          <w:u w:val="single"/>
        </w:rPr>
        <w:t>QUINTO</w:t>
      </w:r>
      <w:r w:rsidRPr="00FC277F">
        <w:rPr>
          <w:b/>
          <w:bCs/>
          <w:sz w:val="22"/>
          <w:szCs w:val="22"/>
        </w:rPr>
        <w:t>:</w:t>
      </w:r>
      <w:r w:rsidRPr="00FC277F">
        <w:rPr>
          <w:bCs/>
          <w:sz w:val="22"/>
          <w:szCs w:val="22"/>
        </w:rPr>
        <w:t xml:space="preserve"> Que, conforme al </w:t>
      </w:r>
      <w:r w:rsidRPr="00FC277F">
        <w:rPr>
          <w:sz w:val="22"/>
          <w:szCs w:val="22"/>
        </w:rPr>
        <w:t>artículo 196 del Código Procesal Civil, corresponde a quien invoca hechos probar su existencia, así como a quien los contradice invocando nuevos hechos; sin perjuicio de aplicarse las presunciones legales correspondientes.</w:t>
      </w:r>
    </w:p>
    <w:p w:rsidR="009230CC" w:rsidRPr="00FC277F" w:rsidRDefault="009230CC" w:rsidP="009230CC">
      <w:pPr>
        <w:jc w:val="both"/>
        <w:rPr>
          <w:sz w:val="22"/>
          <w:szCs w:val="22"/>
        </w:rPr>
      </w:pPr>
    </w:p>
    <w:p w:rsidR="009230CC" w:rsidRPr="00FC277F" w:rsidRDefault="009230CC" w:rsidP="009230CC">
      <w:pPr>
        <w:tabs>
          <w:tab w:val="left" w:pos="2160"/>
        </w:tabs>
        <w:jc w:val="both"/>
        <w:rPr>
          <w:sz w:val="22"/>
          <w:szCs w:val="22"/>
        </w:rPr>
      </w:pPr>
      <w:r w:rsidRPr="00FC277F">
        <w:rPr>
          <w:b/>
          <w:sz w:val="22"/>
          <w:szCs w:val="22"/>
          <w:u w:val="single"/>
        </w:rPr>
        <w:t>SEXTO</w:t>
      </w:r>
      <w:r w:rsidRPr="00FC277F">
        <w:rPr>
          <w:b/>
          <w:sz w:val="22"/>
          <w:szCs w:val="22"/>
        </w:rPr>
        <w:t>:</w:t>
      </w:r>
      <w:r w:rsidRPr="00FC277F">
        <w:rPr>
          <w:sz w:val="22"/>
          <w:szCs w:val="22"/>
        </w:rPr>
        <w:t xml:space="preserve"> Sobre la base de los términos contenidos en la reclamación y en la absolución de la misma, y a lo tratado en la audiencia de vista, la cuestión controvertida radica en determinar si </w:t>
      </w:r>
      <w:r w:rsidR="00D776DB" w:rsidRPr="00FC277F">
        <w:rPr>
          <w:sz w:val="22"/>
          <w:szCs w:val="22"/>
        </w:rPr>
        <w:t>al momento en que ocurrió el siniestro bajo reclamación el correspondiente contrato de seguro de desgravamen estaba o no vigente</w:t>
      </w:r>
      <w:r w:rsidRPr="00FC277F">
        <w:rPr>
          <w:sz w:val="22"/>
          <w:szCs w:val="22"/>
        </w:rPr>
        <w:t>.</w:t>
      </w:r>
    </w:p>
    <w:p w:rsidR="009230CC" w:rsidRPr="00FC277F" w:rsidRDefault="009230CC" w:rsidP="009230CC">
      <w:pPr>
        <w:tabs>
          <w:tab w:val="left" w:pos="2160"/>
        </w:tabs>
        <w:jc w:val="both"/>
        <w:rPr>
          <w:sz w:val="22"/>
          <w:szCs w:val="22"/>
        </w:rPr>
      </w:pPr>
    </w:p>
    <w:p w:rsidR="0035242F" w:rsidRPr="00FC277F" w:rsidRDefault="009230CC" w:rsidP="0035242F">
      <w:pPr>
        <w:tabs>
          <w:tab w:val="left" w:pos="2160"/>
        </w:tabs>
        <w:jc w:val="both"/>
        <w:rPr>
          <w:sz w:val="22"/>
          <w:szCs w:val="22"/>
        </w:rPr>
      </w:pPr>
      <w:r w:rsidRPr="00FC277F">
        <w:rPr>
          <w:b/>
          <w:sz w:val="22"/>
          <w:szCs w:val="22"/>
          <w:u w:val="single"/>
        </w:rPr>
        <w:t>SÉPTIMO</w:t>
      </w:r>
      <w:r w:rsidRPr="00FC277F">
        <w:rPr>
          <w:b/>
          <w:sz w:val="22"/>
          <w:szCs w:val="22"/>
        </w:rPr>
        <w:t xml:space="preserve">: </w:t>
      </w:r>
      <w:r w:rsidRPr="00FC277F">
        <w:rPr>
          <w:sz w:val="22"/>
          <w:szCs w:val="22"/>
        </w:rPr>
        <w:t xml:space="preserve">La aseguradora basa el rechazo de cobertura en que a la fecha del </w:t>
      </w:r>
      <w:r w:rsidR="00D776DB" w:rsidRPr="00FC277F">
        <w:rPr>
          <w:sz w:val="22"/>
          <w:szCs w:val="22"/>
        </w:rPr>
        <w:t xml:space="preserve">lamentable fallecimiento de la asegurada (ocurrido el 04 de septiembre de 2018), </w:t>
      </w:r>
      <w:r w:rsidR="00D169B4" w:rsidRPr="00FC277F">
        <w:rPr>
          <w:sz w:val="22"/>
          <w:szCs w:val="22"/>
        </w:rPr>
        <w:t>la póliza sólo fue declarada hasta mayo de 2018, lo que demostraría que no existe transferencia de riesgo ni pago de prima de seguro</w:t>
      </w:r>
      <w:r w:rsidR="0035242F" w:rsidRPr="00FC277F">
        <w:rPr>
          <w:sz w:val="22"/>
          <w:szCs w:val="22"/>
        </w:rPr>
        <w:t>, por lo que la reclamación sería improcedente. A este efecto invoca como precedente lo resuelto por esta Defensoría mediante Resolución N° 108/13.</w:t>
      </w:r>
    </w:p>
    <w:p w:rsidR="00D169B4" w:rsidRPr="00FC277F" w:rsidRDefault="00D169B4" w:rsidP="009230CC">
      <w:pPr>
        <w:tabs>
          <w:tab w:val="left" w:pos="2160"/>
        </w:tabs>
        <w:jc w:val="both"/>
        <w:rPr>
          <w:sz w:val="22"/>
          <w:szCs w:val="22"/>
        </w:rPr>
      </w:pPr>
    </w:p>
    <w:p w:rsidR="00D169B4" w:rsidRPr="00FC277F" w:rsidRDefault="00D169B4" w:rsidP="009230CC">
      <w:pPr>
        <w:tabs>
          <w:tab w:val="left" w:pos="2160"/>
        </w:tabs>
        <w:jc w:val="both"/>
        <w:rPr>
          <w:sz w:val="22"/>
          <w:szCs w:val="22"/>
        </w:rPr>
      </w:pPr>
    </w:p>
    <w:p w:rsidR="00D169B4" w:rsidRPr="00FC277F" w:rsidRDefault="006D3523" w:rsidP="009230CC">
      <w:pPr>
        <w:tabs>
          <w:tab w:val="left" w:pos="2160"/>
        </w:tabs>
        <w:jc w:val="both"/>
        <w:rPr>
          <w:sz w:val="22"/>
          <w:szCs w:val="22"/>
        </w:rPr>
      </w:pPr>
      <w:r w:rsidRPr="00FC277F">
        <w:rPr>
          <w:b/>
          <w:sz w:val="22"/>
          <w:szCs w:val="22"/>
          <w:u w:val="single"/>
        </w:rPr>
        <w:t>OCTAVO</w:t>
      </w:r>
      <w:r w:rsidRPr="00FC277F">
        <w:rPr>
          <w:b/>
          <w:sz w:val="22"/>
          <w:szCs w:val="22"/>
        </w:rPr>
        <w:t>:</w:t>
      </w:r>
      <w:r w:rsidRPr="00FC277F">
        <w:rPr>
          <w:sz w:val="22"/>
          <w:szCs w:val="22"/>
        </w:rPr>
        <w:t xml:space="preserve"> </w:t>
      </w:r>
      <w:r w:rsidR="00D169B4" w:rsidRPr="00FC277F">
        <w:rPr>
          <w:sz w:val="22"/>
          <w:szCs w:val="22"/>
        </w:rPr>
        <w:t>Al respecto, de la propia carta de rechazo, así como del estado de cuenta de la Póliza, el colegiado verifica que consta como último pago de prima por el monto de S/. 13.68 el día 21 de junio de 2018.</w:t>
      </w:r>
    </w:p>
    <w:p w:rsidR="00D169B4" w:rsidRPr="00FC277F" w:rsidRDefault="00D169B4" w:rsidP="009230CC">
      <w:pPr>
        <w:tabs>
          <w:tab w:val="left" w:pos="2160"/>
        </w:tabs>
        <w:jc w:val="both"/>
        <w:rPr>
          <w:sz w:val="22"/>
          <w:szCs w:val="22"/>
        </w:rPr>
      </w:pPr>
    </w:p>
    <w:p w:rsidR="00D169B4" w:rsidRPr="00FC277F" w:rsidRDefault="00D169B4" w:rsidP="00D169B4">
      <w:pPr>
        <w:tabs>
          <w:tab w:val="left" w:pos="2160"/>
        </w:tabs>
        <w:jc w:val="both"/>
        <w:rPr>
          <w:sz w:val="22"/>
          <w:szCs w:val="22"/>
        </w:rPr>
      </w:pPr>
      <w:r w:rsidRPr="00FC277F">
        <w:rPr>
          <w:sz w:val="22"/>
          <w:szCs w:val="22"/>
        </w:rPr>
        <w:t xml:space="preserve">Asimismo, se ha comprobado que en autos la aseguradora no ha aportado evidencia sobre el cumplimiento del procedimiento establecido en el </w:t>
      </w:r>
      <w:r w:rsidR="009230CC" w:rsidRPr="00FC277F">
        <w:rPr>
          <w:sz w:val="22"/>
          <w:szCs w:val="22"/>
        </w:rPr>
        <w:t>artículo 21° de la L</w:t>
      </w:r>
      <w:r w:rsidRPr="00FC277F">
        <w:rPr>
          <w:sz w:val="22"/>
          <w:szCs w:val="22"/>
        </w:rPr>
        <w:t xml:space="preserve">ey del </w:t>
      </w:r>
      <w:r w:rsidR="009230CC" w:rsidRPr="00FC277F">
        <w:rPr>
          <w:sz w:val="22"/>
          <w:szCs w:val="22"/>
        </w:rPr>
        <w:t>C</w:t>
      </w:r>
      <w:r w:rsidRPr="00FC277F">
        <w:rPr>
          <w:sz w:val="22"/>
          <w:szCs w:val="22"/>
        </w:rPr>
        <w:t xml:space="preserve">ontrato de </w:t>
      </w:r>
      <w:r w:rsidR="009230CC" w:rsidRPr="00FC277F">
        <w:rPr>
          <w:sz w:val="22"/>
          <w:szCs w:val="22"/>
        </w:rPr>
        <w:t>S</w:t>
      </w:r>
      <w:r w:rsidRPr="00FC277F">
        <w:rPr>
          <w:sz w:val="22"/>
          <w:szCs w:val="22"/>
        </w:rPr>
        <w:t>eguro para que sea legalmente oponible la suspensión de cobertura por incumplimiento de pago.</w:t>
      </w:r>
    </w:p>
    <w:p w:rsidR="00D169B4" w:rsidRPr="00FC277F" w:rsidRDefault="00D169B4" w:rsidP="00D169B4">
      <w:pPr>
        <w:tabs>
          <w:tab w:val="left" w:pos="2160"/>
        </w:tabs>
        <w:jc w:val="both"/>
        <w:rPr>
          <w:sz w:val="22"/>
          <w:szCs w:val="22"/>
        </w:rPr>
      </w:pPr>
    </w:p>
    <w:p w:rsidR="009230CC" w:rsidRPr="00FC277F" w:rsidRDefault="00D169B4" w:rsidP="00D169B4">
      <w:pPr>
        <w:tabs>
          <w:tab w:val="left" w:pos="2160"/>
        </w:tabs>
        <w:jc w:val="both"/>
        <w:rPr>
          <w:sz w:val="22"/>
          <w:szCs w:val="22"/>
        </w:rPr>
      </w:pPr>
      <w:r w:rsidRPr="00FC277F">
        <w:rPr>
          <w:sz w:val="22"/>
          <w:szCs w:val="22"/>
        </w:rPr>
        <w:t>Igualmente, se advierte que tampoc</w:t>
      </w:r>
      <w:r w:rsidR="006D3523" w:rsidRPr="00FC277F">
        <w:rPr>
          <w:sz w:val="22"/>
          <w:szCs w:val="22"/>
        </w:rPr>
        <w:t>o en el presente caso ha transcurrido el plazo de 90 días previsto en el último párrafo del artículo 21° de la Ley del Contrato de Seguro, para que se entienda que el contrato de seguro quedó extinguido</w:t>
      </w:r>
      <w:r w:rsidR="009230CC" w:rsidRPr="00FC277F">
        <w:rPr>
          <w:sz w:val="22"/>
          <w:szCs w:val="22"/>
        </w:rPr>
        <w:t xml:space="preserve">. </w:t>
      </w:r>
    </w:p>
    <w:p w:rsidR="009230CC" w:rsidRPr="00FC277F" w:rsidRDefault="009230CC" w:rsidP="009230CC">
      <w:pPr>
        <w:tabs>
          <w:tab w:val="left" w:pos="2160"/>
        </w:tabs>
        <w:jc w:val="both"/>
        <w:rPr>
          <w:sz w:val="22"/>
          <w:szCs w:val="22"/>
        </w:rPr>
      </w:pPr>
    </w:p>
    <w:p w:rsidR="00D5796D" w:rsidRPr="00FC277F" w:rsidRDefault="006D3523" w:rsidP="009230CC">
      <w:pPr>
        <w:jc w:val="both"/>
        <w:rPr>
          <w:sz w:val="22"/>
          <w:szCs w:val="22"/>
          <w:lang w:val="es-MX"/>
        </w:rPr>
      </w:pPr>
      <w:r w:rsidRPr="00FC277F">
        <w:rPr>
          <w:sz w:val="22"/>
          <w:szCs w:val="22"/>
        </w:rPr>
        <w:t xml:space="preserve">En ese sentido, si bien no está en discusión </w:t>
      </w:r>
      <w:r w:rsidR="00D5796D" w:rsidRPr="00FC277F">
        <w:rPr>
          <w:sz w:val="22"/>
          <w:szCs w:val="22"/>
        </w:rPr>
        <w:t xml:space="preserve">la </w:t>
      </w:r>
      <w:r w:rsidR="009230CC" w:rsidRPr="00FC277F">
        <w:rPr>
          <w:sz w:val="22"/>
          <w:szCs w:val="22"/>
          <w:lang w:val="es-MX"/>
        </w:rPr>
        <w:t>falta de pago de las primas</w:t>
      </w:r>
      <w:r w:rsidR="00D5796D" w:rsidRPr="00FC277F">
        <w:rPr>
          <w:sz w:val="22"/>
          <w:szCs w:val="22"/>
          <w:lang w:val="es-MX"/>
        </w:rPr>
        <w:t xml:space="preserve"> </w:t>
      </w:r>
      <w:r w:rsidRPr="00FC277F">
        <w:rPr>
          <w:sz w:val="22"/>
          <w:szCs w:val="22"/>
          <w:lang w:val="es-MX"/>
        </w:rPr>
        <w:t xml:space="preserve">al momento de la ocurrencia del siniestro, sin embargo, se aprecia que la aseguradora no ha probado que cumplió con el </w:t>
      </w:r>
      <w:r w:rsidR="00D5796D" w:rsidRPr="00FC277F">
        <w:rPr>
          <w:sz w:val="22"/>
          <w:szCs w:val="22"/>
          <w:lang w:val="es-MX"/>
        </w:rPr>
        <w:t xml:space="preserve">régimen </w:t>
      </w:r>
      <w:r w:rsidRPr="00FC277F">
        <w:rPr>
          <w:sz w:val="22"/>
          <w:szCs w:val="22"/>
          <w:lang w:val="es-MX"/>
        </w:rPr>
        <w:t xml:space="preserve">normativo para la </w:t>
      </w:r>
      <w:r w:rsidR="00D5796D" w:rsidRPr="00FC277F">
        <w:rPr>
          <w:sz w:val="22"/>
          <w:szCs w:val="22"/>
          <w:lang w:val="es-MX"/>
        </w:rPr>
        <w:t>suspensión</w:t>
      </w:r>
      <w:r w:rsidRPr="00FC277F">
        <w:rPr>
          <w:sz w:val="22"/>
          <w:szCs w:val="22"/>
          <w:lang w:val="es-MX"/>
        </w:rPr>
        <w:t xml:space="preserve"> de cobertura, en virtud del cual para que </w:t>
      </w:r>
      <w:r w:rsidR="00D5796D" w:rsidRPr="00FC277F">
        <w:rPr>
          <w:sz w:val="22"/>
          <w:szCs w:val="22"/>
          <w:lang w:val="es-MX"/>
        </w:rPr>
        <w:t>se</w:t>
      </w:r>
      <w:r w:rsidRPr="00FC277F">
        <w:rPr>
          <w:sz w:val="22"/>
          <w:szCs w:val="22"/>
          <w:lang w:val="es-MX"/>
        </w:rPr>
        <w:t>a</w:t>
      </w:r>
      <w:r w:rsidR="00D5796D" w:rsidRPr="00FC277F">
        <w:rPr>
          <w:sz w:val="22"/>
          <w:szCs w:val="22"/>
          <w:lang w:val="es-MX"/>
        </w:rPr>
        <w:t xml:space="preserve"> activado</w:t>
      </w:r>
      <w:r w:rsidRPr="00FC277F">
        <w:rPr>
          <w:sz w:val="22"/>
          <w:szCs w:val="22"/>
          <w:lang w:val="es-MX"/>
        </w:rPr>
        <w:t>,</w:t>
      </w:r>
      <w:r w:rsidR="00D5796D" w:rsidRPr="00FC277F">
        <w:rPr>
          <w:sz w:val="22"/>
          <w:szCs w:val="22"/>
          <w:lang w:val="es-MX"/>
        </w:rPr>
        <w:t xml:space="preserve"> </w:t>
      </w:r>
      <w:r w:rsidRPr="00FC277F">
        <w:rPr>
          <w:sz w:val="22"/>
          <w:szCs w:val="22"/>
          <w:lang w:val="es-MX"/>
        </w:rPr>
        <w:t>l</w:t>
      </w:r>
      <w:r w:rsidR="00D5796D" w:rsidRPr="00FC277F">
        <w:rPr>
          <w:sz w:val="22"/>
          <w:szCs w:val="22"/>
          <w:lang w:val="es-MX"/>
        </w:rPr>
        <w:t>a aseguradora</w:t>
      </w:r>
      <w:r w:rsidRPr="00FC277F">
        <w:rPr>
          <w:sz w:val="22"/>
          <w:szCs w:val="22"/>
          <w:lang w:val="es-MX"/>
        </w:rPr>
        <w:t xml:space="preserve"> debe comunicar de manera cierta el incumplimiento de pago y sus consecuencias</w:t>
      </w:r>
      <w:r w:rsidR="00D5796D" w:rsidRPr="00FC277F">
        <w:rPr>
          <w:sz w:val="22"/>
          <w:szCs w:val="22"/>
          <w:lang w:val="es-MX"/>
        </w:rPr>
        <w:t>.</w:t>
      </w:r>
    </w:p>
    <w:p w:rsidR="0035242F" w:rsidRPr="00FC277F" w:rsidRDefault="0035242F" w:rsidP="009230CC">
      <w:pPr>
        <w:jc w:val="both"/>
        <w:rPr>
          <w:sz w:val="22"/>
          <w:szCs w:val="22"/>
          <w:lang w:val="es-MX"/>
        </w:rPr>
      </w:pPr>
    </w:p>
    <w:p w:rsidR="0035242F" w:rsidRPr="00FC277F" w:rsidRDefault="0035242F" w:rsidP="009230CC">
      <w:pPr>
        <w:jc w:val="both"/>
        <w:rPr>
          <w:sz w:val="22"/>
          <w:szCs w:val="22"/>
          <w:lang w:val="es-MX"/>
        </w:rPr>
      </w:pPr>
      <w:r w:rsidRPr="00FC277F">
        <w:rPr>
          <w:sz w:val="22"/>
          <w:szCs w:val="22"/>
          <w:lang w:val="es-MX"/>
        </w:rPr>
        <w:t>De otro lado, en cuanto a la transferencia del riesgo, el colegiado precisa que el precedente contenido en la Resolución N° 108/13 está referido a un supuesto de extinción del crédito de la entidad financiera por haber sido castigadas las deudas. En la medida que con el castigo de la deuda desaparece el interés asegurable en el seguro de desgravamen, la reclamación en dicho caso resultó improcedente.</w:t>
      </w:r>
    </w:p>
    <w:p w:rsidR="0035242F" w:rsidRPr="00FC277F" w:rsidRDefault="0035242F" w:rsidP="009230CC">
      <w:pPr>
        <w:jc w:val="both"/>
        <w:rPr>
          <w:sz w:val="22"/>
          <w:szCs w:val="22"/>
          <w:lang w:val="es-MX"/>
        </w:rPr>
      </w:pPr>
    </w:p>
    <w:p w:rsidR="0005251B" w:rsidRPr="00FC277F" w:rsidRDefault="0035242F" w:rsidP="009230CC">
      <w:pPr>
        <w:jc w:val="both"/>
        <w:rPr>
          <w:sz w:val="22"/>
          <w:szCs w:val="22"/>
          <w:lang w:val="es-MX"/>
        </w:rPr>
      </w:pPr>
      <w:r w:rsidRPr="00FC277F">
        <w:rPr>
          <w:sz w:val="22"/>
          <w:szCs w:val="22"/>
          <w:lang w:val="es-MX"/>
        </w:rPr>
        <w:t xml:space="preserve">En el presente caso, no se presenta un supuesto de castigo de deuda, por el </w:t>
      </w:r>
      <w:r w:rsidR="0005251B" w:rsidRPr="00FC277F">
        <w:rPr>
          <w:sz w:val="22"/>
          <w:szCs w:val="22"/>
          <w:lang w:val="es-MX"/>
        </w:rPr>
        <w:t>contrario,</w:t>
      </w:r>
      <w:r w:rsidRPr="00FC277F">
        <w:rPr>
          <w:sz w:val="22"/>
          <w:szCs w:val="22"/>
          <w:lang w:val="es-MX"/>
        </w:rPr>
        <w:t xml:space="preserve"> la deuda materia del interés asegurable </w:t>
      </w:r>
      <w:r w:rsidR="0005251B" w:rsidRPr="00FC277F">
        <w:rPr>
          <w:sz w:val="22"/>
          <w:szCs w:val="22"/>
          <w:lang w:val="es-MX"/>
        </w:rPr>
        <w:t>del</w:t>
      </w:r>
      <w:r w:rsidRPr="00FC277F">
        <w:rPr>
          <w:sz w:val="22"/>
          <w:szCs w:val="22"/>
          <w:lang w:val="es-MX"/>
        </w:rPr>
        <w:t xml:space="preserve"> seguro de está en cobranza judicial</w:t>
      </w:r>
      <w:r w:rsidR="0005251B" w:rsidRPr="00FC277F">
        <w:rPr>
          <w:sz w:val="22"/>
          <w:szCs w:val="22"/>
          <w:lang w:val="es-MX"/>
        </w:rPr>
        <w:t xml:space="preserve"> por parte de </w:t>
      </w:r>
      <w:proofErr w:type="gramStart"/>
      <w:r w:rsidR="0005251B" w:rsidRPr="00FC277F">
        <w:rPr>
          <w:sz w:val="22"/>
          <w:szCs w:val="22"/>
          <w:lang w:val="es-MX"/>
        </w:rPr>
        <w:t xml:space="preserve">la </w:t>
      </w:r>
      <w:r w:rsidR="00921EA2">
        <w:rPr>
          <w:sz w:val="22"/>
          <w:szCs w:val="22"/>
          <w:lang w:val="es-MX"/>
        </w:rPr>
        <w:t>........................</w:t>
      </w:r>
      <w:r w:rsidR="0005251B" w:rsidRPr="00FC277F">
        <w:rPr>
          <w:sz w:val="22"/>
          <w:szCs w:val="22"/>
          <w:lang w:val="es-MX"/>
        </w:rPr>
        <w:t>.</w:t>
      </w:r>
      <w:proofErr w:type="gramEnd"/>
      <w:r w:rsidR="0005251B" w:rsidRPr="00FC277F">
        <w:rPr>
          <w:sz w:val="22"/>
          <w:szCs w:val="22"/>
          <w:lang w:val="es-MX"/>
        </w:rPr>
        <w:t xml:space="preserve"> </w:t>
      </w:r>
    </w:p>
    <w:p w:rsidR="0005251B" w:rsidRPr="00FC277F" w:rsidRDefault="0005251B" w:rsidP="009230CC">
      <w:pPr>
        <w:jc w:val="both"/>
        <w:rPr>
          <w:sz w:val="22"/>
          <w:szCs w:val="22"/>
          <w:lang w:val="es-MX"/>
        </w:rPr>
      </w:pPr>
    </w:p>
    <w:p w:rsidR="0035242F" w:rsidRPr="00FC277F" w:rsidRDefault="0005251B" w:rsidP="009230CC">
      <w:pPr>
        <w:jc w:val="both"/>
        <w:rPr>
          <w:sz w:val="22"/>
          <w:szCs w:val="22"/>
          <w:lang w:val="es-MX"/>
        </w:rPr>
      </w:pPr>
      <w:r w:rsidRPr="00FC277F">
        <w:rPr>
          <w:sz w:val="22"/>
          <w:szCs w:val="22"/>
          <w:lang w:val="es-MX"/>
        </w:rPr>
        <w:t>P</w:t>
      </w:r>
      <w:r w:rsidR="0035242F" w:rsidRPr="00FC277F">
        <w:rPr>
          <w:sz w:val="22"/>
          <w:szCs w:val="22"/>
          <w:lang w:val="es-MX"/>
        </w:rPr>
        <w:t>or tanto</w:t>
      </w:r>
      <w:r w:rsidRPr="00FC277F">
        <w:rPr>
          <w:sz w:val="22"/>
          <w:szCs w:val="22"/>
          <w:lang w:val="es-MX"/>
        </w:rPr>
        <w:t>,</w:t>
      </w:r>
      <w:r w:rsidR="0035242F" w:rsidRPr="00FC277F">
        <w:rPr>
          <w:sz w:val="22"/>
          <w:szCs w:val="22"/>
          <w:lang w:val="es-MX"/>
        </w:rPr>
        <w:t xml:space="preserve"> no puede sostenerse</w:t>
      </w:r>
      <w:r w:rsidRPr="00FC277F">
        <w:rPr>
          <w:sz w:val="22"/>
          <w:szCs w:val="22"/>
          <w:lang w:val="es-MX"/>
        </w:rPr>
        <w:t xml:space="preserve"> válidamente</w:t>
      </w:r>
      <w:r w:rsidR="0035242F" w:rsidRPr="00FC277F">
        <w:rPr>
          <w:sz w:val="22"/>
          <w:szCs w:val="22"/>
          <w:lang w:val="es-MX"/>
        </w:rPr>
        <w:t xml:space="preserve"> que</w:t>
      </w:r>
      <w:r w:rsidRPr="00FC277F">
        <w:rPr>
          <w:sz w:val="22"/>
          <w:szCs w:val="22"/>
          <w:lang w:val="es-MX"/>
        </w:rPr>
        <w:t xml:space="preserve"> no haya transferencia de riesgo asegurado para la aseguradora, en la medida que el crédito asegurado subsiste en cobranza y el respectivo contrato de seguro no ha quedado suspendido ni extinguido.</w:t>
      </w:r>
      <w:r w:rsidR="0035242F" w:rsidRPr="00FC277F">
        <w:rPr>
          <w:sz w:val="22"/>
          <w:szCs w:val="22"/>
          <w:lang w:val="es-MX"/>
        </w:rPr>
        <w:t xml:space="preserve">  </w:t>
      </w:r>
    </w:p>
    <w:p w:rsidR="009230CC" w:rsidRPr="00FC277F" w:rsidRDefault="009230CC" w:rsidP="009230CC">
      <w:pPr>
        <w:jc w:val="both"/>
        <w:rPr>
          <w:sz w:val="22"/>
          <w:szCs w:val="22"/>
          <w:lang w:val="es-MX"/>
        </w:rPr>
      </w:pPr>
      <w:r w:rsidRPr="00FC277F">
        <w:rPr>
          <w:sz w:val="22"/>
          <w:szCs w:val="22"/>
        </w:rPr>
        <w:t xml:space="preserve"> </w:t>
      </w:r>
    </w:p>
    <w:p w:rsidR="009230CC" w:rsidRPr="00FC277F" w:rsidRDefault="009230CC" w:rsidP="009230CC">
      <w:pPr>
        <w:jc w:val="both"/>
        <w:rPr>
          <w:sz w:val="22"/>
          <w:szCs w:val="22"/>
        </w:rPr>
      </w:pPr>
      <w:r w:rsidRPr="00FC277F">
        <w:rPr>
          <w:sz w:val="22"/>
          <w:szCs w:val="22"/>
        </w:rPr>
        <w:t xml:space="preserve">En ese sentido, se verifica que </w:t>
      </w:r>
      <w:r w:rsidR="0005251B" w:rsidRPr="00FC277F">
        <w:rPr>
          <w:sz w:val="22"/>
          <w:szCs w:val="22"/>
        </w:rPr>
        <w:t xml:space="preserve">en el presente caso no se encuentra </w:t>
      </w:r>
      <w:r w:rsidRPr="00FC277F">
        <w:rPr>
          <w:sz w:val="22"/>
          <w:szCs w:val="22"/>
        </w:rPr>
        <w:t>fundament</w:t>
      </w:r>
      <w:r w:rsidR="0005251B" w:rsidRPr="00FC277F">
        <w:rPr>
          <w:sz w:val="22"/>
          <w:szCs w:val="22"/>
        </w:rPr>
        <w:t>o para el</w:t>
      </w:r>
      <w:r w:rsidRPr="00FC277F">
        <w:rPr>
          <w:sz w:val="22"/>
          <w:szCs w:val="22"/>
        </w:rPr>
        <w:t xml:space="preserve"> rechazo de cobertura.</w:t>
      </w:r>
    </w:p>
    <w:p w:rsidR="009230CC" w:rsidRPr="00FC277F" w:rsidRDefault="009230CC" w:rsidP="009230CC">
      <w:pPr>
        <w:jc w:val="both"/>
        <w:rPr>
          <w:sz w:val="22"/>
          <w:szCs w:val="22"/>
        </w:rPr>
      </w:pPr>
    </w:p>
    <w:p w:rsidR="009230CC" w:rsidRPr="00FC277F" w:rsidRDefault="00D5796D" w:rsidP="009230CC">
      <w:pPr>
        <w:jc w:val="both"/>
        <w:rPr>
          <w:b/>
          <w:sz w:val="22"/>
          <w:szCs w:val="22"/>
        </w:rPr>
      </w:pPr>
      <w:r w:rsidRPr="00FC277F">
        <w:rPr>
          <w:b/>
          <w:sz w:val="22"/>
          <w:szCs w:val="22"/>
        </w:rPr>
        <w:t xml:space="preserve">ATENDIENDO A LO EXPRESADO, ESTE COLEGIADO CONCLUYE SU APRECIACIÓN RAZONADA Y CONJUNTA, POR LO QUE  </w:t>
      </w:r>
    </w:p>
    <w:p w:rsidR="009230CC" w:rsidRPr="00FC277F" w:rsidRDefault="009230CC" w:rsidP="009230CC">
      <w:pPr>
        <w:tabs>
          <w:tab w:val="left" w:pos="2160"/>
        </w:tabs>
        <w:jc w:val="both"/>
        <w:rPr>
          <w:sz w:val="22"/>
          <w:szCs w:val="22"/>
        </w:rPr>
      </w:pPr>
    </w:p>
    <w:p w:rsidR="009230CC" w:rsidRPr="00FC277F" w:rsidRDefault="009230CC" w:rsidP="009230CC">
      <w:pPr>
        <w:jc w:val="both"/>
        <w:rPr>
          <w:b/>
          <w:sz w:val="22"/>
          <w:szCs w:val="22"/>
        </w:rPr>
      </w:pPr>
      <w:r w:rsidRPr="00FC277F">
        <w:rPr>
          <w:b/>
          <w:sz w:val="22"/>
          <w:szCs w:val="22"/>
        </w:rPr>
        <w:t xml:space="preserve">RESUELVE: </w:t>
      </w:r>
    </w:p>
    <w:p w:rsidR="009230CC" w:rsidRPr="00FC277F" w:rsidRDefault="009230CC" w:rsidP="009230CC">
      <w:pPr>
        <w:jc w:val="both"/>
        <w:rPr>
          <w:rFonts w:eastAsia="Arial Unicode MS"/>
          <w:sz w:val="22"/>
          <w:szCs w:val="22"/>
        </w:rPr>
      </w:pPr>
    </w:p>
    <w:p w:rsidR="009230CC" w:rsidRPr="00FC277F" w:rsidRDefault="009230CC" w:rsidP="00D5796D">
      <w:pPr>
        <w:jc w:val="both"/>
        <w:rPr>
          <w:b/>
          <w:sz w:val="22"/>
          <w:szCs w:val="22"/>
          <w:lang w:val="es-MX"/>
        </w:rPr>
      </w:pPr>
      <w:r w:rsidRPr="00FC277F">
        <w:rPr>
          <w:rFonts w:eastAsia="Arial Unicode MS"/>
          <w:sz w:val="22"/>
          <w:szCs w:val="22"/>
        </w:rPr>
        <w:t>Declarar</w:t>
      </w:r>
      <w:r w:rsidRPr="00FC277F">
        <w:rPr>
          <w:rFonts w:eastAsia="Arial Unicode MS"/>
          <w:b/>
          <w:sz w:val="22"/>
          <w:szCs w:val="22"/>
        </w:rPr>
        <w:t xml:space="preserve"> FUNDADA </w:t>
      </w:r>
      <w:r w:rsidRPr="00FC277F">
        <w:rPr>
          <w:rFonts w:eastAsia="Arial Unicode MS"/>
          <w:sz w:val="22"/>
          <w:szCs w:val="22"/>
        </w:rPr>
        <w:t xml:space="preserve">la reclamación interpuesta </w:t>
      </w:r>
      <w:proofErr w:type="gramStart"/>
      <w:r w:rsidRPr="00FC277F">
        <w:rPr>
          <w:rFonts w:eastAsia="Arial Unicode MS"/>
          <w:sz w:val="22"/>
          <w:szCs w:val="22"/>
        </w:rPr>
        <w:t>por</w:t>
      </w:r>
      <w:r w:rsidRPr="00FC277F">
        <w:rPr>
          <w:b/>
          <w:bCs/>
          <w:sz w:val="22"/>
          <w:szCs w:val="22"/>
          <w:lang w:val="es-MX"/>
        </w:rPr>
        <w:t xml:space="preserve"> </w:t>
      </w:r>
      <w:r w:rsidR="00921EA2">
        <w:rPr>
          <w:b/>
          <w:bCs/>
          <w:sz w:val="22"/>
          <w:szCs w:val="22"/>
          <w:lang w:val="es-MX"/>
        </w:rPr>
        <w:t>........................</w:t>
      </w:r>
      <w:proofErr w:type="gramEnd"/>
      <w:r w:rsidR="0005251B" w:rsidRPr="00FC277F">
        <w:rPr>
          <w:b/>
          <w:bCs/>
          <w:sz w:val="22"/>
          <w:szCs w:val="22"/>
          <w:lang w:val="es-MX"/>
        </w:rPr>
        <w:t xml:space="preserve"> </w:t>
      </w:r>
      <w:r w:rsidR="00D5796D" w:rsidRPr="00FC277F">
        <w:rPr>
          <w:sz w:val="22"/>
          <w:szCs w:val="22"/>
          <w:lang w:val="es-MX"/>
        </w:rPr>
        <w:t>contra</w:t>
      </w:r>
      <w:r w:rsidR="00D5796D" w:rsidRPr="00FC277F">
        <w:rPr>
          <w:rFonts w:eastAsia="Arial Unicode MS"/>
          <w:b/>
          <w:sz w:val="22"/>
          <w:szCs w:val="22"/>
        </w:rPr>
        <w:t xml:space="preserve"> </w:t>
      </w:r>
      <w:r w:rsidR="00921EA2">
        <w:rPr>
          <w:b/>
          <w:bCs/>
          <w:sz w:val="22"/>
          <w:szCs w:val="22"/>
          <w:lang w:val="es-MX"/>
        </w:rPr>
        <w:t>........................</w:t>
      </w:r>
      <w:r w:rsidR="00D5796D" w:rsidRPr="00FC277F">
        <w:rPr>
          <w:b/>
          <w:bCs/>
          <w:sz w:val="22"/>
          <w:szCs w:val="22"/>
          <w:lang w:val="es-MX"/>
        </w:rPr>
        <w:t xml:space="preserve"> SEGUROS</w:t>
      </w:r>
      <w:r w:rsidR="00D5796D" w:rsidRPr="00FC277F">
        <w:rPr>
          <w:bCs/>
          <w:sz w:val="22"/>
          <w:szCs w:val="22"/>
          <w:lang w:val="es-MX"/>
        </w:rPr>
        <w:t xml:space="preserve">, </w:t>
      </w:r>
      <w:r w:rsidR="0017120D" w:rsidRPr="00FC277F">
        <w:rPr>
          <w:bCs/>
          <w:sz w:val="22"/>
          <w:szCs w:val="22"/>
          <w:lang w:val="es-MX"/>
        </w:rPr>
        <w:t xml:space="preserve">debiendo dicha aseguradora otorgar </w:t>
      </w:r>
      <w:r w:rsidR="0005251B" w:rsidRPr="00FC277F">
        <w:rPr>
          <w:sz w:val="22"/>
          <w:szCs w:val="22"/>
        </w:rPr>
        <w:t xml:space="preserve">la </w:t>
      </w:r>
      <w:r w:rsidR="0005251B" w:rsidRPr="00FC277F">
        <w:rPr>
          <w:bCs/>
          <w:sz w:val="22"/>
          <w:szCs w:val="22"/>
        </w:rPr>
        <w:t xml:space="preserve">cobertura del </w:t>
      </w:r>
      <w:r w:rsidR="0005251B" w:rsidRPr="00FC277F">
        <w:rPr>
          <w:b/>
          <w:sz w:val="22"/>
          <w:szCs w:val="22"/>
          <w:lang w:val="es-MX"/>
        </w:rPr>
        <w:t xml:space="preserve">SEGURO DE DESGRAVAMEN - PÓLIZA </w:t>
      </w:r>
      <w:proofErr w:type="gramStart"/>
      <w:r w:rsidR="0005251B" w:rsidRPr="00FC277F">
        <w:rPr>
          <w:b/>
          <w:sz w:val="22"/>
          <w:szCs w:val="22"/>
          <w:lang w:val="es-MX"/>
        </w:rPr>
        <w:t xml:space="preserve">No </w:t>
      </w:r>
      <w:r w:rsidR="00921EA2">
        <w:rPr>
          <w:b/>
          <w:sz w:val="22"/>
          <w:szCs w:val="22"/>
          <w:lang w:val="es-MX"/>
        </w:rPr>
        <w:t>........................</w:t>
      </w:r>
      <w:proofErr w:type="gramEnd"/>
      <w:r w:rsidR="0017120D" w:rsidRPr="00FC277F">
        <w:rPr>
          <w:bCs/>
          <w:sz w:val="22"/>
          <w:szCs w:val="22"/>
          <w:lang w:val="es-MX"/>
        </w:rPr>
        <w:t xml:space="preserve"> como consecuencia del fallecimiento de la asegurada </w:t>
      </w:r>
      <w:bookmarkStart w:id="1" w:name="_GoBack"/>
      <w:r w:rsidR="00921EA2">
        <w:rPr>
          <w:bCs/>
          <w:sz w:val="22"/>
          <w:szCs w:val="22"/>
          <w:lang w:val="es-MX"/>
        </w:rPr>
        <w:t>........................</w:t>
      </w:r>
      <w:bookmarkEnd w:id="1"/>
      <w:r w:rsidRPr="00FC277F">
        <w:rPr>
          <w:sz w:val="22"/>
          <w:szCs w:val="22"/>
        </w:rPr>
        <w:t>.</w:t>
      </w:r>
    </w:p>
    <w:p w:rsidR="009230CC" w:rsidRPr="00FC277F" w:rsidRDefault="009230CC" w:rsidP="009230CC">
      <w:pPr>
        <w:snapToGrid w:val="0"/>
        <w:jc w:val="both"/>
        <w:rPr>
          <w:sz w:val="22"/>
          <w:szCs w:val="22"/>
          <w:lang w:val="es-MX"/>
        </w:rPr>
      </w:pPr>
    </w:p>
    <w:p w:rsidR="009230CC" w:rsidRDefault="009230CC" w:rsidP="009230CC">
      <w:pPr>
        <w:tabs>
          <w:tab w:val="left" w:pos="0"/>
          <w:tab w:val="left" w:pos="720"/>
          <w:tab w:val="left" w:pos="1416"/>
          <w:tab w:val="left" w:pos="2160"/>
          <w:tab w:val="left" w:pos="3540"/>
          <w:tab w:val="left" w:pos="4248"/>
          <w:tab w:val="left" w:pos="4956"/>
          <w:tab w:val="left" w:pos="5664"/>
          <w:tab w:val="left" w:pos="6372"/>
          <w:tab w:val="left" w:pos="7125"/>
        </w:tabs>
        <w:jc w:val="right"/>
        <w:rPr>
          <w:sz w:val="22"/>
          <w:szCs w:val="22"/>
        </w:rPr>
      </w:pPr>
      <w:r w:rsidRPr="00FC277F">
        <w:rPr>
          <w:sz w:val="22"/>
          <w:szCs w:val="22"/>
        </w:rPr>
        <w:t>Lima,</w:t>
      </w:r>
      <w:r w:rsidR="00FC277F">
        <w:rPr>
          <w:sz w:val="22"/>
          <w:szCs w:val="22"/>
        </w:rPr>
        <w:t xml:space="preserve"> 09</w:t>
      </w:r>
      <w:r w:rsidRPr="00FC277F">
        <w:rPr>
          <w:sz w:val="22"/>
          <w:szCs w:val="22"/>
        </w:rPr>
        <w:t xml:space="preserve"> de </w:t>
      </w:r>
      <w:r w:rsidR="0017120D" w:rsidRPr="00FC277F">
        <w:rPr>
          <w:sz w:val="22"/>
          <w:szCs w:val="22"/>
        </w:rPr>
        <w:t>diciembre</w:t>
      </w:r>
      <w:r w:rsidRPr="00FC277F">
        <w:rPr>
          <w:sz w:val="22"/>
          <w:szCs w:val="22"/>
        </w:rPr>
        <w:t xml:space="preserve"> de 2019.</w:t>
      </w:r>
    </w:p>
    <w:p w:rsidR="00FC277F" w:rsidRDefault="00FC277F" w:rsidP="00FC277F">
      <w:pPr>
        <w:tabs>
          <w:tab w:val="left" w:pos="0"/>
          <w:tab w:val="left" w:pos="720"/>
          <w:tab w:val="left" w:pos="1416"/>
          <w:tab w:val="left" w:pos="2160"/>
          <w:tab w:val="left" w:pos="3540"/>
          <w:tab w:val="left" w:pos="4248"/>
          <w:tab w:val="left" w:pos="4956"/>
          <w:tab w:val="left" w:pos="5664"/>
          <w:tab w:val="left" w:pos="6372"/>
          <w:tab w:val="left" w:pos="7125"/>
        </w:tabs>
        <w:rPr>
          <w:sz w:val="22"/>
          <w:szCs w:val="22"/>
        </w:rPr>
      </w:pPr>
    </w:p>
    <w:p w:rsidR="00FC277F" w:rsidRDefault="00FC277F" w:rsidP="00FC277F">
      <w:pPr>
        <w:tabs>
          <w:tab w:val="left" w:pos="0"/>
          <w:tab w:val="left" w:pos="720"/>
          <w:tab w:val="left" w:pos="1416"/>
          <w:tab w:val="left" w:pos="2160"/>
          <w:tab w:val="left" w:pos="3540"/>
          <w:tab w:val="left" w:pos="4248"/>
          <w:tab w:val="left" w:pos="4956"/>
          <w:tab w:val="left" w:pos="5664"/>
          <w:tab w:val="left" w:pos="6372"/>
          <w:tab w:val="left" w:pos="7125"/>
        </w:tabs>
        <w:rPr>
          <w:sz w:val="22"/>
          <w:szCs w:val="22"/>
        </w:rPr>
      </w:pPr>
    </w:p>
    <w:p w:rsidR="00FC277F" w:rsidRDefault="00FC277F" w:rsidP="00FC277F">
      <w:pPr>
        <w:tabs>
          <w:tab w:val="left" w:pos="0"/>
          <w:tab w:val="left" w:pos="720"/>
          <w:tab w:val="left" w:pos="1416"/>
          <w:tab w:val="left" w:pos="2160"/>
          <w:tab w:val="left" w:pos="3540"/>
          <w:tab w:val="left" w:pos="4248"/>
          <w:tab w:val="left" w:pos="4956"/>
          <w:tab w:val="left" w:pos="5664"/>
          <w:tab w:val="left" w:pos="6372"/>
          <w:tab w:val="left" w:pos="7125"/>
        </w:tabs>
        <w:rPr>
          <w:sz w:val="22"/>
          <w:szCs w:val="22"/>
        </w:rPr>
      </w:pPr>
    </w:p>
    <w:p w:rsidR="00FC277F" w:rsidRDefault="00FC277F" w:rsidP="00FC277F">
      <w:pPr>
        <w:tabs>
          <w:tab w:val="left" w:pos="0"/>
          <w:tab w:val="left" w:pos="720"/>
          <w:tab w:val="left" w:pos="1416"/>
          <w:tab w:val="left" w:pos="2160"/>
          <w:tab w:val="left" w:pos="3540"/>
          <w:tab w:val="left" w:pos="4248"/>
          <w:tab w:val="left" w:pos="4956"/>
          <w:tab w:val="left" w:pos="5664"/>
          <w:tab w:val="left" w:pos="6372"/>
          <w:tab w:val="left" w:pos="7125"/>
        </w:tabs>
        <w:rPr>
          <w:sz w:val="22"/>
          <w:szCs w:val="22"/>
        </w:rPr>
      </w:pPr>
    </w:p>
    <w:p w:rsidR="00FC277F" w:rsidRPr="00FC277F" w:rsidRDefault="00FC277F" w:rsidP="00FC277F">
      <w:pPr>
        <w:jc w:val="both"/>
        <w:rPr>
          <w:b/>
          <w:sz w:val="22"/>
          <w:szCs w:val="22"/>
        </w:rPr>
      </w:pPr>
    </w:p>
    <w:p w:rsidR="00FC277F" w:rsidRPr="00FC277F" w:rsidRDefault="00FC277F" w:rsidP="00FC277F">
      <w:pPr>
        <w:rPr>
          <w:b/>
          <w:sz w:val="22"/>
          <w:szCs w:val="22"/>
        </w:rPr>
      </w:pPr>
    </w:p>
    <w:p w:rsidR="00FC277F" w:rsidRPr="00FC277F" w:rsidRDefault="00FC277F" w:rsidP="00FC277F">
      <w:pPr>
        <w:rPr>
          <w:sz w:val="22"/>
          <w:szCs w:val="22"/>
        </w:rPr>
      </w:pPr>
      <w:r w:rsidRPr="00FC277F">
        <w:rPr>
          <w:sz w:val="22"/>
          <w:szCs w:val="22"/>
        </w:rPr>
        <w:t>Marco Antonio Ortega Piana</w:t>
      </w:r>
      <w:r w:rsidRPr="00FC277F">
        <w:rPr>
          <w:sz w:val="22"/>
          <w:szCs w:val="22"/>
        </w:rPr>
        <w:tab/>
      </w:r>
      <w:r w:rsidRPr="00FC277F">
        <w:rPr>
          <w:sz w:val="22"/>
          <w:szCs w:val="22"/>
        </w:rPr>
        <w:tab/>
      </w:r>
      <w:r w:rsidRPr="00FC277F">
        <w:rPr>
          <w:sz w:val="22"/>
          <w:szCs w:val="22"/>
        </w:rPr>
        <w:tab/>
        <w:t xml:space="preserve">        </w:t>
      </w:r>
      <w:r w:rsidRPr="00FC277F">
        <w:rPr>
          <w:sz w:val="22"/>
          <w:szCs w:val="22"/>
        </w:rPr>
        <w:tab/>
        <w:t xml:space="preserve">Rolando Eyzaguirre </w:t>
      </w:r>
      <w:proofErr w:type="spellStart"/>
      <w:r w:rsidRPr="00FC277F">
        <w:rPr>
          <w:sz w:val="22"/>
          <w:szCs w:val="22"/>
        </w:rPr>
        <w:t>Maccan</w:t>
      </w:r>
      <w:proofErr w:type="spellEnd"/>
    </w:p>
    <w:p w:rsidR="00FC277F" w:rsidRPr="00FC277F" w:rsidRDefault="00FC277F" w:rsidP="00FC277F">
      <w:pPr>
        <w:ind w:hanging="708"/>
        <w:rPr>
          <w:sz w:val="22"/>
          <w:szCs w:val="22"/>
        </w:rPr>
      </w:pPr>
      <w:r w:rsidRPr="00FC277F">
        <w:rPr>
          <w:sz w:val="22"/>
          <w:szCs w:val="22"/>
        </w:rPr>
        <w:t xml:space="preserve">                    </w:t>
      </w:r>
      <w:r w:rsidRPr="00FC277F">
        <w:rPr>
          <w:sz w:val="22"/>
          <w:szCs w:val="22"/>
        </w:rPr>
        <w:tab/>
        <w:t xml:space="preserve">  Presidente</w:t>
      </w:r>
      <w:r w:rsidRPr="00FC277F">
        <w:rPr>
          <w:sz w:val="22"/>
          <w:szCs w:val="22"/>
        </w:rPr>
        <w:tab/>
      </w:r>
      <w:r w:rsidRPr="00FC277F">
        <w:rPr>
          <w:sz w:val="22"/>
          <w:szCs w:val="22"/>
        </w:rPr>
        <w:tab/>
      </w:r>
      <w:r w:rsidRPr="00FC277F">
        <w:rPr>
          <w:sz w:val="22"/>
          <w:szCs w:val="22"/>
        </w:rPr>
        <w:tab/>
      </w:r>
      <w:r w:rsidRPr="00FC277F">
        <w:rPr>
          <w:sz w:val="22"/>
          <w:szCs w:val="22"/>
        </w:rPr>
        <w:tab/>
      </w:r>
      <w:r w:rsidRPr="00FC277F">
        <w:rPr>
          <w:sz w:val="22"/>
          <w:szCs w:val="22"/>
        </w:rPr>
        <w:tab/>
        <w:t xml:space="preserve">                  Vocal                                   </w:t>
      </w:r>
    </w:p>
    <w:p w:rsidR="00FC277F" w:rsidRPr="00FC277F" w:rsidRDefault="00FC277F" w:rsidP="00FC277F">
      <w:pPr>
        <w:rPr>
          <w:sz w:val="22"/>
          <w:szCs w:val="22"/>
        </w:rPr>
      </w:pPr>
      <w:r w:rsidRPr="00FC277F">
        <w:rPr>
          <w:sz w:val="22"/>
          <w:szCs w:val="22"/>
        </w:rPr>
        <w:t xml:space="preserve">  </w:t>
      </w:r>
    </w:p>
    <w:p w:rsidR="00FC277F" w:rsidRPr="00FC277F" w:rsidRDefault="00FC277F" w:rsidP="00FC277F">
      <w:pPr>
        <w:rPr>
          <w:sz w:val="22"/>
          <w:szCs w:val="22"/>
        </w:rPr>
      </w:pPr>
    </w:p>
    <w:p w:rsidR="00FC277F" w:rsidRPr="00FC277F" w:rsidRDefault="00FC277F" w:rsidP="00FC277F">
      <w:pPr>
        <w:rPr>
          <w:sz w:val="22"/>
          <w:szCs w:val="22"/>
        </w:rPr>
      </w:pPr>
    </w:p>
    <w:p w:rsidR="00FC277F" w:rsidRPr="00FC277F" w:rsidRDefault="00FC277F" w:rsidP="00FC277F">
      <w:pPr>
        <w:rPr>
          <w:sz w:val="22"/>
          <w:szCs w:val="22"/>
        </w:rPr>
      </w:pPr>
    </w:p>
    <w:p w:rsidR="00FC277F" w:rsidRPr="00FC277F" w:rsidRDefault="00FC277F" w:rsidP="00FC277F">
      <w:pPr>
        <w:rPr>
          <w:sz w:val="22"/>
          <w:szCs w:val="22"/>
        </w:rPr>
      </w:pPr>
    </w:p>
    <w:p w:rsidR="00FC277F" w:rsidRPr="00FC277F" w:rsidRDefault="00FC277F" w:rsidP="00FC277F">
      <w:pPr>
        <w:rPr>
          <w:sz w:val="22"/>
          <w:szCs w:val="22"/>
        </w:rPr>
      </w:pPr>
    </w:p>
    <w:p w:rsidR="00FC277F" w:rsidRPr="00FC277F" w:rsidRDefault="00FC277F" w:rsidP="00FC277F">
      <w:pPr>
        <w:rPr>
          <w:sz w:val="22"/>
          <w:szCs w:val="22"/>
        </w:rPr>
      </w:pPr>
    </w:p>
    <w:p w:rsidR="00FC277F" w:rsidRPr="00FC277F" w:rsidRDefault="00FC277F" w:rsidP="00FC277F">
      <w:pPr>
        <w:rPr>
          <w:sz w:val="22"/>
          <w:szCs w:val="22"/>
        </w:rPr>
      </w:pPr>
      <w:r w:rsidRPr="00FC277F">
        <w:rPr>
          <w:sz w:val="22"/>
          <w:szCs w:val="22"/>
        </w:rPr>
        <w:t>María Eugenia Valdez Fernández Baca</w:t>
      </w:r>
      <w:r w:rsidRPr="00FC277F">
        <w:rPr>
          <w:sz w:val="22"/>
          <w:szCs w:val="22"/>
        </w:rPr>
        <w:tab/>
      </w:r>
      <w:r w:rsidRPr="00FC277F">
        <w:rPr>
          <w:sz w:val="22"/>
          <w:szCs w:val="22"/>
        </w:rPr>
        <w:tab/>
        <w:t xml:space="preserve">        </w:t>
      </w:r>
      <w:r w:rsidRPr="00FC277F">
        <w:rPr>
          <w:sz w:val="22"/>
          <w:szCs w:val="22"/>
        </w:rPr>
        <w:tab/>
        <w:t>Gonzalo Abad del Busto</w:t>
      </w:r>
    </w:p>
    <w:p w:rsidR="00FC277F" w:rsidRPr="00FC277F" w:rsidRDefault="00FC277F" w:rsidP="00FC277F">
      <w:pPr>
        <w:rPr>
          <w:sz w:val="22"/>
          <w:szCs w:val="22"/>
        </w:rPr>
      </w:pPr>
      <w:r w:rsidRPr="00FC277F">
        <w:rPr>
          <w:sz w:val="22"/>
          <w:szCs w:val="22"/>
        </w:rPr>
        <w:t xml:space="preserve">                     Vocal</w:t>
      </w:r>
      <w:r w:rsidRPr="00FC277F">
        <w:rPr>
          <w:sz w:val="22"/>
          <w:szCs w:val="22"/>
        </w:rPr>
        <w:tab/>
        <w:t xml:space="preserve">                                                              </w:t>
      </w:r>
      <w:r w:rsidRPr="00FC277F">
        <w:rPr>
          <w:sz w:val="22"/>
          <w:szCs w:val="22"/>
        </w:rPr>
        <w:tab/>
        <w:t xml:space="preserve"> Vocal</w:t>
      </w:r>
    </w:p>
    <w:p w:rsidR="00FC277F" w:rsidRPr="00500E71" w:rsidRDefault="00FC277F" w:rsidP="00FC277F"/>
    <w:p w:rsidR="00FC277F" w:rsidRPr="00FC277F" w:rsidRDefault="00FC277F" w:rsidP="00FC277F">
      <w:pPr>
        <w:tabs>
          <w:tab w:val="left" w:pos="0"/>
          <w:tab w:val="left" w:pos="720"/>
          <w:tab w:val="left" w:pos="1416"/>
          <w:tab w:val="left" w:pos="2160"/>
          <w:tab w:val="left" w:pos="3540"/>
          <w:tab w:val="left" w:pos="4248"/>
          <w:tab w:val="left" w:pos="4956"/>
          <w:tab w:val="left" w:pos="5664"/>
          <w:tab w:val="left" w:pos="6372"/>
          <w:tab w:val="left" w:pos="7125"/>
        </w:tabs>
        <w:rPr>
          <w:sz w:val="22"/>
          <w:szCs w:val="22"/>
        </w:rPr>
      </w:pPr>
    </w:p>
    <w:sectPr w:rsidR="00FC277F" w:rsidRPr="00FC277F" w:rsidSect="00FC277F">
      <w:pgSz w:w="11906" w:h="16838"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2D" w:rsidRDefault="00883C2D">
      <w:r>
        <w:separator/>
      </w:r>
    </w:p>
  </w:endnote>
  <w:endnote w:type="continuationSeparator" w:id="0">
    <w:p w:rsidR="00883C2D" w:rsidRDefault="0088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2D" w:rsidRDefault="00883C2D">
      <w:r>
        <w:separator/>
      </w:r>
    </w:p>
  </w:footnote>
  <w:footnote w:type="continuationSeparator" w:id="0">
    <w:p w:rsidR="00883C2D" w:rsidRDefault="00883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01CB"/>
    <w:multiLevelType w:val="hybridMultilevel"/>
    <w:tmpl w:val="B6126BF6"/>
    <w:lvl w:ilvl="0" w:tplc="BCD486D8">
      <w:numFmt w:val="bullet"/>
      <w:lvlText w:val="-"/>
      <w:lvlJc w:val="left"/>
      <w:pPr>
        <w:ind w:left="3375" w:hanging="360"/>
      </w:pPr>
      <w:rPr>
        <w:rFonts w:ascii="Georgia" w:eastAsia="Times New Roman" w:hAnsi="Georgia" w:cs="Times New Roman" w:hint="default"/>
      </w:rPr>
    </w:lvl>
    <w:lvl w:ilvl="1" w:tplc="280A0003" w:tentative="1">
      <w:start w:val="1"/>
      <w:numFmt w:val="bullet"/>
      <w:lvlText w:val="o"/>
      <w:lvlJc w:val="left"/>
      <w:pPr>
        <w:ind w:left="4095" w:hanging="360"/>
      </w:pPr>
      <w:rPr>
        <w:rFonts w:ascii="Courier New" w:hAnsi="Courier New" w:cs="Courier New" w:hint="default"/>
      </w:rPr>
    </w:lvl>
    <w:lvl w:ilvl="2" w:tplc="280A0005" w:tentative="1">
      <w:start w:val="1"/>
      <w:numFmt w:val="bullet"/>
      <w:lvlText w:val=""/>
      <w:lvlJc w:val="left"/>
      <w:pPr>
        <w:ind w:left="4815" w:hanging="360"/>
      </w:pPr>
      <w:rPr>
        <w:rFonts w:ascii="Wingdings" w:hAnsi="Wingdings" w:hint="default"/>
      </w:rPr>
    </w:lvl>
    <w:lvl w:ilvl="3" w:tplc="280A0001" w:tentative="1">
      <w:start w:val="1"/>
      <w:numFmt w:val="bullet"/>
      <w:lvlText w:val=""/>
      <w:lvlJc w:val="left"/>
      <w:pPr>
        <w:ind w:left="5535" w:hanging="360"/>
      </w:pPr>
      <w:rPr>
        <w:rFonts w:ascii="Symbol" w:hAnsi="Symbol" w:hint="default"/>
      </w:rPr>
    </w:lvl>
    <w:lvl w:ilvl="4" w:tplc="280A0003" w:tentative="1">
      <w:start w:val="1"/>
      <w:numFmt w:val="bullet"/>
      <w:lvlText w:val="o"/>
      <w:lvlJc w:val="left"/>
      <w:pPr>
        <w:ind w:left="6255" w:hanging="360"/>
      </w:pPr>
      <w:rPr>
        <w:rFonts w:ascii="Courier New" w:hAnsi="Courier New" w:cs="Courier New" w:hint="default"/>
      </w:rPr>
    </w:lvl>
    <w:lvl w:ilvl="5" w:tplc="280A0005" w:tentative="1">
      <w:start w:val="1"/>
      <w:numFmt w:val="bullet"/>
      <w:lvlText w:val=""/>
      <w:lvlJc w:val="left"/>
      <w:pPr>
        <w:ind w:left="6975" w:hanging="360"/>
      </w:pPr>
      <w:rPr>
        <w:rFonts w:ascii="Wingdings" w:hAnsi="Wingdings" w:hint="default"/>
      </w:rPr>
    </w:lvl>
    <w:lvl w:ilvl="6" w:tplc="280A0001" w:tentative="1">
      <w:start w:val="1"/>
      <w:numFmt w:val="bullet"/>
      <w:lvlText w:val=""/>
      <w:lvlJc w:val="left"/>
      <w:pPr>
        <w:ind w:left="7695" w:hanging="360"/>
      </w:pPr>
      <w:rPr>
        <w:rFonts w:ascii="Symbol" w:hAnsi="Symbol" w:hint="default"/>
      </w:rPr>
    </w:lvl>
    <w:lvl w:ilvl="7" w:tplc="280A0003" w:tentative="1">
      <w:start w:val="1"/>
      <w:numFmt w:val="bullet"/>
      <w:lvlText w:val="o"/>
      <w:lvlJc w:val="left"/>
      <w:pPr>
        <w:ind w:left="8415" w:hanging="360"/>
      </w:pPr>
      <w:rPr>
        <w:rFonts w:ascii="Courier New" w:hAnsi="Courier New" w:cs="Courier New" w:hint="default"/>
      </w:rPr>
    </w:lvl>
    <w:lvl w:ilvl="8" w:tplc="280A0005" w:tentative="1">
      <w:start w:val="1"/>
      <w:numFmt w:val="bullet"/>
      <w:lvlText w:val=""/>
      <w:lvlJc w:val="left"/>
      <w:pPr>
        <w:ind w:left="9135" w:hanging="360"/>
      </w:pPr>
      <w:rPr>
        <w:rFonts w:ascii="Wingdings" w:hAnsi="Wingdings" w:hint="default"/>
      </w:rPr>
    </w:lvl>
  </w:abstractNum>
  <w:abstractNum w:abstractNumId="1">
    <w:nsid w:val="08096B91"/>
    <w:multiLevelType w:val="hybridMultilevel"/>
    <w:tmpl w:val="AB8CA1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4D29F3"/>
    <w:multiLevelType w:val="hybridMultilevel"/>
    <w:tmpl w:val="30FA33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AB39B0"/>
    <w:multiLevelType w:val="hybridMultilevel"/>
    <w:tmpl w:val="A8B6C84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nsid w:val="23774C6E"/>
    <w:multiLevelType w:val="hybridMultilevel"/>
    <w:tmpl w:val="C6D09740"/>
    <w:lvl w:ilvl="0" w:tplc="3ACE4C2C">
      <w:start w:val="1"/>
      <w:numFmt w:val="decimal"/>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5">
    <w:nsid w:val="244C3634"/>
    <w:multiLevelType w:val="hybridMultilevel"/>
    <w:tmpl w:val="42728F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1E72B02"/>
    <w:multiLevelType w:val="hybridMultilevel"/>
    <w:tmpl w:val="5F2445AE"/>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7">
    <w:nsid w:val="39372E59"/>
    <w:multiLevelType w:val="hybridMultilevel"/>
    <w:tmpl w:val="6BF4E2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F420B33"/>
    <w:multiLevelType w:val="multilevel"/>
    <w:tmpl w:val="8866357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42364B4B"/>
    <w:multiLevelType w:val="hybridMultilevel"/>
    <w:tmpl w:val="75A22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66839F2"/>
    <w:multiLevelType w:val="hybridMultilevel"/>
    <w:tmpl w:val="8140E1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724D14"/>
    <w:multiLevelType w:val="hybridMultilevel"/>
    <w:tmpl w:val="6E3C4F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C7E446E"/>
    <w:multiLevelType w:val="hybridMultilevel"/>
    <w:tmpl w:val="DA2673A0"/>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3">
    <w:nsid w:val="4FE07DDC"/>
    <w:multiLevelType w:val="hybridMultilevel"/>
    <w:tmpl w:val="4C1E80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5A9550E0"/>
    <w:multiLevelType w:val="hybridMultilevel"/>
    <w:tmpl w:val="B1BC138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5AE25945"/>
    <w:multiLevelType w:val="hybridMultilevel"/>
    <w:tmpl w:val="FB128F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4A6300"/>
    <w:multiLevelType w:val="hybridMultilevel"/>
    <w:tmpl w:val="7F7C2C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6369063B"/>
    <w:multiLevelType w:val="hybridMultilevel"/>
    <w:tmpl w:val="6870E9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5C16BAB"/>
    <w:multiLevelType w:val="hybridMultilevel"/>
    <w:tmpl w:val="2B001C2E"/>
    <w:lvl w:ilvl="0" w:tplc="2444BE18">
      <w:start w:val="1"/>
      <w:numFmt w:val="lowerLetter"/>
      <w:lvlText w:val="%1)"/>
      <w:lvlJc w:val="left"/>
      <w:pPr>
        <w:tabs>
          <w:tab w:val="num" w:pos="1188"/>
        </w:tabs>
        <w:ind w:left="1188" w:hanging="48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9">
    <w:nsid w:val="672703D4"/>
    <w:multiLevelType w:val="hybridMultilevel"/>
    <w:tmpl w:val="14E056EA"/>
    <w:lvl w:ilvl="0" w:tplc="C4A0C4CE">
      <w:start w:val="1"/>
      <w:numFmt w:val="bullet"/>
      <w:lvlText w:val=""/>
      <w:lvlJc w:val="left"/>
      <w:pPr>
        <w:tabs>
          <w:tab w:val="num" w:pos="780"/>
        </w:tabs>
        <w:ind w:left="780" w:hanging="360"/>
      </w:pPr>
      <w:rPr>
        <w:rFonts w:ascii="Wingdings" w:hAnsi="Wingdings"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11"/>
  </w:num>
  <w:num w:numId="3">
    <w:abstractNumId w:val="16"/>
  </w:num>
  <w:num w:numId="4">
    <w:abstractNumId w:val="3"/>
  </w:num>
  <w:num w:numId="5">
    <w:abstractNumId w:val="1"/>
  </w:num>
  <w:num w:numId="6">
    <w:abstractNumId w:val="2"/>
  </w:num>
  <w:num w:numId="7">
    <w:abstractNumId w:val="10"/>
  </w:num>
  <w:num w:numId="8">
    <w:abstractNumId w:val="15"/>
  </w:num>
  <w:num w:numId="9">
    <w:abstractNumId w:val="12"/>
  </w:num>
  <w:num w:numId="10">
    <w:abstractNumId w:val="6"/>
  </w:num>
  <w:num w:numId="11">
    <w:abstractNumId w:val="13"/>
  </w:num>
  <w:num w:numId="12">
    <w:abstractNumId w:val="5"/>
  </w:num>
  <w:num w:numId="13">
    <w:abstractNumId w:val="7"/>
  </w:num>
  <w:num w:numId="14">
    <w:abstractNumId w:val="4"/>
  </w:num>
  <w:num w:numId="15">
    <w:abstractNumId w:val="8"/>
  </w:num>
  <w:num w:numId="16">
    <w:abstractNumId w:val="18"/>
  </w:num>
  <w:num w:numId="17">
    <w:abstractNumId w:val="19"/>
  </w:num>
  <w:num w:numId="18">
    <w:abstractNumId w:val="1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4D"/>
    <w:rsid w:val="00036FFC"/>
    <w:rsid w:val="000431C8"/>
    <w:rsid w:val="0005251B"/>
    <w:rsid w:val="00054FEA"/>
    <w:rsid w:val="00056B62"/>
    <w:rsid w:val="000850AA"/>
    <w:rsid w:val="00085F86"/>
    <w:rsid w:val="000901DA"/>
    <w:rsid w:val="00090294"/>
    <w:rsid w:val="000953FA"/>
    <w:rsid w:val="000A504B"/>
    <w:rsid w:val="000A7784"/>
    <w:rsid w:val="000B05E7"/>
    <w:rsid w:val="000F57D5"/>
    <w:rsid w:val="00101A8A"/>
    <w:rsid w:val="001166D1"/>
    <w:rsid w:val="00137502"/>
    <w:rsid w:val="001550E4"/>
    <w:rsid w:val="0017120D"/>
    <w:rsid w:val="001B330B"/>
    <w:rsid w:val="001C4080"/>
    <w:rsid w:val="001E395E"/>
    <w:rsid w:val="001E489C"/>
    <w:rsid w:val="00212650"/>
    <w:rsid w:val="00232BF5"/>
    <w:rsid w:val="00237221"/>
    <w:rsid w:val="002A6566"/>
    <w:rsid w:val="002B2151"/>
    <w:rsid w:val="002D150C"/>
    <w:rsid w:val="002D503D"/>
    <w:rsid w:val="002E1011"/>
    <w:rsid w:val="002F4F9C"/>
    <w:rsid w:val="003132DD"/>
    <w:rsid w:val="00314B66"/>
    <w:rsid w:val="00317CEC"/>
    <w:rsid w:val="0034672D"/>
    <w:rsid w:val="0035242F"/>
    <w:rsid w:val="00381304"/>
    <w:rsid w:val="003F733F"/>
    <w:rsid w:val="00447EC8"/>
    <w:rsid w:val="00450631"/>
    <w:rsid w:val="00454908"/>
    <w:rsid w:val="00455B3E"/>
    <w:rsid w:val="00461139"/>
    <w:rsid w:val="00476268"/>
    <w:rsid w:val="00486CB6"/>
    <w:rsid w:val="004A3AE7"/>
    <w:rsid w:val="004A47BF"/>
    <w:rsid w:val="004B6EE4"/>
    <w:rsid w:val="004C2BB4"/>
    <w:rsid w:val="004D1F11"/>
    <w:rsid w:val="004D2593"/>
    <w:rsid w:val="004E466E"/>
    <w:rsid w:val="004F7D98"/>
    <w:rsid w:val="00537D51"/>
    <w:rsid w:val="00567B09"/>
    <w:rsid w:val="00576DD6"/>
    <w:rsid w:val="00585080"/>
    <w:rsid w:val="00591FF9"/>
    <w:rsid w:val="005A0C7B"/>
    <w:rsid w:val="005B4C8A"/>
    <w:rsid w:val="006072C6"/>
    <w:rsid w:val="0062092D"/>
    <w:rsid w:val="006242BC"/>
    <w:rsid w:val="00624A89"/>
    <w:rsid w:val="00627886"/>
    <w:rsid w:val="00655FDB"/>
    <w:rsid w:val="006568FB"/>
    <w:rsid w:val="00661416"/>
    <w:rsid w:val="00665CAD"/>
    <w:rsid w:val="006764A9"/>
    <w:rsid w:val="006837AC"/>
    <w:rsid w:val="006B0D99"/>
    <w:rsid w:val="006B53C6"/>
    <w:rsid w:val="006D0176"/>
    <w:rsid w:val="006D2ADD"/>
    <w:rsid w:val="006D3523"/>
    <w:rsid w:val="006E4093"/>
    <w:rsid w:val="00732662"/>
    <w:rsid w:val="00741837"/>
    <w:rsid w:val="0076264E"/>
    <w:rsid w:val="00767FA8"/>
    <w:rsid w:val="007917D1"/>
    <w:rsid w:val="00794780"/>
    <w:rsid w:val="007A05EF"/>
    <w:rsid w:val="007C0705"/>
    <w:rsid w:val="007C116F"/>
    <w:rsid w:val="007E586A"/>
    <w:rsid w:val="00803E40"/>
    <w:rsid w:val="008120D8"/>
    <w:rsid w:val="008120EE"/>
    <w:rsid w:val="008402B5"/>
    <w:rsid w:val="00852D2F"/>
    <w:rsid w:val="00857A8D"/>
    <w:rsid w:val="00883C2D"/>
    <w:rsid w:val="00896BB9"/>
    <w:rsid w:val="008A07C9"/>
    <w:rsid w:val="008B5F74"/>
    <w:rsid w:val="008B6CB9"/>
    <w:rsid w:val="008E421B"/>
    <w:rsid w:val="008F038D"/>
    <w:rsid w:val="008F10D4"/>
    <w:rsid w:val="00914A53"/>
    <w:rsid w:val="00921EA2"/>
    <w:rsid w:val="009230CC"/>
    <w:rsid w:val="00931DD6"/>
    <w:rsid w:val="00940C51"/>
    <w:rsid w:val="00944B2F"/>
    <w:rsid w:val="00955E3D"/>
    <w:rsid w:val="00960F4D"/>
    <w:rsid w:val="00970FC3"/>
    <w:rsid w:val="00982D12"/>
    <w:rsid w:val="009942C0"/>
    <w:rsid w:val="00997CE1"/>
    <w:rsid w:val="009B5574"/>
    <w:rsid w:val="009C49C3"/>
    <w:rsid w:val="009D05EE"/>
    <w:rsid w:val="009D5E81"/>
    <w:rsid w:val="00A06772"/>
    <w:rsid w:val="00A10D85"/>
    <w:rsid w:val="00A502DF"/>
    <w:rsid w:val="00A548EC"/>
    <w:rsid w:val="00A72DD9"/>
    <w:rsid w:val="00AC72CA"/>
    <w:rsid w:val="00AD4DC0"/>
    <w:rsid w:val="00AE104B"/>
    <w:rsid w:val="00AE5881"/>
    <w:rsid w:val="00AE6A7F"/>
    <w:rsid w:val="00AE716D"/>
    <w:rsid w:val="00B0006F"/>
    <w:rsid w:val="00B012F2"/>
    <w:rsid w:val="00B01537"/>
    <w:rsid w:val="00B21017"/>
    <w:rsid w:val="00B747B0"/>
    <w:rsid w:val="00B919FC"/>
    <w:rsid w:val="00B9702F"/>
    <w:rsid w:val="00BA0230"/>
    <w:rsid w:val="00BA1F10"/>
    <w:rsid w:val="00BB6306"/>
    <w:rsid w:val="00BC2589"/>
    <w:rsid w:val="00BD5A8B"/>
    <w:rsid w:val="00BE53E5"/>
    <w:rsid w:val="00C027F8"/>
    <w:rsid w:val="00C173E3"/>
    <w:rsid w:val="00C21D2A"/>
    <w:rsid w:val="00C252B8"/>
    <w:rsid w:val="00C54308"/>
    <w:rsid w:val="00C75A11"/>
    <w:rsid w:val="00C75FD8"/>
    <w:rsid w:val="00CA5700"/>
    <w:rsid w:val="00CB6F6A"/>
    <w:rsid w:val="00CC3FA4"/>
    <w:rsid w:val="00CE0417"/>
    <w:rsid w:val="00CF0E86"/>
    <w:rsid w:val="00CF1FFE"/>
    <w:rsid w:val="00CF7EA3"/>
    <w:rsid w:val="00D169B4"/>
    <w:rsid w:val="00D2194C"/>
    <w:rsid w:val="00D23296"/>
    <w:rsid w:val="00D26852"/>
    <w:rsid w:val="00D31E00"/>
    <w:rsid w:val="00D514B5"/>
    <w:rsid w:val="00D553F6"/>
    <w:rsid w:val="00D565A2"/>
    <w:rsid w:val="00D5796D"/>
    <w:rsid w:val="00D74491"/>
    <w:rsid w:val="00D776DB"/>
    <w:rsid w:val="00D91B83"/>
    <w:rsid w:val="00D91C36"/>
    <w:rsid w:val="00D9428B"/>
    <w:rsid w:val="00DB11A3"/>
    <w:rsid w:val="00DC64DC"/>
    <w:rsid w:val="00DE6E5E"/>
    <w:rsid w:val="00DF3AC3"/>
    <w:rsid w:val="00E14BA1"/>
    <w:rsid w:val="00E55599"/>
    <w:rsid w:val="00E84954"/>
    <w:rsid w:val="00E84C10"/>
    <w:rsid w:val="00E9217C"/>
    <w:rsid w:val="00EF2289"/>
    <w:rsid w:val="00EF3B4D"/>
    <w:rsid w:val="00F06016"/>
    <w:rsid w:val="00F10782"/>
    <w:rsid w:val="00F34BDA"/>
    <w:rsid w:val="00F43F71"/>
    <w:rsid w:val="00F6734F"/>
    <w:rsid w:val="00F70CF1"/>
    <w:rsid w:val="00F72788"/>
    <w:rsid w:val="00FC277F"/>
    <w:rsid w:val="00FF5990"/>
    <w:rsid w:val="00FF6D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link w:val="TextonotapieCar"/>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 w:type="character" w:customStyle="1" w:styleId="TextonotapieCar">
    <w:name w:val="Texto nota pie Car"/>
    <w:link w:val="Textonotapie"/>
    <w:rsid w:val="009230CC"/>
    <w:rPr>
      <w:lang w:val="es-ES" w:eastAsia="es-ES"/>
    </w:rPr>
  </w:style>
  <w:style w:type="paragraph" w:styleId="Textodeglobo">
    <w:name w:val="Balloon Text"/>
    <w:basedOn w:val="Normal"/>
    <w:link w:val="TextodegloboCar"/>
    <w:uiPriority w:val="99"/>
    <w:semiHidden/>
    <w:unhideWhenUsed/>
    <w:rsid w:val="0035242F"/>
    <w:rPr>
      <w:rFonts w:ascii="Segoe UI" w:hAnsi="Segoe UI" w:cs="Segoe UI"/>
      <w:sz w:val="18"/>
      <w:szCs w:val="18"/>
    </w:rPr>
  </w:style>
  <w:style w:type="character" w:customStyle="1" w:styleId="TextodegloboCar">
    <w:name w:val="Texto de globo Car"/>
    <w:link w:val="Textodeglobo"/>
    <w:uiPriority w:val="99"/>
    <w:semiHidden/>
    <w:rsid w:val="0035242F"/>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link w:val="TextonotapieCar"/>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 w:type="character" w:customStyle="1" w:styleId="TextonotapieCar">
    <w:name w:val="Texto nota pie Car"/>
    <w:link w:val="Textonotapie"/>
    <w:rsid w:val="009230CC"/>
    <w:rPr>
      <w:lang w:val="es-ES" w:eastAsia="es-ES"/>
    </w:rPr>
  </w:style>
  <w:style w:type="paragraph" w:styleId="Textodeglobo">
    <w:name w:val="Balloon Text"/>
    <w:basedOn w:val="Normal"/>
    <w:link w:val="TextodegloboCar"/>
    <w:uiPriority w:val="99"/>
    <w:semiHidden/>
    <w:unhideWhenUsed/>
    <w:rsid w:val="0035242F"/>
    <w:rPr>
      <w:rFonts w:ascii="Segoe UI" w:hAnsi="Segoe UI" w:cs="Segoe UI"/>
      <w:sz w:val="18"/>
      <w:szCs w:val="18"/>
    </w:rPr>
  </w:style>
  <w:style w:type="character" w:customStyle="1" w:styleId="TextodegloboCar">
    <w:name w:val="Texto de globo Car"/>
    <w:link w:val="Textodeglobo"/>
    <w:uiPriority w:val="99"/>
    <w:semiHidden/>
    <w:rsid w:val="0035242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C6CA-6A70-4F61-92AF-D7CFA557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7087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RESOLUCION N°   /08</vt:lpstr>
    </vt:vector>
  </TitlesOfParts>
  <Company>CASA</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/08</dc:title>
  <dc:creator>SOLEDAD</dc:creator>
  <cp:lastModifiedBy>Cardif</cp:lastModifiedBy>
  <cp:revision>2</cp:revision>
  <cp:lastPrinted>2019-12-09T23:34:00Z</cp:lastPrinted>
  <dcterms:created xsi:type="dcterms:W3CDTF">2020-04-14T01:34:00Z</dcterms:created>
  <dcterms:modified xsi:type="dcterms:W3CDTF">2020-04-14T01:34:00Z</dcterms:modified>
</cp:coreProperties>
</file>