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EB824" w14:textId="21D15763" w:rsidR="00BE15D8" w:rsidRPr="00CA0DEF" w:rsidRDefault="00BE15D8" w:rsidP="00BE15D8">
      <w:pPr>
        <w:pStyle w:val="Ttulo"/>
        <w:outlineLvl w:val="0"/>
        <w:rPr>
          <w:lang w:val="es-PE"/>
        </w:rPr>
      </w:pPr>
      <w:r w:rsidRPr="00CA0DEF">
        <w:rPr>
          <w:lang w:val="es-PE"/>
        </w:rPr>
        <w:t xml:space="preserve">RESOLUCIÓN </w:t>
      </w:r>
      <w:proofErr w:type="spellStart"/>
      <w:r w:rsidRPr="00CA0DEF">
        <w:rPr>
          <w:lang w:val="es-PE"/>
        </w:rPr>
        <w:t>N</w:t>
      </w:r>
      <w:r w:rsidR="00091475" w:rsidRPr="00CA0DEF">
        <w:rPr>
          <w:lang w:val="es-PE"/>
        </w:rPr>
        <w:t>°</w:t>
      </w:r>
      <w:proofErr w:type="spellEnd"/>
      <w:r w:rsidR="00091475" w:rsidRPr="00CA0DEF">
        <w:rPr>
          <w:lang w:val="es-PE"/>
        </w:rPr>
        <w:t xml:space="preserve"> 022/20</w:t>
      </w:r>
    </w:p>
    <w:p w14:paraId="672B11E5" w14:textId="77777777" w:rsidR="00BE15D8" w:rsidRPr="00CA0DEF" w:rsidRDefault="00BE15D8" w:rsidP="00BE15D8">
      <w:pPr>
        <w:rPr>
          <w:b/>
          <w:bCs/>
          <w:lang w:val="es-PE"/>
        </w:rPr>
      </w:pPr>
    </w:p>
    <w:p w14:paraId="7A5A6FB4" w14:textId="77777777" w:rsidR="00BE15D8" w:rsidRPr="00CA0DEF" w:rsidRDefault="00BE15D8" w:rsidP="00BE15D8">
      <w:pPr>
        <w:jc w:val="both"/>
        <w:outlineLvl w:val="0"/>
        <w:rPr>
          <w:b/>
          <w:bCs/>
          <w:lang w:val="es-PE"/>
        </w:rPr>
      </w:pPr>
      <w:r w:rsidRPr="00CA0DEF">
        <w:rPr>
          <w:b/>
          <w:bCs/>
          <w:lang w:val="es-PE"/>
        </w:rPr>
        <w:t>Vistos:</w:t>
      </w:r>
    </w:p>
    <w:p w14:paraId="7A7C53B5" w14:textId="77777777" w:rsidR="00BE15D8" w:rsidRPr="00CA0DEF" w:rsidRDefault="00BE15D8" w:rsidP="00BE15D8">
      <w:pPr>
        <w:jc w:val="both"/>
        <w:rPr>
          <w:b/>
          <w:bCs/>
          <w:lang w:val="es-PE"/>
        </w:rPr>
      </w:pPr>
    </w:p>
    <w:p w14:paraId="0EA448C2" w14:textId="7AAC471F" w:rsidR="00BE15D8" w:rsidRPr="00CA0DEF" w:rsidRDefault="00BE15D8" w:rsidP="00BE15D8">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CA0DEF">
        <w:rPr>
          <w:lang w:val="es-PE"/>
        </w:rPr>
        <w:t xml:space="preserve">Que, el 30 de octubre de 2019, </w:t>
      </w:r>
      <w:r w:rsidR="007D0A0C" w:rsidRPr="00CA0DEF">
        <w:rPr>
          <w:rFonts w:ascii="Arial" w:hAnsi="Arial" w:cs="Arial"/>
        </w:rPr>
        <w:t>...................</w:t>
      </w:r>
      <w:r w:rsidRPr="00CA0DEF">
        <w:rPr>
          <w:lang w:val="es-PE"/>
        </w:rPr>
        <w:t xml:space="preserve">, interpone reclamación ante esta Defensoría del Asegurado (DEFASEG) solicitando que </w:t>
      </w:r>
      <w:r w:rsidR="007D0A0C" w:rsidRPr="00CA0DEF">
        <w:rPr>
          <w:rFonts w:ascii="Arial" w:hAnsi="Arial" w:cs="Arial"/>
        </w:rPr>
        <w:t>...................</w:t>
      </w:r>
      <w:r w:rsidR="007D0A0C" w:rsidRPr="00CA0DEF">
        <w:rPr>
          <w:rFonts w:ascii="Arial" w:hAnsi="Arial" w:cs="Arial"/>
        </w:rPr>
        <w:t xml:space="preserve"> </w:t>
      </w:r>
      <w:r w:rsidRPr="00CA0DEF">
        <w:rPr>
          <w:lang w:val="es-PE"/>
        </w:rPr>
        <w:t xml:space="preserve">otorgue cobertura de seguro respecto de una transferencia bancaria no reconocida conforme a la Póliza de Seguro de Protección de Tarjeta </w:t>
      </w:r>
      <w:proofErr w:type="spellStart"/>
      <w:r w:rsidRPr="00CA0DEF">
        <w:rPr>
          <w:lang w:val="es-PE"/>
        </w:rPr>
        <w:t>N°</w:t>
      </w:r>
      <w:proofErr w:type="spellEnd"/>
      <w:r w:rsidRPr="00CA0DEF">
        <w:rPr>
          <w:lang w:val="es-PE"/>
        </w:rPr>
        <w:t xml:space="preserve"> </w:t>
      </w:r>
      <w:r w:rsidR="007D0A0C" w:rsidRPr="00CA0DEF">
        <w:rPr>
          <w:rFonts w:ascii="Arial" w:hAnsi="Arial" w:cs="Arial"/>
        </w:rPr>
        <w:t>...................</w:t>
      </w:r>
      <w:r w:rsidRPr="00CA0DEF">
        <w:rPr>
          <w:lang w:val="es-PE"/>
        </w:rPr>
        <w:t xml:space="preserve">; </w:t>
      </w:r>
    </w:p>
    <w:p w14:paraId="4F87F3A5" w14:textId="77777777" w:rsidR="00BE15D8" w:rsidRPr="00CA0DEF" w:rsidRDefault="00BE15D8" w:rsidP="00BE15D8">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2D9AF17C" w14:textId="77777777" w:rsidR="00BE15D8" w:rsidRPr="00CA0DEF" w:rsidRDefault="00BE15D8" w:rsidP="00BE15D8">
      <w:pPr>
        <w:jc w:val="both"/>
        <w:rPr>
          <w:rFonts w:eastAsia="Arial Unicode MS"/>
          <w:lang w:val="es-PE"/>
        </w:rPr>
      </w:pPr>
      <w:r w:rsidRPr="00CA0DEF">
        <w:rPr>
          <w:rFonts w:eastAsia="Arial Unicode MS"/>
          <w:lang w:val="es-PE"/>
        </w:rPr>
        <w:t>Que, la señalada reclamación cumple con los requisitos de materia, cuantía y oportunidad establecidos en el Reglamento de la DEFASEG (http://www.defaseg.com.pe/reglamento.html);</w:t>
      </w:r>
    </w:p>
    <w:p w14:paraId="4F4AAEF2" w14:textId="77777777" w:rsidR="00BE15D8" w:rsidRPr="00CA0DEF" w:rsidRDefault="00BE15D8" w:rsidP="00BE15D8">
      <w:pPr>
        <w:tabs>
          <w:tab w:val="num" w:pos="720"/>
        </w:tabs>
        <w:jc w:val="both"/>
        <w:rPr>
          <w:lang w:val="es-PE"/>
        </w:rPr>
      </w:pPr>
    </w:p>
    <w:p w14:paraId="7F264CC8" w14:textId="0949FBD7" w:rsidR="00BE15D8" w:rsidRPr="00CA0DEF" w:rsidRDefault="00BE15D8" w:rsidP="00BE15D8">
      <w:pPr>
        <w:tabs>
          <w:tab w:val="num" w:pos="720"/>
        </w:tabs>
        <w:jc w:val="both"/>
        <w:rPr>
          <w:lang w:val="es-PE"/>
        </w:rPr>
      </w:pPr>
      <w:r w:rsidRPr="00CA0DEF">
        <w:rPr>
          <w:lang w:val="es-PE"/>
        </w:rPr>
        <w:t xml:space="preserve">Que, habiéndose corrido traslado de la respectiva reclamación a </w:t>
      </w:r>
      <w:r w:rsidR="007D0A0C" w:rsidRPr="00CA0DEF">
        <w:rPr>
          <w:rFonts w:ascii="Arial" w:hAnsi="Arial" w:cs="Arial"/>
        </w:rPr>
        <w:t>...................</w:t>
      </w:r>
      <w:r w:rsidRPr="00CA0DEF">
        <w:rPr>
          <w:lang w:val="es-PE"/>
        </w:rPr>
        <w:t xml:space="preserve"> ésta solicitó un plazo adicional para presentar sus descargos; no obstante, la aseguradora no cumplió con presentarlos por lo que se convocó a audiencia de vista en rebeldía de la aseguradora, sin perjuicio de lo cual la aseguradora puede presentar sus descargos en cualquier momento posterior conforme se indica en el reglamento de la DEFASEG</w:t>
      </w:r>
    </w:p>
    <w:p w14:paraId="7B5C90CF" w14:textId="77777777" w:rsidR="00BE15D8" w:rsidRPr="00CA0DEF" w:rsidRDefault="00BE15D8" w:rsidP="00BE15D8">
      <w:pPr>
        <w:tabs>
          <w:tab w:val="num" w:pos="720"/>
        </w:tabs>
        <w:jc w:val="both"/>
        <w:rPr>
          <w:lang w:val="es-PE"/>
        </w:rPr>
      </w:pPr>
    </w:p>
    <w:p w14:paraId="292C54A7" w14:textId="27152978" w:rsidR="00BE15D8" w:rsidRPr="00CA0DEF" w:rsidRDefault="00BE15D8" w:rsidP="00BE15D8">
      <w:pPr>
        <w:tabs>
          <w:tab w:val="num" w:pos="720"/>
        </w:tabs>
        <w:jc w:val="both"/>
        <w:rPr>
          <w:lang w:val="es-PE"/>
        </w:rPr>
      </w:pPr>
      <w:r w:rsidRPr="00CA0DEF">
        <w:rPr>
          <w:lang w:val="es-PE"/>
        </w:rPr>
        <w:t xml:space="preserve">Que, el 20 de enero de 2020 se realizó la audiencia de vista con la </w:t>
      </w:r>
      <w:r w:rsidR="002F4B17" w:rsidRPr="00CA0DEF">
        <w:rPr>
          <w:lang w:val="es-PE"/>
        </w:rPr>
        <w:t xml:space="preserve">participación telefónica del asegurado la que sustentó su respectiva posición, siendo que </w:t>
      </w:r>
      <w:r w:rsidR="007D0A0C" w:rsidRPr="00CA0DEF">
        <w:rPr>
          <w:rFonts w:ascii="Arial" w:hAnsi="Arial" w:cs="Arial"/>
        </w:rPr>
        <w:t>...................</w:t>
      </w:r>
      <w:r w:rsidR="007D0A0C" w:rsidRPr="00CA0DEF">
        <w:rPr>
          <w:rFonts w:ascii="Arial" w:hAnsi="Arial" w:cs="Arial"/>
        </w:rPr>
        <w:t xml:space="preserve"> </w:t>
      </w:r>
      <w:r w:rsidR="002F4B17" w:rsidRPr="00CA0DEF">
        <w:rPr>
          <w:lang w:val="es-PE"/>
        </w:rPr>
        <w:t>no concurrió a la audiencia pese a haber sido debidamente convocada</w:t>
      </w:r>
      <w:r w:rsidRPr="00CA0DEF">
        <w:rPr>
          <w:lang w:val="es-PE"/>
        </w:rPr>
        <w:t>;</w:t>
      </w:r>
    </w:p>
    <w:p w14:paraId="71AE26D1" w14:textId="41141B8F" w:rsidR="00AD78E5" w:rsidRPr="00CA0DEF" w:rsidRDefault="00AD78E5" w:rsidP="00BE15D8">
      <w:pPr>
        <w:tabs>
          <w:tab w:val="num" w:pos="720"/>
        </w:tabs>
        <w:jc w:val="both"/>
        <w:rPr>
          <w:lang w:val="es-PE"/>
        </w:rPr>
      </w:pPr>
    </w:p>
    <w:p w14:paraId="3B720BB3" w14:textId="0E84D215" w:rsidR="00AD78E5" w:rsidRPr="00CA0DEF" w:rsidRDefault="00AD78E5" w:rsidP="00BE15D8">
      <w:pPr>
        <w:tabs>
          <w:tab w:val="num" w:pos="720"/>
        </w:tabs>
        <w:jc w:val="both"/>
        <w:rPr>
          <w:lang w:val="es-PE"/>
        </w:rPr>
      </w:pPr>
      <w:r w:rsidRPr="00CA0DEF">
        <w:rPr>
          <w:lang w:val="es-PE"/>
        </w:rPr>
        <w:t>Que, con fecha 28 de enero de 2020 la aseguradora presentó sus descargos de los cuales se corrió traslado al reclamante.</w:t>
      </w:r>
    </w:p>
    <w:p w14:paraId="24B86376" w14:textId="77777777" w:rsidR="00BE15D8" w:rsidRPr="00CA0DEF" w:rsidRDefault="00BE15D8" w:rsidP="00BE15D8">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50CC62B5" w14:textId="5BBBC1D4" w:rsidR="00BE15D8" w:rsidRPr="00CA0DEF" w:rsidRDefault="00BE15D8" w:rsidP="00BE15D8">
      <w:pPr>
        <w:jc w:val="both"/>
        <w:rPr>
          <w:lang w:val="es-419"/>
        </w:rPr>
      </w:pPr>
      <w:r w:rsidRPr="00CA0DEF">
        <w:rPr>
          <w:lang w:val="es-PE"/>
        </w:rPr>
        <w:t xml:space="preserve">Que, el reclamante sustenta su reclamo resumidamente en lo siguiente: </w:t>
      </w:r>
      <w:r w:rsidRPr="00CA0DEF">
        <w:rPr>
          <w:lang w:val="es-419"/>
        </w:rPr>
        <w:t xml:space="preserve">a) al ingresar a su cuenta de Facebook se percata de una publicación de la cuenta de Facebook del </w:t>
      </w:r>
      <w:r w:rsidR="007D0A0C" w:rsidRPr="00CA0DEF">
        <w:rPr>
          <w:rFonts w:ascii="Arial" w:hAnsi="Arial" w:cs="Arial"/>
        </w:rPr>
        <w:t>...................</w:t>
      </w:r>
      <w:r w:rsidR="007D0A0C" w:rsidRPr="00CA0DEF">
        <w:rPr>
          <w:rFonts w:ascii="Arial" w:hAnsi="Arial" w:cs="Arial"/>
        </w:rPr>
        <w:t xml:space="preserve"> </w:t>
      </w:r>
      <w:r w:rsidRPr="00CA0DEF">
        <w:rPr>
          <w:lang w:val="es-419"/>
        </w:rPr>
        <w:t xml:space="preserve">donde indicaban que debían hacer actualizaciones a fin de obtener más beneficios, motivo por el cual ingresó a la página de dicha entidad donde emergió una ventana mostrando un formato igual al que se muestra en la página web oficial de Banca Móvil del </w:t>
      </w:r>
      <w:r w:rsidR="007D0A0C" w:rsidRPr="00CA0DEF">
        <w:rPr>
          <w:rFonts w:ascii="Arial" w:hAnsi="Arial" w:cs="Arial"/>
        </w:rPr>
        <w:t>...................</w:t>
      </w:r>
      <w:r w:rsidRPr="00CA0DEF">
        <w:rPr>
          <w:lang w:val="es-419"/>
        </w:rPr>
        <w:t xml:space="preserve">, y debía ingresar su número de tarjeta, clave y nombres, al finaliza la operación, aparece un mensaje de error y luego recibe un mensaje informándole que había realizado un giro de S/1820 a favor de la persona  de </w:t>
      </w:r>
      <w:r w:rsidR="007D0A0C" w:rsidRPr="00CA0DEF">
        <w:rPr>
          <w:rFonts w:ascii="Arial" w:hAnsi="Arial" w:cs="Arial"/>
        </w:rPr>
        <w:t>...................</w:t>
      </w:r>
      <w:r w:rsidRPr="00CA0DEF">
        <w:rPr>
          <w:lang w:val="es-419"/>
        </w:rPr>
        <w:t xml:space="preserve">, motivo por el cual procede a denunciar para los fines correspondientes; b) que considera está ante un fraude electrónico denominado phishing, motivo por el cual reclama la cobertura de seguro. </w:t>
      </w:r>
    </w:p>
    <w:p w14:paraId="4BF3A679" w14:textId="77777777" w:rsidR="00BE15D8" w:rsidRPr="00CA0DEF" w:rsidRDefault="00BE15D8" w:rsidP="00BE15D8">
      <w:pPr>
        <w:jc w:val="both"/>
        <w:rPr>
          <w:lang w:val="es-PE"/>
        </w:rPr>
      </w:pPr>
    </w:p>
    <w:p w14:paraId="5D465F4D" w14:textId="047EFD6E" w:rsidR="00BE15D8" w:rsidRPr="00CA0DEF" w:rsidRDefault="00BE15D8" w:rsidP="00BE15D8">
      <w:pPr>
        <w:ind w:right="-5"/>
        <w:jc w:val="both"/>
        <w:rPr>
          <w:lang w:val="es-PE"/>
        </w:rPr>
      </w:pPr>
      <w:r w:rsidRPr="00CA0DEF">
        <w:rPr>
          <w:lang w:val="es-PE"/>
        </w:rPr>
        <w:t xml:space="preserve">Que, por su parte la aseguradora expresa resumidamente lo siguiente: </w:t>
      </w:r>
      <w:r w:rsidR="00FA2D35" w:rsidRPr="00CA0DEF">
        <w:rPr>
          <w:lang w:val="es-PE"/>
        </w:rPr>
        <w:t xml:space="preserve">que </w:t>
      </w:r>
      <w:r w:rsidR="003578A6" w:rsidRPr="00CA0DEF">
        <w:rPr>
          <w:lang w:val="es-PE"/>
        </w:rPr>
        <w:t>adjunta a su solicitud de cobertura de seguro, el reclamante presentó una declaración jurada donde señala que el 30 de setiembre de 2019</w:t>
      </w:r>
      <w:r w:rsidR="006D77F0" w:rsidRPr="00CA0DEF">
        <w:rPr>
          <w:lang w:val="es-PE"/>
        </w:rPr>
        <w:t xml:space="preserve"> revisando su Facebook </w:t>
      </w:r>
      <w:r w:rsidR="00562092" w:rsidRPr="00CA0DEF">
        <w:rPr>
          <w:lang w:val="es-PE"/>
        </w:rPr>
        <w:t>vio</w:t>
      </w:r>
      <w:r w:rsidR="006D77F0" w:rsidRPr="00CA0DEF">
        <w:rPr>
          <w:lang w:val="es-PE"/>
        </w:rPr>
        <w:t xml:space="preserve"> una publicación de </w:t>
      </w:r>
      <w:r w:rsidR="00562092" w:rsidRPr="00CA0DEF">
        <w:rPr>
          <w:lang w:val="es-PE"/>
        </w:rPr>
        <w:t>actualización</w:t>
      </w:r>
      <w:r w:rsidR="006D77F0" w:rsidRPr="00CA0DEF">
        <w:rPr>
          <w:lang w:val="es-PE"/>
        </w:rPr>
        <w:t xml:space="preserve"> de datos de la tarjeta de </w:t>
      </w:r>
      <w:r w:rsidR="007D0A0C" w:rsidRPr="00CA0DEF">
        <w:rPr>
          <w:rFonts w:ascii="Arial" w:hAnsi="Arial" w:cs="Arial"/>
        </w:rPr>
        <w:t>...................</w:t>
      </w:r>
      <w:r w:rsidR="006D77F0" w:rsidRPr="00CA0DEF">
        <w:rPr>
          <w:lang w:val="es-PE"/>
        </w:rPr>
        <w:t xml:space="preserve"> del </w:t>
      </w:r>
      <w:r w:rsidR="007D0A0C" w:rsidRPr="00CA0DEF">
        <w:rPr>
          <w:rFonts w:ascii="Arial" w:hAnsi="Arial" w:cs="Arial"/>
        </w:rPr>
        <w:t>...................</w:t>
      </w:r>
      <w:r w:rsidR="006D77F0" w:rsidRPr="00CA0DEF">
        <w:rPr>
          <w:lang w:val="es-PE"/>
        </w:rPr>
        <w:t xml:space="preserve"> donde le ofrecían beneficios y premiso por actualizar sus datos</w:t>
      </w:r>
      <w:r w:rsidR="001C238D" w:rsidRPr="00CA0DEF">
        <w:rPr>
          <w:lang w:val="es-PE"/>
        </w:rPr>
        <w:t xml:space="preserve">, a la cual accedió ingresando sus datos </w:t>
      </w:r>
      <w:r w:rsidR="004736B1" w:rsidRPr="00CA0DEF">
        <w:rPr>
          <w:lang w:val="es-PE"/>
        </w:rPr>
        <w:t xml:space="preserve">y clave, lo que finalizó con un mensaje de error </w:t>
      </w:r>
      <w:r w:rsidR="00F636E2" w:rsidRPr="00CA0DEF">
        <w:rPr>
          <w:lang w:val="es-PE"/>
        </w:rPr>
        <w:t xml:space="preserve">, y a los pocos minutos le llega un correo con un movimiento bancario de un giro de S/.1,820 favor de la persona de </w:t>
      </w:r>
      <w:r w:rsidR="007D0A0C" w:rsidRPr="00CA0DEF">
        <w:rPr>
          <w:rFonts w:ascii="Arial" w:hAnsi="Arial" w:cs="Arial"/>
        </w:rPr>
        <w:t>...................</w:t>
      </w:r>
      <w:r w:rsidR="005A1A49" w:rsidRPr="00CA0DEF">
        <w:rPr>
          <w:lang w:val="es-PE"/>
        </w:rPr>
        <w:t xml:space="preserve">; b) que se rechazó la cobertura de seguro porque la modalidad empleada por los delincuentes no corresponde a ninguna de las </w:t>
      </w:r>
      <w:r w:rsidR="006D77F0" w:rsidRPr="00CA0DEF">
        <w:rPr>
          <w:lang w:val="es-PE"/>
        </w:rPr>
        <w:t xml:space="preserve"> </w:t>
      </w:r>
      <w:r w:rsidR="00C54316" w:rsidRPr="00CA0DEF">
        <w:rPr>
          <w:lang w:val="es-PE"/>
        </w:rPr>
        <w:t>coberturas descritas en la póliza; que la circunstancia materia de denuncia no corresponde al p</w:t>
      </w:r>
      <w:r w:rsidR="008C429F" w:rsidRPr="00CA0DEF">
        <w:rPr>
          <w:lang w:val="es-PE"/>
        </w:rPr>
        <w:t xml:space="preserve">hishing, toda vez que este solo cubre cuando se recibe un correo electrónico </w:t>
      </w:r>
      <w:r w:rsidR="008C429F" w:rsidRPr="00CA0DEF">
        <w:rPr>
          <w:lang w:val="es-PE"/>
        </w:rPr>
        <w:lastRenderedPageBreak/>
        <w:t>fraudulento</w:t>
      </w:r>
      <w:r w:rsidR="00D6346E" w:rsidRPr="00CA0DEF">
        <w:rPr>
          <w:lang w:val="es-PE"/>
        </w:rPr>
        <w:t>, lo que no ocurrió en este caso, toda vez que el propio reclamante reconoce haber accedido a la actualización a través de su Facebook</w:t>
      </w:r>
      <w:r w:rsidR="00266089" w:rsidRPr="00CA0DEF">
        <w:rPr>
          <w:lang w:val="es-PE"/>
        </w:rPr>
        <w:t xml:space="preserve">; </w:t>
      </w:r>
      <w:r w:rsidRPr="00CA0DEF">
        <w:rPr>
          <w:lang w:val="es-PE"/>
        </w:rPr>
        <w:t xml:space="preserve">por lo que no corresponde otorgar la cobertura de seguro. </w:t>
      </w:r>
    </w:p>
    <w:p w14:paraId="6FC2E3A9" w14:textId="77777777" w:rsidR="00BE15D8" w:rsidRPr="00CA0DEF" w:rsidRDefault="00BE15D8" w:rsidP="00BE15D8">
      <w:pPr>
        <w:ind w:right="-5"/>
        <w:jc w:val="both"/>
        <w:rPr>
          <w:lang w:val="es-PE"/>
        </w:rPr>
      </w:pPr>
    </w:p>
    <w:p w14:paraId="22A4D0AB" w14:textId="6B985F00" w:rsidR="00BE15D8" w:rsidRPr="00CA0DEF" w:rsidRDefault="00813004" w:rsidP="00BE15D8">
      <w:pPr>
        <w:ind w:right="-5"/>
        <w:jc w:val="both"/>
        <w:rPr>
          <w:lang w:val="es-PE"/>
        </w:rPr>
      </w:pPr>
      <w:r w:rsidRPr="00CA0DEF">
        <w:rPr>
          <w:lang w:val="es-PE"/>
        </w:rPr>
        <w:t xml:space="preserve">Que, con fecha 06 de febrero la aseguradora presentó </w:t>
      </w:r>
      <w:r w:rsidR="00A130E0" w:rsidRPr="00CA0DEF">
        <w:rPr>
          <w:lang w:val="es-PE"/>
        </w:rPr>
        <w:t>copia de la póliza de seguro solicitada.</w:t>
      </w:r>
    </w:p>
    <w:p w14:paraId="4F817052" w14:textId="77777777" w:rsidR="00A130E0" w:rsidRPr="00CA0DEF" w:rsidRDefault="00A130E0" w:rsidP="00BE15D8">
      <w:pPr>
        <w:ind w:right="-5"/>
        <w:jc w:val="both"/>
        <w:rPr>
          <w:lang w:val="es-PE"/>
        </w:rPr>
      </w:pPr>
    </w:p>
    <w:p w14:paraId="27E5F6C8" w14:textId="77777777" w:rsidR="00BE15D8" w:rsidRPr="00CA0DEF" w:rsidRDefault="00BE15D8" w:rsidP="00BE15D8">
      <w:pPr>
        <w:jc w:val="both"/>
        <w:outlineLvl w:val="0"/>
        <w:rPr>
          <w:lang w:val="es-PE"/>
        </w:rPr>
      </w:pPr>
      <w:r w:rsidRPr="00CA0DEF">
        <w:rPr>
          <w:rStyle w:val="Textoennegrita"/>
          <w:lang w:val="es-PE"/>
        </w:rPr>
        <w:t>Considerando:</w:t>
      </w:r>
    </w:p>
    <w:p w14:paraId="3C391526" w14:textId="77777777" w:rsidR="00BE15D8" w:rsidRPr="00CA0DEF" w:rsidRDefault="00BE15D8" w:rsidP="00BE15D8">
      <w:pPr>
        <w:jc w:val="both"/>
        <w:rPr>
          <w:lang w:val="es-PE"/>
        </w:rPr>
      </w:pPr>
    </w:p>
    <w:p w14:paraId="74ED1902" w14:textId="77777777" w:rsidR="00BE15D8" w:rsidRPr="00CA0DEF" w:rsidRDefault="00BE15D8" w:rsidP="00BE15D8">
      <w:pPr>
        <w:jc w:val="both"/>
        <w:rPr>
          <w:lang w:val="es-PE"/>
        </w:rPr>
      </w:pPr>
      <w:r w:rsidRPr="00CA0DEF">
        <w:rPr>
          <w:b/>
          <w:u w:val="single"/>
          <w:lang w:val="es-PE"/>
        </w:rPr>
        <w:t>Primero</w:t>
      </w:r>
      <w:r w:rsidRPr="00CA0DEF">
        <w:rPr>
          <w:b/>
          <w:lang w:val="es-PE"/>
        </w:rPr>
        <w:t xml:space="preserve">: </w:t>
      </w:r>
      <w:r w:rsidRPr="00CA0DEF">
        <w:rPr>
          <w:lang w:val="es-PE"/>
        </w:rPr>
        <w:t>Conforme a su Reglamento, la</w:t>
      </w:r>
      <w:r w:rsidRPr="00CA0DEF">
        <w:rPr>
          <w:b/>
          <w:bCs/>
          <w:lang w:val="es-PE"/>
        </w:rPr>
        <w:t xml:space="preserve"> </w:t>
      </w:r>
      <w:r w:rsidRPr="00CA0DEF">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46E5697F" w14:textId="77777777" w:rsidR="00BE15D8" w:rsidRPr="00CA0DEF" w:rsidRDefault="00BE15D8" w:rsidP="00BE15D8">
      <w:pPr>
        <w:jc w:val="both"/>
        <w:rPr>
          <w:bCs/>
        </w:rPr>
      </w:pPr>
    </w:p>
    <w:p w14:paraId="6A0D0C12" w14:textId="77777777" w:rsidR="00BE15D8" w:rsidRPr="00CA0DEF" w:rsidRDefault="00BE15D8" w:rsidP="00BE15D8">
      <w:pPr>
        <w:jc w:val="both"/>
        <w:rPr>
          <w:bCs/>
          <w:lang w:val="es-PE"/>
        </w:rPr>
      </w:pPr>
      <w:r w:rsidRPr="00CA0DEF">
        <w:rPr>
          <w:b/>
          <w:bCs/>
          <w:u w:val="single"/>
          <w:lang w:val="es-PE"/>
        </w:rPr>
        <w:t>Segundo</w:t>
      </w:r>
      <w:r w:rsidRPr="00CA0DEF">
        <w:rPr>
          <w:b/>
          <w:bCs/>
          <w:lang w:val="es-PE"/>
        </w:rPr>
        <w:t>:</w:t>
      </w:r>
      <w:r w:rsidRPr="00CA0DEF">
        <w:rPr>
          <w:bCs/>
          <w:lang w:val="es-PE"/>
        </w:rPr>
        <w:t xml:space="preserve"> </w:t>
      </w:r>
      <w:r w:rsidRPr="00CA0DEF">
        <w:rPr>
          <w:lang w:val="es-PE"/>
        </w:rPr>
        <w:t xml:space="preserve">Asimismo, de acuerdo a </w:t>
      </w:r>
      <w:r w:rsidRPr="00CA0DEF">
        <w:rPr>
          <w:bCs/>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1194EDB3" w14:textId="77777777" w:rsidR="00BE15D8" w:rsidRPr="00CA0DEF" w:rsidRDefault="00BE15D8" w:rsidP="00BE15D8">
      <w:pPr>
        <w:jc w:val="both"/>
        <w:rPr>
          <w:lang w:val="es-PE"/>
        </w:rPr>
      </w:pPr>
    </w:p>
    <w:p w14:paraId="196FB9BB" w14:textId="77777777" w:rsidR="00BE15D8" w:rsidRPr="00CA0DEF" w:rsidRDefault="00BE15D8" w:rsidP="00BE15D8">
      <w:pPr>
        <w:jc w:val="both"/>
      </w:pPr>
      <w:r w:rsidRPr="00CA0DEF">
        <w:rPr>
          <w:b/>
          <w:bCs/>
          <w:u w:val="single"/>
          <w:lang w:val="es-PE"/>
        </w:rPr>
        <w:t>Tercero</w:t>
      </w:r>
      <w:r w:rsidRPr="00CA0DEF">
        <w:rPr>
          <w:b/>
          <w:bCs/>
          <w:lang w:val="es-PE"/>
        </w:rPr>
        <w:t>:</w:t>
      </w:r>
      <w:r w:rsidRPr="00CA0DEF">
        <w:rPr>
          <w:lang w:val="es-PE"/>
        </w:rPr>
        <w:t xml:space="preserve"> Que, de acuerdo a la Ley Nro. </w:t>
      </w:r>
      <w:r w:rsidRPr="00CA0DEF">
        <w:t xml:space="preserve">29946 – Ley del Contrato de Seguro, norma legal vigente con ocasión de la celebración del contrato al cual se contrae el presente caso, </w:t>
      </w:r>
      <w:r w:rsidRPr="00CA0DEF">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6E34FC45" w14:textId="77777777" w:rsidR="00BE15D8" w:rsidRPr="00CA0DEF" w:rsidRDefault="00BE15D8" w:rsidP="00BE15D8">
      <w:pPr>
        <w:jc w:val="both"/>
        <w:rPr>
          <w:b/>
          <w:u w:val="single"/>
          <w:lang w:val="es-PE"/>
        </w:rPr>
      </w:pPr>
    </w:p>
    <w:p w14:paraId="01BECBE5" w14:textId="77777777" w:rsidR="00BE15D8" w:rsidRPr="00CA0DEF" w:rsidRDefault="00BE15D8" w:rsidP="00BE15D8">
      <w:pPr>
        <w:jc w:val="both"/>
        <w:rPr>
          <w:lang w:val="es-PE"/>
        </w:rPr>
      </w:pPr>
      <w:r w:rsidRPr="00CA0DEF">
        <w:rPr>
          <w:b/>
          <w:u w:val="single"/>
          <w:lang w:val="es-PE"/>
        </w:rPr>
        <w:t>Cuarto</w:t>
      </w:r>
      <w:r w:rsidRPr="00CA0DEF">
        <w:rPr>
          <w:b/>
          <w:lang w:val="es-PE"/>
        </w:rPr>
        <w:t>:</w:t>
      </w:r>
      <w:r w:rsidRPr="00CA0DEF">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0FA0C82B" w14:textId="77777777" w:rsidR="00BE15D8" w:rsidRPr="00CA0DEF" w:rsidRDefault="00BE15D8" w:rsidP="00BE15D8">
      <w:pPr>
        <w:jc w:val="both"/>
        <w:rPr>
          <w:rStyle w:val="Textoennegrita"/>
          <w:b w:val="0"/>
        </w:rPr>
      </w:pPr>
    </w:p>
    <w:p w14:paraId="262BC10A" w14:textId="77777777" w:rsidR="00BE15D8" w:rsidRPr="00CA0DEF" w:rsidRDefault="00BE15D8" w:rsidP="00BE15D8">
      <w:pPr>
        <w:jc w:val="both"/>
      </w:pPr>
      <w:r w:rsidRPr="00CA0DEF">
        <w:rPr>
          <w:rStyle w:val="Textoennegrita"/>
          <w:u w:val="single"/>
          <w:lang w:val="es-PE"/>
        </w:rPr>
        <w:t>Quinto</w:t>
      </w:r>
      <w:r w:rsidRPr="00CA0DEF">
        <w:rPr>
          <w:rStyle w:val="Textoennegrita"/>
          <w:lang w:val="es-PE"/>
        </w:rPr>
        <w:t xml:space="preserve">: </w:t>
      </w:r>
      <w:r w:rsidRPr="00CA0DEF">
        <w:rPr>
          <w:rStyle w:val="Textoennegrita"/>
          <w:b w:val="0"/>
          <w:lang w:val="es-PE"/>
        </w:rPr>
        <w:t xml:space="preserve">Que, conforme al </w:t>
      </w:r>
      <w:r w:rsidRPr="00CA0DEF">
        <w:rPr>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77995593" w14:textId="77777777" w:rsidR="00BE15D8" w:rsidRPr="00CA0DEF" w:rsidRDefault="00BE15D8" w:rsidP="00BE15D8">
      <w:pPr>
        <w:tabs>
          <w:tab w:val="left" w:pos="2160"/>
        </w:tabs>
        <w:jc w:val="both"/>
      </w:pPr>
    </w:p>
    <w:p w14:paraId="5074EA67" w14:textId="77777777" w:rsidR="00BE15D8" w:rsidRPr="00CA0DEF" w:rsidRDefault="00BE15D8" w:rsidP="00BE15D8">
      <w:pPr>
        <w:tabs>
          <w:tab w:val="left" w:pos="2160"/>
        </w:tabs>
        <w:jc w:val="both"/>
        <w:rPr>
          <w:lang w:val="es-PE"/>
        </w:rPr>
      </w:pPr>
      <w:r w:rsidRPr="00CA0DEF">
        <w:rPr>
          <w:b/>
          <w:u w:val="single"/>
        </w:rPr>
        <w:t>Sexto</w:t>
      </w:r>
      <w:r w:rsidRPr="00CA0DEF">
        <w:rPr>
          <w:b/>
        </w:rPr>
        <w:t>:</w:t>
      </w:r>
      <w:r w:rsidRPr="00CA0DEF">
        <w:rPr>
          <w:b/>
          <w:lang w:val="es-PE"/>
        </w:rPr>
        <w:t xml:space="preserve"> </w:t>
      </w:r>
      <w:r w:rsidRPr="00CA0DEF">
        <w:rPr>
          <w:lang w:val="es-PE"/>
        </w:rPr>
        <w:t xml:space="preserve">Sobre la base de los términos contenidos en la reclamación y en la absolución de </w:t>
      </w:r>
      <w:proofErr w:type="gramStart"/>
      <w:r w:rsidRPr="00CA0DEF">
        <w:rPr>
          <w:lang w:val="es-PE"/>
        </w:rPr>
        <w:t>la misma</w:t>
      </w:r>
      <w:proofErr w:type="gramEnd"/>
      <w:r w:rsidRPr="00CA0DEF">
        <w:rPr>
          <w:lang w:val="es-PE"/>
        </w:rPr>
        <w:t>, y a lo tratado en la audiencia de vista, la cuestión controvertida radica en determinar si el rechazo de cobertura invocado por la aseguradora sustentado en que el evento ocurrido no configura un supuesto de cobertura amparado por la póliza es legítimo.</w:t>
      </w:r>
    </w:p>
    <w:p w14:paraId="305150F4" w14:textId="77777777" w:rsidR="00BE15D8" w:rsidRPr="00CA0DEF" w:rsidRDefault="00BE15D8" w:rsidP="00BE15D8">
      <w:pPr>
        <w:tabs>
          <w:tab w:val="left" w:pos="2160"/>
        </w:tabs>
        <w:jc w:val="both"/>
        <w:rPr>
          <w:lang w:val="es-PE"/>
        </w:rPr>
      </w:pPr>
    </w:p>
    <w:p w14:paraId="3A9B6AD2" w14:textId="4E527D2E" w:rsidR="00BE15D8" w:rsidRPr="00CA0DEF" w:rsidRDefault="00BE15D8" w:rsidP="00BE15D8">
      <w:pPr>
        <w:tabs>
          <w:tab w:val="left" w:pos="2160"/>
        </w:tabs>
        <w:jc w:val="both"/>
        <w:rPr>
          <w:lang w:val="es-PE"/>
        </w:rPr>
      </w:pPr>
      <w:r w:rsidRPr="00CA0DEF">
        <w:rPr>
          <w:b/>
          <w:u w:val="single"/>
          <w:lang w:val="es-PE"/>
        </w:rPr>
        <w:lastRenderedPageBreak/>
        <w:t>Séptimo</w:t>
      </w:r>
      <w:r w:rsidRPr="00CA0DEF">
        <w:rPr>
          <w:b/>
          <w:lang w:val="es-PE"/>
        </w:rPr>
        <w:t>:</w:t>
      </w:r>
      <w:r w:rsidRPr="00CA0DEF">
        <w:rPr>
          <w:lang w:val="es-PE"/>
        </w:rPr>
        <w:t xml:space="preserve"> </w:t>
      </w:r>
      <w:proofErr w:type="gramStart"/>
      <w:r w:rsidRPr="00CA0DEF">
        <w:rPr>
          <w:lang w:val="es-PE"/>
        </w:rPr>
        <w:t>De acuerdo a</w:t>
      </w:r>
      <w:proofErr w:type="gramEnd"/>
      <w:r w:rsidRPr="00CA0DEF">
        <w:rPr>
          <w:lang w:val="es-PE"/>
        </w:rPr>
        <w:t xml:space="preserve"> lo establecido en la póliza de seguro que </w:t>
      </w:r>
      <w:r w:rsidR="005237EB" w:rsidRPr="00CA0DEF">
        <w:rPr>
          <w:lang w:val="es-PE"/>
        </w:rPr>
        <w:t xml:space="preserve">finalmente fue remitida por la aseguradora con fecha </w:t>
      </w:r>
      <w:r w:rsidR="00315955" w:rsidRPr="00CA0DEF">
        <w:rPr>
          <w:lang w:val="es-PE"/>
        </w:rPr>
        <w:t xml:space="preserve">06 de febrero de 2020, </w:t>
      </w:r>
      <w:r w:rsidRPr="00CA0DEF">
        <w:rPr>
          <w:lang w:val="es-PE"/>
        </w:rPr>
        <w:t>la póliza otorga once (11) coberturas, siendo estas las siguientes:</w:t>
      </w:r>
    </w:p>
    <w:p w14:paraId="4D993BA1" w14:textId="77777777" w:rsidR="007D0A0C" w:rsidRPr="00CA0DEF" w:rsidRDefault="007D0A0C" w:rsidP="00BE15D8">
      <w:pPr>
        <w:tabs>
          <w:tab w:val="left" w:pos="2160"/>
        </w:tabs>
        <w:jc w:val="both"/>
        <w:rPr>
          <w:lang w:val="es-PE"/>
        </w:rPr>
      </w:pPr>
    </w:p>
    <w:p w14:paraId="775DCD62" w14:textId="77777777" w:rsidR="00BE15D8" w:rsidRPr="00CA0DEF" w:rsidRDefault="00BE15D8" w:rsidP="00BE15D8">
      <w:pPr>
        <w:pStyle w:val="Prrafodelista"/>
        <w:numPr>
          <w:ilvl w:val="0"/>
          <w:numId w:val="1"/>
        </w:numPr>
        <w:tabs>
          <w:tab w:val="left" w:pos="2160"/>
        </w:tabs>
        <w:jc w:val="both"/>
        <w:rPr>
          <w:lang w:val="es-PE"/>
        </w:rPr>
      </w:pPr>
      <w:r w:rsidRPr="00CA0DEF">
        <w:rPr>
          <w:lang w:val="es-PE"/>
        </w:rPr>
        <w:t>Tarjetas robadas, hurtadas, perdidas o “cambiazo”;</w:t>
      </w:r>
    </w:p>
    <w:p w14:paraId="649D134C" w14:textId="77777777" w:rsidR="00BE15D8" w:rsidRPr="00CA0DEF" w:rsidRDefault="00BE15D8" w:rsidP="00BE15D8">
      <w:pPr>
        <w:pStyle w:val="Prrafodelista"/>
        <w:numPr>
          <w:ilvl w:val="0"/>
          <w:numId w:val="1"/>
        </w:numPr>
        <w:tabs>
          <w:tab w:val="left" w:pos="2160"/>
        </w:tabs>
        <w:jc w:val="both"/>
        <w:rPr>
          <w:lang w:val="es-PE"/>
        </w:rPr>
      </w:pPr>
      <w:r w:rsidRPr="00CA0DEF">
        <w:rPr>
          <w:lang w:val="es-PE"/>
        </w:rPr>
        <w:t>Robo en cajeros automáticos;</w:t>
      </w:r>
    </w:p>
    <w:p w14:paraId="78FA3D9F" w14:textId="77777777" w:rsidR="00BE15D8" w:rsidRPr="00CA0DEF" w:rsidRDefault="00BE15D8" w:rsidP="00BE15D8">
      <w:pPr>
        <w:pStyle w:val="Prrafodelista"/>
        <w:numPr>
          <w:ilvl w:val="0"/>
          <w:numId w:val="1"/>
        </w:numPr>
        <w:tabs>
          <w:tab w:val="left" w:pos="2160"/>
        </w:tabs>
        <w:jc w:val="both"/>
        <w:rPr>
          <w:lang w:val="es-PE"/>
        </w:rPr>
      </w:pPr>
      <w:r w:rsidRPr="00CA0DEF">
        <w:rPr>
          <w:lang w:val="es-PE"/>
        </w:rPr>
        <w:t>Secuestro y/o utilización forzada;</w:t>
      </w:r>
    </w:p>
    <w:p w14:paraId="331AF5FF" w14:textId="77777777" w:rsidR="00BE15D8" w:rsidRPr="00CA0DEF" w:rsidRDefault="00BE15D8" w:rsidP="00BE15D8">
      <w:pPr>
        <w:pStyle w:val="Prrafodelista"/>
        <w:numPr>
          <w:ilvl w:val="0"/>
          <w:numId w:val="1"/>
        </w:numPr>
        <w:tabs>
          <w:tab w:val="left" w:pos="2160"/>
        </w:tabs>
        <w:jc w:val="both"/>
        <w:rPr>
          <w:lang w:val="es-PE"/>
        </w:rPr>
      </w:pPr>
      <w:r w:rsidRPr="00CA0DEF">
        <w:rPr>
          <w:lang w:val="es-PE"/>
        </w:rPr>
        <w:t>Compras fraudulentas vía internet;</w:t>
      </w:r>
    </w:p>
    <w:p w14:paraId="2C5C0D95" w14:textId="77777777" w:rsidR="00BE15D8" w:rsidRPr="00CA0DEF" w:rsidRDefault="00BE15D8" w:rsidP="00BE15D8">
      <w:pPr>
        <w:pStyle w:val="Prrafodelista"/>
        <w:numPr>
          <w:ilvl w:val="0"/>
          <w:numId w:val="1"/>
        </w:numPr>
        <w:tabs>
          <w:tab w:val="left" w:pos="2160"/>
        </w:tabs>
        <w:jc w:val="both"/>
        <w:rPr>
          <w:lang w:val="es-PE"/>
        </w:rPr>
      </w:pPr>
      <w:r w:rsidRPr="00CA0DEF">
        <w:rPr>
          <w:lang w:val="es-PE"/>
        </w:rPr>
        <w:t>Robo de dinero retirado por ventanilla</w:t>
      </w:r>
    </w:p>
    <w:p w14:paraId="6281CDB7" w14:textId="78BB064D" w:rsidR="00BE15D8" w:rsidRPr="00CA0DEF" w:rsidRDefault="00BE15D8" w:rsidP="00BE15D8">
      <w:pPr>
        <w:pStyle w:val="Prrafodelista"/>
        <w:numPr>
          <w:ilvl w:val="0"/>
          <w:numId w:val="1"/>
        </w:numPr>
        <w:tabs>
          <w:tab w:val="left" w:pos="2160"/>
        </w:tabs>
        <w:jc w:val="both"/>
        <w:rPr>
          <w:lang w:val="es-PE"/>
        </w:rPr>
      </w:pPr>
      <w:r w:rsidRPr="00CA0DEF">
        <w:rPr>
          <w:lang w:val="es-PE"/>
        </w:rPr>
        <w:t xml:space="preserve">Muerte o invalidez permanente </w:t>
      </w:r>
      <w:r w:rsidR="00FE445A" w:rsidRPr="00CA0DEF">
        <w:rPr>
          <w:lang w:val="es-PE"/>
        </w:rPr>
        <w:t>t</w:t>
      </w:r>
      <w:r w:rsidRPr="00CA0DEF">
        <w:rPr>
          <w:lang w:val="es-PE"/>
        </w:rPr>
        <w:t>otal a consecuencia del robo en ATM;</w:t>
      </w:r>
    </w:p>
    <w:p w14:paraId="28BDD55A" w14:textId="77777777" w:rsidR="00BE15D8" w:rsidRPr="00CA0DEF" w:rsidRDefault="00BE15D8" w:rsidP="00BE15D8">
      <w:pPr>
        <w:pStyle w:val="Prrafodelista"/>
        <w:numPr>
          <w:ilvl w:val="0"/>
          <w:numId w:val="1"/>
        </w:numPr>
        <w:tabs>
          <w:tab w:val="left" w:pos="2160"/>
        </w:tabs>
        <w:jc w:val="both"/>
        <w:rPr>
          <w:lang w:val="es-PE"/>
        </w:rPr>
      </w:pPr>
      <w:r w:rsidRPr="00CA0DEF">
        <w:rPr>
          <w:lang w:val="es-PE"/>
        </w:rPr>
        <w:t>Reembolso de gastos médicos por hospitalización a consecuencia de robo en ATM</w:t>
      </w:r>
    </w:p>
    <w:p w14:paraId="15AE9871" w14:textId="6C724E1D" w:rsidR="00BE15D8" w:rsidRPr="00CA0DEF" w:rsidRDefault="00BE15D8" w:rsidP="00BE15D8">
      <w:pPr>
        <w:pStyle w:val="Prrafodelista"/>
        <w:numPr>
          <w:ilvl w:val="0"/>
          <w:numId w:val="1"/>
        </w:numPr>
        <w:tabs>
          <w:tab w:val="left" w:pos="2160"/>
        </w:tabs>
        <w:jc w:val="both"/>
        <w:rPr>
          <w:lang w:val="es-PE"/>
        </w:rPr>
      </w:pPr>
      <w:r w:rsidRPr="00CA0DEF">
        <w:rPr>
          <w:lang w:val="es-PE"/>
        </w:rPr>
        <w:t xml:space="preserve">Reembolso de trámites documentarios: DNI, pasaporte, brevete y </w:t>
      </w:r>
      <w:r w:rsidR="00FE445A" w:rsidRPr="00CA0DEF">
        <w:rPr>
          <w:lang w:val="es-PE"/>
        </w:rPr>
        <w:t>reposición</w:t>
      </w:r>
      <w:r w:rsidRPr="00CA0DEF">
        <w:rPr>
          <w:lang w:val="es-PE"/>
        </w:rPr>
        <w:t xml:space="preserve"> de plástico de la tarjeta;</w:t>
      </w:r>
    </w:p>
    <w:p w14:paraId="661AEA1C" w14:textId="77777777" w:rsidR="00BE15D8" w:rsidRPr="00CA0DEF" w:rsidRDefault="00BE15D8" w:rsidP="00BE15D8">
      <w:pPr>
        <w:pStyle w:val="Prrafodelista"/>
        <w:numPr>
          <w:ilvl w:val="0"/>
          <w:numId w:val="1"/>
        </w:numPr>
        <w:tabs>
          <w:tab w:val="left" w:pos="2160"/>
        </w:tabs>
        <w:jc w:val="both"/>
        <w:rPr>
          <w:lang w:val="es-PE"/>
        </w:rPr>
      </w:pPr>
      <w:r w:rsidRPr="00CA0DEF">
        <w:rPr>
          <w:lang w:val="es-PE"/>
        </w:rPr>
        <w:t>Desamparo súbito familiar</w:t>
      </w:r>
    </w:p>
    <w:p w14:paraId="319423D1" w14:textId="77777777" w:rsidR="00BE15D8" w:rsidRPr="00CA0DEF" w:rsidRDefault="00BE15D8" w:rsidP="00BE15D8">
      <w:pPr>
        <w:pStyle w:val="Prrafodelista"/>
        <w:numPr>
          <w:ilvl w:val="0"/>
          <w:numId w:val="1"/>
        </w:numPr>
        <w:tabs>
          <w:tab w:val="left" w:pos="2160"/>
        </w:tabs>
        <w:jc w:val="both"/>
        <w:rPr>
          <w:lang w:val="es-PE"/>
        </w:rPr>
      </w:pPr>
      <w:r w:rsidRPr="00CA0DEF">
        <w:rPr>
          <w:lang w:val="es-PE"/>
        </w:rPr>
        <w:t>Fraude electrónico (</w:t>
      </w:r>
      <w:proofErr w:type="spellStart"/>
      <w:r w:rsidRPr="00CA0DEF">
        <w:rPr>
          <w:lang w:val="es-PE"/>
        </w:rPr>
        <w:t>Phising</w:t>
      </w:r>
      <w:proofErr w:type="spellEnd"/>
      <w:r w:rsidRPr="00CA0DEF">
        <w:rPr>
          <w:lang w:val="es-PE"/>
        </w:rPr>
        <w:t>)</w:t>
      </w:r>
    </w:p>
    <w:p w14:paraId="1B2ED521" w14:textId="77777777" w:rsidR="00BE15D8" w:rsidRPr="00CA0DEF" w:rsidRDefault="00BE15D8" w:rsidP="00BE15D8">
      <w:pPr>
        <w:pStyle w:val="Prrafodelista"/>
        <w:numPr>
          <w:ilvl w:val="0"/>
          <w:numId w:val="1"/>
        </w:numPr>
        <w:tabs>
          <w:tab w:val="left" w:pos="2160"/>
        </w:tabs>
        <w:jc w:val="both"/>
        <w:rPr>
          <w:lang w:val="es-PE"/>
        </w:rPr>
      </w:pPr>
      <w:r w:rsidRPr="00CA0DEF">
        <w:rPr>
          <w:lang w:val="es-PE"/>
        </w:rPr>
        <w:t>Muerte accidental.</w:t>
      </w:r>
    </w:p>
    <w:p w14:paraId="6EB32269" w14:textId="77777777" w:rsidR="00BE15D8" w:rsidRPr="00CA0DEF" w:rsidRDefault="00BE15D8" w:rsidP="00BE15D8">
      <w:pPr>
        <w:tabs>
          <w:tab w:val="left" w:pos="2160"/>
        </w:tabs>
        <w:jc w:val="both"/>
        <w:rPr>
          <w:lang w:val="es-PE"/>
        </w:rPr>
      </w:pPr>
    </w:p>
    <w:p w14:paraId="693C04A9" w14:textId="637CFB8E" w:rsidR="00BE15D8" w:rsidRPr="00CA0DEF" w:rsidRDefault="00BE15D8" w:rsidP="00BE15D8">
      <w:pPr>
        <w:tabs>
          <w:tab w:val="left" w:pos="2160"/>
        </w:tabs>
        <w:jc w:val="both"/>
        <w:rPr>
          <w:lang w:val="es-PE"/>
        </w:rPr>
      </w:pPr>
      <w:r w:rsidRPr="00CA0DEF">
        <w:rPr>
          <w:lang w:val="es-PE"/>
        </w:rPr>
        <w:t>El Fraude electrónico (</w:t>
      </w:r>
      <w:proofErr w:type="spellStart"/>
      <w:r w:rsidRPr="00CA0DEF">
        <w:rPr>
          <w:lang w:val="es-PE"/>
        </w:rPr>
        <w:t>Phising</w:t>
      </w:r>
      <w:proofErr w:type="spellEnd"/>
      <w:r w:rsidRPr="00CA0DEF">
        <w:rPr>
          <w:lang w:val="es-PE"/>
        </w:rPr>
        <w:t xml:space="preserve">), es la única cobertura que podría amparar el siniestro sufrido por la reclamante, en tanto la transferencia no reconocida se produjo por internet; no obstante, la misma póliza ha definido el alcance y condiciones en que se otorga dicha cobertura, conforme a lo siguiente: </w:t>
      </w:r>
    </w:p>
    <w:p w14:paraId="4CCB6EFF" w14:textId="2AB9B1E9" w:rsidR="00DC77CA" w:rsidRPr="00CA0DEF" w:rsidRDefault="00DC77CA" w:rsidP="00BE15D8">
      <w:pPr>
        <w:tabs>
          <w:tab w:val="left" w:pos="2160"/>
        </w:tabs>
        <w:jc w:val="both"/>
        <w:rPr>
          <w:lang w:val="es-PE"/>
        </w:rPr>
      </w:pPr>
    </w:p>
    <w:p w14:paraId="30EB020D" w14:textId="1003D2CE" w:rsidR="00237EB5" w:rsidRPr="00CA0DEF" w:rsidRDefault="00237EB5" w:rsidP="00BE15D8">
      <w:pPr>
        <w:tabs>
          <w:tab w:val="left" w:pos="2160"/>
        </w:tabs>
        <w:jc w:val="both"/>
        <w:rPr>
          <w:i/>
          <w:iCs/>
          <w:lang w:val="es-PE"/>
        </w:rPr>
      </w:pPr>
      <w:r w:rsidRPr="00CA0DEF">
        <w:rPr>
          <w:i/>
          <w:iCs/>
          <w:lang w:val="es-PE"/>
        </w:rPr>
        <w:t>“Phishing: Hasta S/1,2000 en el agregado anual, máximo un evento al año</w:t>
      </w:r>
    </w:p>
    <w:p w14:paraId="7DBAD411" w14:textId="2B5B512D" w:rsidR="00237EB5" w:rsidRPr="00CA0DEF" w:rsidRDefault="00237EB5" w:rsidP="00BE15D8">
      <w:pPr>
        <w:tabs>
          <w:tab w:val="left" w:pos="2160"/>
        </w:tabs>
        <w:jc w:val="both"/>
        <w:rPr>
          <w:lang w:val="es-PE"/>
        </w:rPr>
      </w:pPr>
      <w:r w:rsidRPr="00CA0DEF">
        <w:rPr>
          <w:i/>
          <w:iCs/>
          <w:lang w:val="es-PE"/>
        </w:rPr>
        <w:t xml:space="preserve">Cubre hasta el </w:t>
      </w:r>
      <w:r w:rsidR="00A16B3E" w:rsidRPr="00CA0DEF">
        <w:rPr>
          <w:i/>
          <w:iCs/>
          <w:lang w:val="es-PE"/>
        </w:rPr>
        <w:t>límite</w:t>
      </w:r>
      <w:r w:rsidRPr="00CA0DEF">
        <w:rPr>
          <w:i/>
          <w:iCs/>
          <w:lang w:val="es-PE"/>
        </w:rPr>
        <w:t xml:space="preserve"> establecido en </w:t>
      </w:r>
      <w:r w:rsidR="00A16B3E" w:rsidRPr="00CA0DEF">
        <w:rPr>
          <w:i/>
          <w:iCs/>
          <w:lang w:val="es-PE"/>
        </w:rPr>
        <w:t xml:space="preserve">la </w:t>
      </w:r>
      <w:r w:rsidRPr="00CA0DEF">
        <w:rPr>
          <w:i/>
          <w:iCs/>
          <w:lang w:val="es-PE"/>
        </w:rPr>
        <w:t>presente póliza de segur</w:t>
      </w:r>
      <w:r w:rsidR="00A16B3E" w:rsidRPr="00CA0DEF">
        <w:rPr>
          <w:i/>
          <w:iCs/>
          <w:lang w:val="es-PE"/>
        </w:rPr>
        <w:t>o</w:t>
      </w:r>
      <w:r w:rsidRPr="00CA0DEF">
        <w:rPr>
          <w:i/>
          <w:iCs/>
          <w:lang w:val="es-PE"/>
        </w:rPr>
        <w:t xml:space="preserve">, las pérdidas generadas como consecuencia del uso indebido de la información confidencial de la tarjeta del Asegurado a través de internet, </w:t>
      </w:r>
      <w:r w:rsidRPr="00CA0DEF">
        <w:rPr>
          <w:b/>
          <w:bCs/>
          <w:i/>
          <w:iCs/>
          <w:u w:val="single"/>
          <w:lang w:val="es-PE"/>
        </w:rPr>
        <w:t>obtenida mediante un correo electrónico</w:t>
      </w:r>
      <w:r w:rsidRPr="00CA0DEF">
        <w:rPr>
          <w:i/>
          <w:iCs/>
          <w:lang w:val="es-PE"/>
        </w:rPr>
        <w:t xml:space="preserve"> fraudulento que contiene una dirección electrónica que intenta reproducir una página web de la entidad emisora de la tarjeta”.</w:t>
      </w:r>
      <w:r w:rsidR="00B24880" w:rsidRPr="00CA0DEF">
        <w:rPr>
          <w:lang w:val="es-PE"/>
        </w:rPr>
        <w:t xml:space="preserve"> (el resaltado y subrayado es nuestro)</w:t>
      </w:r>
    </w:p>
    <w:p w14:paraId="1AF67E08" w14:textId="77777777" w:rsidR="00237EB5" w:rsidRPr="00CA0DEF" w:rsidRDefault="00237EB5" w:rsidP="00BE15D8">
      <w:pPr>
        <w:tabs>
          <w:tab w:val="left" w:pos="2160"/>
        </w:tabs>
        <w:jc w:val="both"/>
        <w:rPr>
          <w:lang w:val="es-PE"/>
        </w:rPr>
      </w:pPr>
    </w:p>
    <w:p w14:paraId="7C3F2AD8" w14:textId="30158342" w:rsidR="00BE15D8" w:rsidRPr="00CA0DEF" w:rsidRDefault="00BE15D8" w:rsidP="00BE15D8">
      <w:pPr>
        <w:tabs>
          <w:tab w:val="left" w:pos="2160"/>
        </w:tabs>
        <w:jc w:val="both"/>
        <w:rPr>
          <w:lang w:val="es-PE"/>
        </w:rPr>
      </w:pPr>
      <w:r w:rsidRPr="00CA0DEF">
        <w:rPr>
          <w:lang w:val="es-PE"/>
        </w:rPr>
        <w:t xml:space="preserve">Conforme ha sido descrito por el reclamante, en este caso él no recibió correo alguno que </w:t>
      </w:r>
      <w:r w:rsidR="00B24880" w:rsidRPr="00CA0DEF">
        <w:rPr>
          <w:lang w:val="es-PE"/>
        </w:rPr>
        <w:t>lo</w:t>
      </w:r>
      <w:r w:rsidRPr="00CA0DEF">
        <w:rPr>
          <w:lang w:val="es-PE"/>
        </w:rPr>
        <w:t xml:space="preserve"> direccionar a una página del banco, sino que accedió a una página desde cuenta de Facebook, por lo que su información confidencial no se obtuvo conforme al supuesto que prevé la póliza para que se configure el “</w:t>
      </w:r>
      <w:proofErr w:type="spellStart"/>
      <w:r w:rsidRPr="00CA0DEF">
        <w:rPr>
          <w:lang w:val="es-PE"/>
        </w:rPr>
        <w:t>phising</w:t>
      </w:r>
      <w:proofErr w:type="spellEnd"/>
      <w:r w:rsidRPr="00CA0DEF">
        <w:rPr>
          <w:lang w:val="es-PE"/>
        </w:rPr>
        <w:t xml:space="preserve">” </w:t>
      </w:r>
      <w:r w:rsidRPr="00CA0DEF">
        <w:rPr>
          <w:i/>
          <w:lang w:val="es-PE"/>
        </w:rPr>
        <w:t>(“obtenida mediante un correo electrónico</w:t>
      </w:r>
      <w:r w:rsidRPr="00CA0DEF">
        <w:rPr>
          <w:lang w:val="es-PE"/>
        </w:rPr>
        <w:t>”); y en consecuencia, al no estar acreditado que el uso indebido fue realizado a través de ese mecanismo, no se ha configurado un supuesto de cobertura bajo la póliza de seguro contratada.</w:t>
      </w:r>
    </w:p>
    <w:p w14:paraId="3CE7AFF4" w14:textId="77777777" w:rsidR="00BE15D8" w:rsidRPr="00CA0DEF" w:rsidRDefault="00BE15D8" w:rsidP="00BE15D8">
      <w:pPr>
        <w:tabs>
          <w:tab w:val="left" w:pos="2160"/>
        </w:tabs>
        <w:jc w:val="both"/>
        <w:rPr>
          <w:bCs/>
          <w:strike/>
          <w:lang w:val="es-PE"/>
        </w:rPr>
      </w:pPr>
    </w:p>
    <w:p w14:paraId="1F5608CC" w14:textId="73FB4A66" w:rsidR="00BE15D8" w:rsidRPr="00CA0DEF" w:rsidRDefault="00BE15D8" w:rsidP="00BE15D8">
      <w:pPr>
        <w:tabs>
          <w:tab w:val="left" w:pos="709"/>
          <w:tab w:val="left" w:pos="2160"/>
        </w:tabs>
        <w:jc w:val="both"/>
        <w:rPr>
          <w:b/>
        </w:rPr>
      </w:pPr>
      <w:r w:rsidRPr="00CA0DEF">
        <w:rPr>
          <w:b/>
          <w:lang w:val="es-PE"/>
        </w:rPr>
        <w:t xml:space="preserve">Atendiendo a lo expresado, </w:t>
      </w:r>
      <w:r w:rsidR="00AE62A5" w:rsidRPr="00CA0DEF">
        <w:rPr>
          <w:b/>
          <w:lang w:val="es-PE"/>
        </w:rPr>
        <w:t>esta Defensoría</w:t>
      </w:r>
      <w:r w:rsidRPr="00CA0DEF">
        <w:rPr>
          <w:b/>
          <w:lang w:val="es-PE"/>
        </w:rPr>
        <w:t xml:space="preserve"> </w:t>
      </w:r>
      <w:r w:rsidRPr="00CA0DEF">
        <w:rPr>
          <w:b/>
        </w:rPr>
        <w:t>concluye su apreciación razonada y conjunta al amparo de lo establecido en su Reglamento, por lo que</w:t>
      </w:r>
    </w:p>
    <w:p w14:paraId="429C35D4" w14:textId="77777777" w:rsidR="00BE15D8" w:rsidRPr="00CA0DEF" w:rsidRDefault="00BE15D8" w:rsidP="00BE15D8">
      <w:pPr>
        <w:tabs>
          <w:tab w:val="left" w:pos="709"/>
          <w:tab w:val="left" w:pos="2160"/>
        </w:tabs>
        <w:jc w:val="both"/>
        <w:rPr>
          <w:b/>
        </w:rPr>
      </w:pPr>
    </w:p>
    <w:p w14:paraId="7DC9D6EF" w14:textId="77777777" w:rsidR="00BE15D8" w:rsidRPr="00CA0DEF" w:rsidRDefault="00BE15D8" w:rsidP="00BE15D8">
      <w:pPr>
        <w:tabs>
          <w:tab w:val="left" w:pos="709"/>
          <w:tab w:val="left" w:pos="2160"/>
        </w:tabs>
        <w:jc w:val="both"/>
        <w:rPr>
          <w:b/>
        </w:rPr>
      </w:pPr>
      <w:r w:rsidRPr="00CA0DEF">
        <w:rPr>
          <w:b/>
        </w:rPr>
        <w:t>R</w:t>
      </w:r>
      <w:proofErr w:type="spellStart"/>
      <w:r w:rsidRPr="00CA0DEF">
        <w:rPr>
          <w:b/>
          <w:lang w:val="es-PE"/>
        </w:rPr>
        <w:t>esuelve</w:t>
      </w:r>
      <w:proofErr w:type="spellEnd"/>
      <w:r w:rsidRPr="00CA0DEF">
        <w:rPr>
          <w:b/>
          <w:lang w:val="es-PE"/>
        </w:rPr>
        <w:t>:</w:t>
      </w:r>
    </w:p>
    <w:p w14:paraId="4347959F" w14:textId="77777777" w:rsidR="00BE15D8" w:rsidRPr="00CA0DEF" w:rsidRDefault="00BE15D8" w:rsidP="00BE15D8">
      <w:pPr>
        <w:tabs>
          <w:tab w:val="left" w:pos="709"/>
          <w:tab w:val="left" w:pos="2160"/>
        </w:tabs>
        <w:jc w:val="both"/>
        <w:rPr>
          <w:lang w:val="es-PE"/>
        </w:rPr>
      </w:pPr>
    </w:p>
    <w:p w14:paraId="2C43C5E9" w14:textId="62C397E0" w:rsidR="00BE15D8" w:rsidRPr="00CA0DEF" w:rsidRDefault="00BE15D8" w:rsidP="00BE15D8">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CA0DEF">
        <w:rPr>
          <w:rFonts w:eastAsia="Arial Unicode MS"/>
          <w:lang w:val="es-PE"/>
        </w:rPr>
        <w:t xml:space="preserve">Declarar </w:t>
      </w:r>
      <w:r w:rsidRPr="00CA0DEF">
        <w:rPr>
          <w:rFonts w:eastAsia="Arial Unicode MS"/>
          <w:b/>
          <w:lang w:val="es-PE"/>
        </w:rPr>
        <w:t xml:space="preserve">INFUNDADA </w:t>
      </w:r>
      <w:r w:rsidRPr="00CA0DEF">
        <w:rPr>
          <w:rFonts w:eastAsia="Arial Unicode MS"/>
          <w:lang w:val="es-PE"/>
        </w:rPr>
        <w:t xml:space="preserve">la reclamación interpuesta por </w:t>
      </w:r>
      <w:r w:rsidR="007D0A0C" w:rsidRPr="00CA0DEF">
        <w:rPr>
          <w:rFonts w:ascii="Arial" w:hAnsi="Arial" w:cs="Arial"/>
        </w:rPr>
        <w:t>...................</w:t>
      </w:r>
      <w:r w:rsidR="007D0A0C" w:rsidRPr="00CA0DEF">
        <w:rPr>
          <w:rFonts w:ascii="Arial" w:hAnsi="Arial" w:cs="Arial"/>
        </w:rPr>
        <w:t xml:space="preserve"> </w:t>
      </w:r>
      <w:r w:rsidRPr="00CA0DEF">
        <w:rPr>
          <w:rFonts w:eastAsia="Arial Unicode MS"/>
          <w:lang w:val="es-PE"/>
        </w:rPr>
        <w:t xml:space="preserve">contra </w:t>
      </w:r>
      <w:r w:rsidR="007D0A0C" w:rsidRPr="00CA0DEF">
        <w:rPr>
          <w:rFonts w:ascii="Arial" w:hAnsi="Arial" w:cs="Arial"/>
        </w:rPr>
        <w:t>...................</w:t>
      </w:r>
      <w:r w:rsidRPr="00CA0DEF">
        <w:rPr>
          <w:lang w:val="es-PE"/>
        </w:rPr>
        <w:t xml:space="preserve"> respecto de la Póliza de Seguro de Protección de Tarjeta </w:t>
      </w:r>
      <w:proofErr w:type="spellStart"/>
      <w:r w:rsidRPr="00CA0DEF">
        <w:rPr>
          <w:lang w:val="es-PE"/>
        </w:rPr>
        <w:t>N°</w:t>
      </w:r>
      <w:proofErr w:type="spellEnd"/>
      <w:r w:rsidRPr="00CA0DEF">
        <w:rPr>
          <w:lang w:val="es-PE"/>
        </w:rPr>
        <w:t xml:space="preserve"> </w:t>
      </w:r>
      <w:r w:rsidR="007D0A0C" w:rsidRPr="00CA0DEF">
        <w:rPr>
          <w:rFonts w:ascii="Arial" w:hAnsi="Arial" w:cs="Arial"/>
        </w:rPr>
        <w:t>...................</w:t>
      </w:r>
      <w:r w:rsidRPr="00CA0DEF">
        <w:rPr>
          <w:lang w:val="es-PE"/>
        </w:rPr>
        <w:t>, quedando a salvo el derecho de</w:t>
      </w:r>
      <w:r w:rsidR="00AE62A5" w:rsidRPr="00CA0DEF">
        <w:rPr>
          <w:lang w:val="es-PE"/>
        </w:rPr>
        <w:t>l</w:t>
      </w:r>
      <w:r w:rsidRPr="00CA0DEF">
        <w:rPr>
          <w:lang w:val="es-PE"/>
        </w:rPr>
        <w:t xml:space="preserve"> reclamante de recurrir a las instancias que estime pertinentes. </w:t>
      </w:r>
    </w:p>
    <w:p w14:paraId="3F0C4A9F" w14:textId="77777777" w:rsidR="00BE15D8" w:rsidRPr="00CA0DEF" w:rsidRDefault="00BE15D8" w:rsidP="00BE15D8">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55977A78" w14:textId="5522E54A" w:rsidR="00BE15D8" w:rsidRPr="00CA0DEF" w:rsidRDefault="00BE15D8" w:rsidP="00BE15D8">
      <w:pPr>
        <w:jc w:val="right"/>
        <w:outlineLvl w:val="0"/>
        <w:rPr>
          <w:lang w:val="es-PE"/>
        </w:rPr>
      </w:pPr>
      <w:r w:rsidRPr="00CA0DEF">
        <w:rPr>
          <w:lang w:val="es-PE"/>
        </w:rPr>
        <w:t xml:space="preserve">Lima, </w:t>
      </w:r>
      <w:r w:rsidR="00091475" w:rsidRPr="00CA0DEF">
        <w:rPr>
          <w:lang w:val="es-PE"/>
        </w:rPr>
        <w:t xml:space="preserve">17 </w:t>
      </w:r>
      <w:r w:rsidRPr="00CA0DEF">
        <w:rPr>
          <w:lang w:val="es-PE"/>
        </w:rPr>
        <w:t>de</w:t>
      </w:r>
      <w:r w:rsidR="00091475" w:rsidRPr="00CA0DEF">
        <w:rPr>
          <w:lang w:val="es-PE"/>
        </w:rPr>
        <w:t xml:space="preserve"> febrero </w:t>
      </w:r>
      <w:r w:rsidRPr="00CA0DEF">
        <w:rPr>
          <w:lang w:val="es-PE"/>
        </w:rPr>
        <w:t>de 2020</w:t>
      </w:r>
    </w:p>
    <w:p w14:paraId="2F423D17" w14:textId="77777777" w:rsidR="00BE15D8" w:rsidRPr="00CA0DEF" w:rsidRDefault="00BE15D8" w:rsidP="00BE15D8">
      <w:pPr>
        <w:jc w:val="both"/>
        <w:rPr>
          <w:lang w:val="es-PE"/>
        </w:rPr>
      </w:pPr>
      <w:r w:rsidRPr="00CA0DEF">
        <w:rPr>
          <w:lang w:val="es-PE"/>
        </w:rPr>
        <w:lastRenderedPageBreak/>
        <w:t xml:space="preserve"> </w:t>
      </w:r>
    </w:p>
    <w:p w14:paraId="1B2E59A0" w14:textId="77777777" w:rsidR="00BE15D8" w:rsidRPr="00CA0DEF" w:rsidRDefault="00BE15D8" w:rsidP="00BE15D8"/>
    <w:p w14:paraId="75697C69" w14:textId="26CD21FB" w:rsidR="00091475" w:rsidRPr="00CA0DEF" w:rsidRDefault="00091475" w:rsidP="00091475">
      <w:pPr>
        <w:rPr>
          <w:rFonts w:eastAsia="Arial Unicode MS"/>
        </w:rPr>
      </w:pPr>
    </w:p>
    <w:p w14:paraId="269D5F0B" w14:textId="77777777" w:rsidR="00091475" w:rsidRPr="00CA0DEF" w:rsidRDefault="00091475" w:rsidP="00091475">
      <w:pPr>
        <w:rPr>
          <w:rFonts w:eastAsia="Arial Unicode MS"/>
        </w:rPr>
      </w:pPr>
    </w:p>
    <w:p w14:paraId="6AD6B7A3" w14:textId="77777777" w:rsidR="00091475" w:rsidRPr="00CA0DEF" w:rsidRDefault="00091475" w:rsidP="00091475"/>
    <w:p w14:paraId="4A4FCCD8" w14:textId="53EC2ED2" w:rsidR="00091475" w:rsidRPr="00CA0DEF" w:rsidRDefault="00091475" w:rsidP="00091475">
      <w:pPr>
        <w:ind w:left="1440" w:hanging="1440"/>
      </w:pPr>
      <w:r w:rsidRPr="00CA0DEF">
        <w:t xml:space="preserve">María Eugenia Valdez Fernández Baca </w:t>
      </w:r>
      <w:r w:rsidRPr="00CA0DEF">
        <w:tab/>
      </w:r>
      <w:r w:rsidRPr="00CA0DEF">
        <w:tab/>
      </w:r>
      <w:r w:rsidRPr="00CA0DEF">
        <w:tab/>
        <w:t xml:space="preserve"> Marco Antonio Ortega Piana</w:t>
      </w:r>
      <w:r w:rsidRPr="00CA0DEF">
        <w:tab/>
        <w:t xml:space="preserve">          Presidente</w:t>
      </w:r>
      <w:r w:rsidRPr="00CA0DEF">
        <w:tab/>
      </w:r>
      <w:r w:rsidRPr="00CA0DEF">
        <w:tab/>
      </w:r>
      <w:r w:rsidRPr="00CA0DEF">
        <w:tab/>
      </w:r>
      <w:r w:rsidRPr="00CA0DEF">
        <w:tab/>
        <w:t xml:space="preserve">                Vocal                                   </w:t>
      </w:r>
    </w:p>
    <w:p w14:paraId="72725235" w14:textId="77777777" w:rsidR="00091475" w:rsidRPr="00CA0DEF" w:rsidRDefault="00091475" w:rsidP="00091475"/>
    <w:p w14:paraId="26C8AFFE" w14:textId="77777777" w:rsidR="00091475" w:rsidRPr="00CA0DEF" w:rsidRDefault="00091475" w:rsidP="00091475"/>
    <w:p w14:paraId="7C147D1C" w14:textId="77777777" w:rsidR="00091475" w:rsidRPr="00CA0DEF" w:rsidRDefault="00091475" w:rsidP="00091475"/>
    <w:p w14:paraId="39109335" w14:textId="77777777" w:rsidR="00091475" w:rsidRPr="00CA0DEF" w:rsidRDefault="00091475" w:rsidP="00091475"/>
    <w:p w14:paraId="4BEC31CB" w14:textId="77777777" w:rsidR="00091475" w:rsidRPr="00CA0DEF" w:rsidRDefault="00091475" w:rsidP="00091475"/>
    <w:p w14:paraId="3F3F14E9" w14:textId="77777777" w:rsidR="00091475" w:rsidRPr="00CA0DEF" w:rsidRDefault="00091475" w:rsidP="00091475"/>
    <w:p w14:paraId="7211F227" w14:textId="77777777" w:rsidR="00091475" w:rsidRPr="00CA0DEF" w:rsidRDefault="00091475" w:rsidP="00091475"/>
    <w:p w14:paraId="3583B542" w14:textId="7E54000F" w:rsidR="00091475" w:rsidRPr="00CA0DEF" w:rsidRDefault="00091475" w:rsidP="00091475">
      <w:r w:rsidRPr="00CA0DEF">
        <w:t xml:space="preserve">Rolando Eyzaguirre </w:t>
      </w:r>
      <w:proofErr w:type="spellStart"/>
      <w:r w:rsidRPr="00CA0DEF">
        <w:t>Maccan</w:t>
      </w:r>
      <w:proofErr w:type="spellEnd"/>
      <w:r w:rsidRPr="00CA0DEF">
        <w:t xml:space="preserve"> </w:t>
      </w:r>
      <w:r w:rsidRPr="00CA0DEF">
        <w:tab/>
      </w:r>
      <w:r w:rsidRPr="00CA0DEF">
        <w:tab/>
      </w:r>
      <w:r w:rsidRPr="00CA0DEF">
        <w:tab/>
      </w:r>
      <w:r w:rsidRPr="00CA0DEF">
        <w:tab/>
        <w:t>Gonzalo Abad del Busto</w:t>
      </w:r>
    </w:p>
    <w:p w14:paraId="6C6AFEB9" w14:textId="4A778F15" w:rsidR="00517989" w:rsidRPr="00CA0DEF" w:rsidRDefault="00091475">
      <w:r w:rsidRPr="00CA0DEF">
        <w:t xml:space="preserve">               Vocal</w:t>
      </w:r>
      <w:r w:rsidRPr="00CA0DEF">
        <w:tab/>
        <w:t xml:space="preserve">                                                               </w:t>
      </w:r>
      <w:r w:rsidRPr="00CA0DEF">
        <w:tab/>
      </w:r>
      <w:r w:rsidRPr="00CA0DEF">
        <w:tab/>
        <w:t xml:space="preserve"> Vocal</w:t>
      </w:r>
    </w:p>
    <w:sectPr w:rsidR="00517989" w:rsidRPr="00CA0DEF" w:rsidSect="00091475">
      <w:footerReference w:type="default" r:id="rId7"/>
      <w:pgSz w:w="11907" w:h="16840" w:code="9"/>
      <w:pgMar w:top="1985" w:right="1418" w:bottom="170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3862C" w14:textId="77777777" w:rsidR="00461090" w:rsidRDefault="00461090" w:rsidP="007D0A0C">
      <w:r>
        <w:separator/>
      </w:r>
    </w:p>
  </w:endnote>
  <w:endnote w:type="continuationSeparator" w:id="0">
    <w:p w14:paraId="4ABF4A9A" w14:textId="77777777" w:rsidR="00461090" w:rsidRDefault="00461090" w:rsidP="007D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5261814"/>
      <w:docPartObj>
        <w:docPartGallery w:val="Page Numbers (Bottom of Page)"/>
        <w:docPartUnique/>
      </w:docPartObj>
    </w:sdtPr>
    <w:sdtContent>
      <w:sdt>
        <w:sdtPr>
          <w:id w:val="-1769616900"/>
          <w:docPartObj>
            <w:docPartGallery w:val="Page Numbers (Top of Page)"/>
            <w:docPartUnique/>
          </w:docPartObj>
        </w:sdtPr>
        <w:sdtContent>
          <w:p w14:paraId="4E4943E5" w14:textId="0907A221" w:rsidR="007D0A0C" w:rsidRDefault="007D0A0C">
            <w:pPr>
              <w:pStyle w:val="Piedepgina"/>
              <w:jc w:val="right"/>
            </w:pPr>
            <w:r w:rsidRPr="007D0A0C">
              <w:rPr>
                <w:sz w:val="18"/>
                <w:szCs w:val="18"/>
              </w:rPr>
              <w:t xml:space="preserve">Página </w:t>
            </w:r>
            <w:r w:rsidRPr="007D0A0C">
              <w:rPr>
                <w:b/>
                <w:bCs/>
                <w:sz w:val="18"/>
                <w:szCs w:val="18"/>
              </w:rPr>
              <w:fldChar w:fldCharType="begin"/>
            </w:r>
            <w:r w:rsidRPr="007D0A0C">
              <w:rPr>
                <w:b/>
                <w:bCs/>
                <w:sz w:val="18"/>
                <w:szCs w:val="18"/>
              </w:rPr>
              <w:instrText>PAGE</w:instrText>
            </w:r>
            <w:r w:rsidRPr="007D0A0C">
              <w:rPr>
                <w:b/>
                <w:bCs/>
                <w:sz w:val="18"/>
                <w:szCs w:val="18"/>
              </w:rPr>
              <w:fldChar w:fldCharType="separate"/>
            </w:r>
            <w:r w:rsidRPr="007D0A0C">
              <w:rPr>
                <w:b/>
                <w:bCs/>
                <w:sz w:val="18"/>
                <w:szCs w:val="18"/>
              </w:rPr>
              <w:t>2</w:t>
            </w:r>
            <w:r w:rsidRPr="007D0A0C">
              <w:rPr>
                <w:b/>
                <w:bCs/>
                <w:sz w:val="18"/>
                <w:szCs w:val="18"/>
              </w:rPr>
              <w:fldChar w:fldCharType="end"/>
            </w:r>
            <w:r w:rsidRPr="007D0A0C">
              <w:rPr>
                <w:sz w:val="18"/>
                <w:szCs w:val="18"/>
              </w:rPr>
              <w:t xml:space="preserve"> de </w:t>
            </w:r>
            <w:r w:rsidRPr="007D0A0C">
              <w:rPr>
                <w:b/>
                <w:bCs/>
                <w:sz w:val="18"/>
                <w:szCs w:val="18"/>
              </w:rPr>
              <w:fldChar w:fldCharType="begin"/>
            </w:r>
            <w:r w:rsidRPr="007D0A0C">
              <w:rPr>
                <w:b/>
                <w:bCs/>
                <w:sz w:val="18"/>
                <w:szCs w:val="18"/>
              </w:rPr>
              <w:instrText>NUMPAGES</w:instrText>
            </w:r>
            <w:r w:rsidRPr="007D0A0C">
              <w:rPr>
                <w:b/>
                <w:bCs/>
                <w:sz w:val="18"/>
                <w:szCs w:val="18"/>
              </w:rPr>
              <w:fldChar w:fldCharType="separate"/>
            </w:r>
            <w:r w:rsidRPr="007D0A0C">
              <w:rPr>
                <w:b/>
                <w:bCs/>
                <w:sz w:val="18"/>
                <w:szCs w:val="18"/>
              </w:rPr>
              <w:t>2</w:t>
            </w:r>
            <w:r w:rsidRPr="007D0A0C">
              <w:rPr>
                <w:b/>
                <w:bCs/>
                <w:sz w:val="18"/>
                <w:szCs w:val="18"/>
              </w:rPr>
              <w:fldChar w:fldCharType="end"/>
            </w:r>
          </w:p>
        </w:sdtContent>
      </w:sdt>
    </w:sdtContent>
  </w:sdt>
  <w:p w14:paraId="76D28C3C" w14:textId="77777777" w:rsidR="007D0A0C" w:rsidRDefault="007D0A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3EDCC" w14:textId="77777777" w:rsidR="00461090" w:rsidRDefault="00461090" w:rsidP="007D0A0C">
      <w:r>
        <w:separator/>
      </w:r>
    </w:p>
  </w:footnote>
  <w:footnote w:type="continuationSeparator" w:id="0">
    <w:p w14:paraId="7EB186E9" w14:textId="77777777" w:rsidR="00461090" w:rsidRDefault="00461090" w:rsidP="007D0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627BD8"/>
    <w:multiLevelType w:val="hybridMultilevel"/>
    <w:tmpl w:val="D178A3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D8"/>
    <w:rsid w:val="00032526"/>
    <w:rsid w:val="00084E51"/>
    <w:rsid w:val="00091475"/>
    <w:rsid w:val="001C238D"/>
    <w:rsid w:val="00237EB5"/>
    <w:rsid w:val="00266089"/>
    <w:rsid w:val="002F4B17"/>
    <w:rsid w:val="00315955"/>
    <w:rsid w:val="003578A6"/>
    <w:rsid w:val="00417E23"/>
    <w:rsid w:val="00461090"/>
    <w:rsid w:val="004736B1"/>
    <w:rsid w:val="005237EB"/>
    <w:rsid w:val="00562092"/>
    <w:rsid w:val="0058358B"/>
    <w:rsid w:val="005A1A49"/>
    <w:rsid w:val="006D77F0"/>
    <w:rsid w:val="007C2FC5"/>
    <w:rsid w:val="007D0A0C"/>
    <w:rsid w:val="00813004"/>
    <w:rsid w:val="008930FB"/>
    <w:rsid w:val="008C429F"/>
    <w:rsid w:val="00A130E0"/>
    <w:rsid w:val="00A16B3E"/>
    <w:rsid w:val="00A223FC"/>
    <w:rsid w:val="00AD78E5"/>
    <w:rsid w:val="00AE62A5"/>
    <w:rsid w:val="00B24880"/>
    <w:rsid w:val="00BB3E6B"/>
    <w:rsid w:val="00BE15D8"/>
    <w:rsid w:val="00C54316"/>
    <w:rsid w:val="00CA0DEF"/>
    <w:rsid w:val="00CA7853"/>
    <w:rsid w:val="00D15C1E"/>
    <w:rsid w:val="00D6346E"/>
    <w:rsid w:val="00D86E87"/>
    <w:rsid w:val="00DC77CA"/>
    <w:rsid w:val="00F029DD"/>
    <w:rsid w:val="00F636E2"/>
    <w:rsid w:val="00FA2D35"/>
    <w:rsid w:val="00FE4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71A29"/>
  <w15:chartTrackingRefBased/>
  <w15:docId w15:val="{789F13EC-060F-4508-A5A9-F290C354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5D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E15D8"/>
    <w:pPr>
      <w:jc w:val="center"/>
    </w:pPr>
    <w:rPr>
      <w:b/>
      <w:bCs/>
      <w:lang w:val="es-MX"/>
    </w:rPr>
  </w:style>
  <w:style w:type="character" w:customStyle="1" w:styleId="TtuloCar">
    <w:name w:val="Título Car"/>
    <w:basedOn w:val="Fuentedeprrafopredeter"/>
    <w:link w:val="Ttulo"/>
    <w:rsid w:val="00BE15D8"/>
    <w:rPr>
      <w:rFonts w:ascii="Times New Roman" w:eastAsia="Times New Roman" w:hAnsi="Times New Roman" w:cs="Times New Roman"/>
      <w:b/>
      <w:bCs/>
      <w:sz w:val="24"/>
      <w:szCs w:val="24"/>
      <w:lang w:val="es-MX" w:eastAsia="es-ES"/>
    </w:rPr>
  </w:style>
  <w:style w:type="character" w:styleId="Textoennegrita">
    <w:name w:val="Strong"/>
    <w:qFormat/>
    <w:rsid w:val="00BE15D8"/>
    <w:rPr>
      <w:b/>
      <w:bCs/>
    </w:rPr>
  </w:style>
  <w:style w:type="paragraph" w:styleId="Prrafodelista">
    <w:name w:val="List Paragraph"/>
    <w:basedOn w:val="Normal"/>
    <w:uiPriority w:val="34"/>
    <w:qFormat/>
    <w:rsid w:val="00BE15D8"/>
    <w:pPr>
      <w:ind w:left="720"/>
      <w:contextualSpacing/>
    </w:pPr>
  </w:style>
  <w:style w:type="character" w:styleId="Refdecomentario">
    <w:name w:val="annotation reference"/>
    <w:basedOn w:val="Fuentedeprrafopredeter"/>
    <w:uiPriority w:val="99"/>
    <w:semiHidden/>
    <w:unhideWhenUsed/>
    <w:rsid w:val="00BE15D8"/>
    <w:rPr>
      <w:sz w:val="16"/>
      <w:szCs w:val="16"/>
    </w:rPr>
  </w:style>
  <w:style w:type="paragraph" w:styleId="Textocomentario">
    <w:name w:val="annotation text"/>
    <w:basedOn w:val="Normal"/>
    <w:link w:val="TextocomentarioCar"/>
    <w:uiPriority w:val="99"/>
    <w:semiHidden/>
    <w:unhideWhenUsed/>
    <w:rsid w:val="00BE15D8"/>
    <w:rPr>
      <w:sz w:val="20"/>
      <w:szCs w:val="20"/>
    </w:rPr>
  </w:style>
  <w:style w:type="character" w:customStyle="1" w:styleId="TextocomentarioCar">
    <w:name w:val="Texto comentario Car"/>
    <w:basedOn w:val="Fuentedeprrafopredeter"/>
    <w:link w:val="Textocomentario"/>
    <w:uiPriority w:val="99"/>
    <w:semiHidden/>
    <w:rsid w:val="00BE15D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E15D8"/>
    <w:rPr>
      <w:b/>
      <w:bCs/>
    </w:rPr>
  </w:style>
  <w:style w:type="character" w:customStyle="1" w:styleId="AsuntodelcomentarioCar">
    <w:name w:val="Asunto del comentario Car"/>
    <w:basedOn w:val="TextocomentarioCar"/>
    <w:link w:val="Asuntodelcomentario"/>
    <w:uiPriority w:val="99"/>
    <w:semiHidden/>
    <w:rsid w:val="00BE15D8"/>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BE15D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15D8"/>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7D0A0C"/>
    <w:pPr>
      <w:tabs>
        <w:tab w:val="center" w:pos="4252"/>
        <w:tab w:val="right" w:pos="8504"/>
      </w:tabs>
    </w:pPr>
  </w:style>
  <w:style w:type="character" w:customStyle="1" w:styleId="EncabezadoCar">
    <w:name w:val="Encabezado Car"/>
    <w:basedOn w:val="Fuentedeprrafopredeter"/>
    <w:link w:val="Encabezado"/>
    <w:uiPriority w:val="99"/>
    <w:rsid w:val="007D0A0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0A0C"/>
    <w:pPr>
      <w:tabs>
        <w:tab w:val="center" w:pos="4252"/>
        <w:tab w:val="right" w:pos="8504"/>
      </w:tabs>
    </w:pPr>
  </w:style>
  <w:style w:type="character" w:customStyle="1" w:styleId="PiedepginaCar">
    <w:name w:val="Pie de página Car"/>
    <w:basedOn w:val="Fuentedeprrafopredeter"/>
    <w:link w:val="Piedepgina"/>
    <w:uiPriority w:val="99"/>
    <w:rsid w:val="007D0A0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1370</Words>
  <Characters>7537</Characters>
  <Application>Microsoft Office Word</Application>
  <DocSecurity>0</DocSecurity>
  <Lines>62</Lines>
  <Paragraphs>17</Paragraphs>
  <ScaleCrop>false</ScaleCrop>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4</cp:revision>
  <cp:lastPrinted>2020-02-17T22:08:00Z</cp:lastPrinted>
  <dcterms:created xsi:type="dcterms:W3CDTF">2020-02-17T22:08:00Z</dcterms:created>
  <dcterms:modified xsi:type="dcterms:W3CDTF">2021-02-18T20:29:00Z</dcterms:modified>
</cp:coreProperties>
</file>