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5F2F64" w14:textId="2D10AC9F" w:rsidR="00F14ACA" w:rsidRPr="00E44BBC" w:rsidRDefault="00F14ACA" w:rsidP="00F14ACA">
      <w:pPr>
        <w:pStyle w:val="Ttulo"/>
        <w:outlineLvl w:val="0"/>
        <w:rPr>
          <w:lang w:val="es-PE"/>
        </w:rPr>
      </w:pPr>
      <w:r w:rsidRPr="00E44BBC">
        <w:rPr>
          <w:lang w:val="es-PE"/>
        </w:rPr>
        <w:t xml:space="preserve">RESOLUCIÓN </w:t>
      </w:r>
      <w:proofErr w:type="spellStart"/>
      <w:r w:rsidRPr="00E44BBC">
        <w:rPr>
          <w:lang w:val="es-PE"/>
        </w:rPr>
        <w:t>N</w:t>
      </w:r>
      <w:r w:rsidR="00D74B04" w:rsidRPr="00E44BBC">
        <w:rPr>
          <w:lang w:val="es-PE"/>
        </w:rPr>
        <w:t>°</w:t>
      </w:r>
      <w:proofErr w:type="spellEnd"/>
      <w:r w:rsidR="00D74B04" w:rsidRPr="00E44BBC">
        <w:rPr>
          <w:lang w:val="es-PE"/>
        </w:rPr>
        <w:t xml:space="preserve"> 101/20</w:t>
      </w:r>
    </w:p>
    <w:p w14:paraId="64A9E951" w14:textId="77777777" w:rsidR="00F14ACA" w:rsidRPr="00E44BBC" w:rsidRDefault="00F14ACA" w:rsidP="00F14ACA">
      <w:pPr>
        <w:pStyle w:val="Ttulo"/>
        <w:rPr>
          <w:lang w:val="es-PE"/>
        </w:rPr>
      </w:pPr>
    </w:p>
    <w:p w14:paraId="6568A808" w14:textId="77777777" w:rsidR="00F14ACA" w:rsidRPr="00E44BBC" w:rsidRDefault="00F14ACA" w:rsidP="00F14ACA">
      <w:pPr>
        <w:rPr>
          <w:b/>
          <w:bCs/>
          <w:lang w:val="es-PE"/>
        </w:rPr>
      </w:pPr>
    </w:p>
    <w:p w14:paraId="7B03326A" w14:textId="77777777" w:rsidR="00F14ACA" w:rsidRPr="00E44BBC" w:rsidRDefault="00F14ACA" w:rsidP="00F14ACA">
      <w:pPr>
        <w:jc w:val="both"/>
        <w:outlineLvl w:val="0"/>
        <w:rPr>
          <w:b/>
          <w:bCs/>
          <w:lang w:val="es-PE"/>
        </w:rPr>
      </w:pPr>
      <w:r w:rsidRPr="00E44BBC">
        <w:rPr>
          <w:b/>
          <w:bCs/>
          <w:lang w:val="es-PE"/>
        </w:rPr>
        <w:t>Vistos:</w:t>
      </w:r>
    </w:p>
    <w:p w14:paraId="44B201D8" w14:textId="77777777" w:rsidR="00F14ACA" w:rsidRPr="00E44BBC" w:rsidRDefault="00F14ACA" w:rsidP="00F14ACA">
      <w:pPr>
        <w:jc w:val="both"/>
        <w:rPr>
          <w:b/>
          <w:bCs/>
          <w:lang w:val="es-PE"/>
        </w:rPr>
      </w:pPr>
    </w:p>
    <w:p w14:paraId="0F6725F7" w14:textId="2E0C7F66" w:rsidR="00F14ACA" w:rsidRPr="00E44BBC" w:rsidRDefault="00F14ACA" w:rsidP="00F14ACA">
      <w:pPr>
        <w:tabs>
          <w:tab w:val="left" w:pos="0"/>
          <w:tab w:val="left" w:pos="708"/>
          <w:tab w:val="left" w:pos="1416"/>
          <w:tab w:val="left" w:pos="2160"/>
          <w:tab w:val="left" w:pos="3540"/>
          <w:tab w:val="left" w:pos="4248"/>
          <w:tab w:val="left" w:pos="4956"/>
          <w:tab w:val="left" w:pos="5664"/>
          <w:tab w:val="left" w:pos="6372"/>
          <w:tab w:val="left" w:pos="7125"/>
        </w:tabs>
        <w:jc w:val="both"/>
        <w:rPr>
          <w:lang w:val="es-PE"/>
        </w:rPr>
      </w:pPr>
      <w:r w:rsidRPr="00E44BBC">
        <w:rPr>
          <w:lang w:val="es-PE"/>
        </w:rPr>
        <w:t xml:space="preserve">Que, con fecha 04 de setiembre de 2020 </w:t>
      </w:r>
      <w:r w:rsidR="00E44BBC" w:rsidRPr="00E44BBC">
        <w:t xml:space="preserve">.................. </w:t>
      </w:r>
      <w:r w:rsidR="00E44BBC" w:rsidRPr="00E44BBC">
        <w:t xml:space="preserve"> </w:t>
      </w:r>
      <w:r w:rsidRPr="00E44BBC">
        <w:rPr>
          <w:lang w:val="es-PE"/>
        </w:rPr>
        <w:t xml:space="preserve">interpone reclamación ante esta Defensoría del Asegurado (DEFASEG) solicitando que, </w:t>
      </w:r>
      <w:r w:rsidR="00E44BBC" w:rsidRPr="00E44BBC">
        <w:t xml:space="preserve">.................. </w:t>
      </w:r>
      <w:r w:rsidR="00E44BBC" w:rsidRPr="00E44BBC">
        <w:t xml:space="preserve"> </w:t>
      </w:r>
      <w:r w:rsidRPr="00E44BBC">
        <w:rPr>
          <w:lang w:val="es-PE"/>
        </w:rPr>
        <w:t xml:space="preserve">otorgue cobertura de Enfermedades Graves ante el diagnóstico de cáncer, conforme a la Póliza de Seguro de Vida Entera </w:t>
      </w:r>
      <w:proofErr w:type="spellStart"/>
      <w:r w:rsidRPr="00E44BBC">
        <w:rPr>
          <w:lang w:val="es-PE"/>
        </w:rPr>
        <w:t>Nº</w:t>
      </w:r>
      <w:proofErr w:type="spellEnd"/>
      <w:r w:rsidRPr="00E44BBC">
        <w:rPr>
          <w:lang w:val="es-PE"/>
        </w:rPr>
        <w:t xml:space="preserve"> </w:t>
      </w:r>
      <w:r w:rsidR="00E44BBC" w:rsidRPr="00E44BBC">
        <w:t>..................</w:t>
      </w:r>
      <w:r w:rsidRPr="00E44BBC">
        <w:rPr>
          <w:lang w:val="es-PE"/>
        </w:rPr>
        <w:t>.</w:t>
      </w:r>
    </w:p>
    <w:p w14:paraId="4CF0AB5E" w14:textId="77777777" w:rsidR="00F14ACA" w:rsidRPr="00E44BBC" w:rsidRDefault="00F14ACA" w:rsidP="00F14ACA">
      <w:pPr>
        <w:tabs>
          <w:tab w:val="left" w:pos="0"/>
          <w:tab w:val="left" w:pos="708"/>
          <w:tab w:val="left" w:pos="1416"/>
          <w:tab w:val="left" w:pos="2160"/>
          <w:tab w:val="left" w:pos="3540"/>
          <w:tab w:val="left" w:pos="4248"/>
          <w:tab w:val="left" w:pos="4956"/>
          <w:tab w:val="left" w:pos="5664"/>
          <w:tab w:val="left" w:pos="6372"/>
          <w:tab w:val="left" w:pos="7125"/>
        </w:tabs>
        <w:jc w:val="both"/>
        <w:rPr>
          <w:lang w:val="es-PE"/>
        </w:rPr>
      </w:pPr>
    </w:p>
    <w:p w14:paraId="47EB11AF" w14:textId="77777777" w:rsidR="00F14ACA" w:rsidRPr="00E44BBC" w:rsidRDefault="00F14ACA" w:rsidP="00F14ACA">
      <w:pPr>
        <w:jc w:val="both"/>
        <w:rPr>
          <w:rFonts w:eastAsia="Arial Unicode MS"/>
          <w:lang w:val="es-PE"/>
        </w:rPr>
      </w:pPr>
      <w:r w:rsidRPr="00E44BBC">
        <w:rPr>
          <w:rFonts w:eastAsia="Arial Unicode MS"/>
          <w:lang w:val="es-PE"/>
        </w:rPr>
        <w:t>Que, la señalada reclamación cumplió con los requisitos de materia, cuantía y oportunidad establecidos en el Reglamento de la DEFASEG (http://www.defaseg.com.pe/reglamento.html);</w:t>
      </w:r>
    </w:p>
    <w:p w14:paraId="20124CEE" w14:textId="77777777" w:rsidR="00F14ACA" w:rsidRPr="00E44BBC" w:rsidRDefault="00F14ACA" w:rsidP="00F14ACA">
      <w:pPr>
        <w:tabs>
          <w:tab w:val="left" w:pos="2160"/>
        </w:tabs>
        <w:jc w:val="both"/>
        <w:rPr>
          <w:lang w:val="es-PE"/>
        </w:rPr>
      </w:pPr>
    </w:p>
    <w:p w14:paraId="791DFE94" w14:textId="19F9B1A6" w:rsidR="00F14ACA" w:rsidRPr="00E44BBC" w:rsidRDefault="00F14ACA" w:rsidP="00F14ACA">
      <w:pPr>
        <w:tabs>
          <w:tab w:val="num" w:pos="720"/>
        </w:tabs>
        <w:jc w:val="both"/>
        <w:rPr>
          <w:lang w:val="es-PE"/>
        </w:rPr>
      </w:pPr>
      <w:r w:rsidRPr="00E44BBC">
        <w:rPr>
          <w:lang w:val="es-PE"/>
        </w:rPr>
        <w:t xml:space="preserve">Que, habiéndose corrido traslado de la respectiva reclamación, </w:t>
      </w:r>
      <w:r w:rsidR="00E44BBC">
        <w:t>..................</w:t>
      </w:r>
      <w:r w:rsidR="00E44BBC">
        <w:t xml:space="preserve"> </w:t>
      </w:r>
      <w:r w:rsidRPr="00E44BBC">
        <w:rPr>
          <w:lang w:val="es-PE"/>
        </w:rPr>
        <w:t>presentó sus descargos el 14 de setiembre de 2020;</w:t>
      </w:r>
    </w:p>
    <w:p w14:paraId="0EBC75D8" w14:textId="77777777" w:rsidR="00F14ACA" w:rsidRPr="00E44BBC" w:rsidRDefault="00F14ACA" w:rsidP="00F14ACA">
      <w:pPr>
        <w:tabs>
          <w:tab w:val="num" w:pos="720"/>
        </w:tabs>
        <w:jc w:val="both"/>
        <w:rPr>
          <w:lang w:val="es-PE"/>
        </w:rPr>
      </w:pPr>
    </w:p>
    <w:p w14:paraId="6F019F88" w14:textId="4964A3B0" w:rsidR="00F14ACA" w:rsidRPr="00E44BBC" w:rsidRDefault="00F14ACA" w:rsidP="00F14ACA">
      <w:pPr>
        <w:tabs>
          <w:tab w:val="num" w:pos="720"/>
        </w:tabs>
        <w:jc w:val="both"/>
        <w:rPr>
          <w:lang w:val="es-PE"/>
        </w:rPr>
      </w:pPr>
      <w:r w:rsidRPr="00E44BBC">
        <w:rPr>
          <w:lang w:val="es-PE"/>
        </w:rPr>
        <w:t>Que, el 12 de octubre de 2020 se realizó la correspondiente audiencia virtual de vista con la participación de ambas partes las que sustentaron sus posiciones, absolviendo las diversas preguntas formuladas.</w:t>
      </w:r>
    </w:p>
    <w:p w14:paraId="2C5209DC" w14:textId="77777777" w:rsidR="00F14ACA" w:rsidRPr="00E44BBC" w:rsidRDefault="00F14ACA" w:rsidP="00F14ACA">
      <w:pPr>
        <w:tabs>
          <w:tab w:val="num" w:pos="720"/>
        </w:tabs>
        <w:jc w:val="both"/>
        <w:rPr>
          <w:lang w:val="es-PE"/>
        </w:rPr>
      </w:pPr>
    </w:p>
    <w:p w14:paraId="5B928C22" w14:textId="55B5ABBD" w:rsidR="00F14ACA" w:rsidRPr="00E44BBC" w:rsidRDefault="00F14ACA" w:rsidP="00F14ACA">
      <w:pPr>
        <w:jc w:val="both"/>
        <w:rPr>
          <w:lang w:val="es-PE"/>
        </w:rPr>
      </w:pPr>
      <w:r w:rsidRPr="00E44BBC">
        <w:rPr>
          <w:lang w:val="es-PE"/>
        </w:rPr>
        <w:t>Que, la parte reclamante sustenta su reclamo resumidamente en lo siguiente: a) Ha sido diagnosticada de cáncer, en diferentes órganos; b) en el año 2004 con motivo de una cirugía a la parótida, la biopsia determinó carcinoma adenoide quístico; luego de lo cual fue tratada y dio a luz en el año 2006 habiendo su hija nacido sin ninguna complicación; c) en el año 2015 fue sometida a cirugía del pulmón izquierdo por unos manchas blancas que aparecieron en la tomografía y la biopsia determinó carcinoma adenoide quístico; d) sus últimas intervenciones han sido en el año 2019 y 2020, donde tuvo una operación en el pulmón derecho y en el hígado, determinando ambas biopsias el resultado de carcinoma adenoide quístico; e) indica que le han negado la cobertura por cuanto le indican esta se otorga por 10 años, pero en la póliza no se indica que es solo por el primer cáncer; no hay mención si se trata de un cáncer primario o secundario de un primario; f) lo que se entiende por el ofrecimiento de Cláusulas Adicionales a la cobertura de vida entera es brindar una ayuda al asegurado “un adelanto del capital asegurado o el total” para que atienda sus necesidades económicas resultantes de las enfermedades graves listadas; por lo que el asegurado no puede estar limitado a solicitar el adelanto solo en la primera ocurrencia, ya que sus necesidades pueden darse en alguna ocurrencia posterior a la primera o al cáncer primario; si la compañía considera que es solo por el primer evento, ello debería estar consignado en la póliza, ya que esta no establece que la falta de comunicación haga perder la cobertura; g) adicionalmente la compañía no se ha pronunciado sobre los diagnósticos de los años 2020, 2019, 2017 y 2015; por lo que solicita se le otorgue la cobertura conforme lo establecido en su póliza de seguro de vida tomada en el año 1999.</w:t>
      </w:r>
    </w:p>
    <w:p w14:paraId="2CD8243B" w14:textId="77777777" w:rsidR="00F14ACA" w:rsidRPr="00E44BBC" w:rsidRDefault="00F14ACA" w:rsidP="00F14ACA">
      <w:pPr>
        <w:jc w:val="both"/>
        <w:rPr>
          <w:lang w:val="es-PE"/>
        </w:rPr>
      </w:pPr>
    </w:p>
    <w:p w14:paraId="02EA0A36" w14:textId="11AAF0EF" w:rsidR="00F14ACA" w:rsidRPr="00E44BBC" w:rsidRDefault="00F14ACA" w:rsidP="00F14ACA">
      <w:pPr>
        <w:pStyle w:val="NormalWeb"/>
        <w:jc w:val="both"/>
        <w:rPr>
          <w:lang w:val="es-PE"/>
        </w:rPr>
      </w:pPr>
      <w:r w:rsidRPr="00E44BBC">
        <w:rPr>
          <w:lang w:val="es-PE"/>
        </w:rPr>
        <w:t xml:space="preserve">Que, por su parte, conforme a lo expresado en sus descargos y a lo manifestado en la audiencia de vista, </w:t>
      </w:r>
      <w:r w:rsidR="00E44BBC">
        <w:t xml:space="preserve">.................. </w:t>
      </w:r>
      <w:r w:rsidRPr="00E44BBC">
        <w:rPr>
          <w:lang w:val="es-PE"/>
        </w:rPr>
        <w:t xml:space="preserve"> expresa resumidamente lo siguiente: a) con fecha 22 de junio de 2020, </w:t>
      </w:r>
      <w:r w:rsidR="00E44BBC">
        <w:t xml:space="preserve">.................. </w:t>
      </w:r>
      <w:r w:rsidR="00E44BBC">
        <w:t xml:space="preserve"> </w:t>
      </w:r>
      <w:r w:rsidRPr="00E44BBC">
        <w:rPr>
          <w:lang w:val="es-PE"/>
        </w:rPr>
        <w:t xml:space="preserve">presentó una solicitud de activación de cobertura por Enfermedades Graves de su Seguro de Vida, acreditando padecer de cáncer conforme a la Historia Clínica remitida en su solicitud; b) Entre los documentos remitidos por </w:t>
      </w:r>
      <w:r w:rsidR="00E44BBC">
        <w:t>..................</w:t>
      </w:r>
      <w:r w:rsidRPr="00E44BBC">
        <w:rPr>
          <w:lang w:val="es-PE"/>
        </w:rPr>
        <w:t xml:space="preserve">, se dejó </w:t>
      </w:r>
      <w:r w:rsidRPr="00E44BBC">
        <w:rPr>
          <w:lang w:val="es-PE"/>
        </w:rPr>
        <w:lastRenderedPageBreak/>
        <w:t xml:space="preserve">constancia del examen Anatomo Patológico de fecha 23 de noviembre de 2004 emitido por la Clínica San Felipe, el mismo que determinó que </w:t>
      </w:r>
      <w:r w:rsidR="00E44BBC">
        <w:t xml:space="preserve">.................. </w:t>
      </w:r>
      <w:r w:rsidR="00E44BBC">
        <w:t xml:space="preserve"> </w:t>
      </w:r>
      <w:r w:rsidRPr="00E44BBC">
        <w:rPr>
          <w:lang w:val="es-PE"/>
        </w:rPr>
        <w:t xml:space="preserve">padecía de “Adenocarcinoma Adenoide Quístico”; c) con fecha 10 de julio de 2020 rechazaron la cobertura por prescripción; añaden que a la fecha de contratación del seguro resultaba de aplicación el plazo de prescripción establecido en el código civil, esto es de 10 años para la acción personal; d) añaden que dicho razonamiento no necesariamente será equiparable ante el supuesto de solicitud de cobertura por las demás coberturas contenidas en la Póliza de Seguro de Vida Individual; e) por lo que han rechazado la cobertura en tanto la prescripción habría ocurrido luego de los diez años de haberse determinado la enfermedad en el año 2004, y en consecuencia solicitan que el reclamo sea declarado infundado. </w:t>
      </w:r>
    </w:p>
    <w:p w14:paraId="2016CE0B" w14:textId="679666B9" w:rsidR="00F14ACA" w:rsidRPr="00E44BBC" w:rsidRDefault="00F14ACA" w:rsidP="00F14ACA">
      <w:pPr>
        <w:jc w:val="both"/>
        <w:rPr>
          <w:lang w:val="es-PE"/>
        </w:rPr>
      </w:pPr>
    </w:p>
    <w:p w14:paraId="6946ACF6" w14:textId="77777777" w:rsidR="00F14ACA" w:rsidRPr="00E44BBC" w:rsidRDefault="00F14ACA" w:rsidP="00F14ACA">
      <w:pPr>
        <w:jc w:val="both"/>
        <w:outlineLvl w:val="0"/>
        <w:rPr>
          <w:lang w:val="es-PE"/>
        </w:rPr>
      </w:pPr>
      <w:r w:rsidRPr="00E44BBC">
        <w:rPr>
          <w:rStyle w:val="Textoennegrita"/>
          <w:lang w:val="es-PE"/>
        </w:rPr>
        <w:t>Considerando:</w:t>
      </w:r>
    </w:p>
    <w:p w14:paraId="57664EA1" w14:textId="77777777" w:rsidR="00F14ACA" w:rsidRPr="00E44BBC" w:rsidRDefault="00F14ACA" w:rsidP="00F14ACA">
      <w:pPr>
        <w:jc w:val="both"/>
        <w:rPr>
          <w:lang w:val="es-PE"/>
        </w:rPr>
      </w:pPr>
    </w:p>
    <w:p w14:paraId="0AE35A99" w14:textId="77777777" w:rsidR="00F14ACA" w:rsidRPr="00E44BBC" w:rsidRDefault="00F14ACA" w:rsidP="00F14ACA">
      <w:pPr>
        <w:jc w:val="both"/>
        <w:rPr>
          <w:lang w:val="es-PE"/>
        </w:rPr>
      </w:pPr>
      <w:r w:rsidRPr="00E44BBC">
        <w:rPr>
          <w:b/>
          <w:u w:val="single"/>
          <w:lang w:val="es-PE"/>
        </w:rPr>
        <w:t>Primero</w:t>
      </w:r>
      <w:r w:rsidRPr="00E44BBC">
        <w:rPr>
          <w:b/>
          <w:lang w:val="es-PE"/>
        </w:rPr>
        <w:t xml:space="preserve">: </w:t>
      </w:r>
      <w:r w:rsidRPr="00E44BBC">
        <w:rPr>
          <w:lang w:val="es-PE"/>
        </w:rPr>
        <w:t>Que, conforme a su Reglamento, la</w:t>
      </w:r>
      <w:r w:rsidRPr="00E44BBC">
        <w:rPr>
          <w:b/>
          <w:bCs/>
          <w:lang w:val="es-PE"/>
        </w:rPr>
        <w:t xml:space="preserve"> </w:t>
      </w:r>
      <w:r w:rsidRPr="00E44BBC">
        <w:rPr>
          <w:lang w:val="es-PE"/>
        </w:rPr>
        <w:t>DEFASEG está orientada a la protección de los derechos de los asegurados o usuarios de los servicios del seguro privado contratados en el país, mediante la solución de controversias que se susciten con las empresas aseguradoras, entendiéndose por “asegurados” y “usuarios de seguros” a los asegurados propiamente dichos, a los contratantes del respectivo seguro y/o a los beneficiarios nombrados en las pólizas.</w:t>
      </w:r>
    </w:p>
    <w:p w14:paraId="4F174678" w14:textId="77777777" w:rsidR="00F14ACA" w:rsidRPr="00E44BBC" w:rsidRDefault="00F14ACA" w:rsidP="00F14ACA">
      <w:pPr>
        <w:jc w:val="both"/>
        <w:rPr>
          <w:rStyle w:val="Textoennegrita"/>
          <w:b w:val="0"/>
          <w:lang w:val="es-PE"/>
        </w:rPr>
      </w:pPr>
    </w:p>
    <w:p w14:paraId="4AF74DD9" w14:textId="77777777" w:rsidR="00F14ACA" w:rsidRPr="00E44BBC" w:rsidRDefault="00F14ACA" w:rsidP="00F14ACA">
      <w:pPr>
        <w:jc w:val="both"/>
        <w:rPr>
          <w:rStyle w:val="Textoennegrita"/>
          <w:b w:val="0"/>
          <w:lang w:val="es-PE"/>
        </w:rPr>
      </w:pPr>
      <w:r w:rsidRPr="00E44BBC">
        <w:rPr>
          <w:rStyle w:val="Textoennegrita"/>
          <w:u w:val="single"/>
          <w:lang w:val="es-PE"/>
        </w:rPr>
        <w:t>Segundo</w:t>
      </w:r>
      <w:r w:rsidRPr="00E44BBC">
        <w:rPr>
          <w:rStyle w:val="Textoennegrita"/>
          <w:lang w:val="es-PE"/>
        </w:rPr>
        <w:t>:</w:t>
      </w:r>
      <w:r w:rsidRPr="00E44BBC">
        <w:rPr>
          <w:rStyle w:val="Textoennegrita"/>
          <w:b w:val="0"/>
          <w:lang w:val="es-PE"/>
        </w:rPr>
        <w:t xml:space="preserve"> </w:t>
      </w:r>
      <w:r w:rsidRPr="00E44BBC">
        <w:rPr>
          <w:lang w:val="es-PE"/>
        </w:rPr>
        <w:t xml:space="preserve">Asimismo, de acuerdo a </w:t>
      </w:r>
      <w:r w:rsidRPr="00E44BBC">
        <w:rPr>
          <w:rStyle w:val="Textoennegrita"/>
          <w:b w:val="0"/>
          <w:lang w:val="es-PE"/>
        </w:rPr>
        <w:t>su Reglamento, la DEFASEG sólo es competente para pronunciarse y resolver las reclamaciones indemnizatorias de los asegurados que hubiesen sido sometidas a su conocimiento, sobre la base de la documentación obrante en el correspondiente expediente y con arreglo a derecho, siempre y cuando las señaladas reclamaciones cumplan los requisitos reglamentarios de materia, cuantía y oportunidad, de manera que las reclamaciones por materias distintas al otorgamiento de cobertura, como pueden ser las pretensiones indemnizatorias por daños y perjuicios, por reembolso de gastos, o idoneidad de servicios, son ajenas a la competencia funcional de esta Defensoría.</w:t>
      </w:r>
    </w:p>
    <w:p w14:paraId="0C725906" w14:textId="52D9F5B2" w:rsidR="00F14ACA" w:rsidRPr="00E44BBC" w:rsidRDefault="00F14ACA" w:rsidP="00F14ACA">
      <w:pPr>
        <w:jc w:val="both"/>
        <w:rPr>
          <w:lang w:val="es-PE"/>
        </w:rPr>
      </w:pPr>
    </w:p>
    <w:p w14:paraId="489A23BD" w14:textId="42119116" w:rsidR="00262941" w:rsidRPr="00E44BBC" w:rsidRDefault="00262941" w:rsidP="00262941">
      <w:pPr>
        <w:jc w:val="both"/>
        <w:rPr>
          <w:lang w:val="es-PE"/>
        </w:rPr>
      </w:pPr>
      <w:r w:rsidRPr="00E44BBC">
        <w:rPr>
          <w:b/>
          <w:bCs/>
          <w:u w:val="single"/>
          <w:lang w:val="es-PE"/>
        </w:rPr>
        <w:t>Tercero</w:t>
      </w:r>
      <w:r w:rsidRPr="00E44BBC">
        <w:rPr>
          <w:b/>
          <w:bCs/>
          <w:lang w:val="es-PE"/>
        </w:rPr>
        <w:t>:</w:t>
      </w:r>
      <w:r w:rsidRPr="00E44BBC">
        <w:rPr>
          <w:lang w:val="es-PE"/>
        </w:rPr>
        <w:t xml:space="preserve"> Que, el artículo 1361 del Código Civil dispone que los contratos son obligatorios en cuanto se haya expresado en ellos, presumiéndose que lo declarado es lo querido por ambas partes, de manera que la parte que sostenga lo contrario debe probarlo.  </w:t>
      </w:r>
    </w:p>
    <w:p w14:paraId="5C59E61F" w14:textId="77777777" w:rsidR="00262941" w:rsidRPr="00E44BBC" w:rsidRDefault="00262941" w:rsidP="00262941">
      <w:pPr>
        <w:jc w:val="both"/>
        <w:rPr>
          <w:bCs/>
        </w:rPr>
      </w:pPr>
    </w:p>
    <w:p w14:paraId="7708F59B" w14:textId="5C2BB803" w:rsidR="00F14ACA" w:rsidRPr="00E44BBC" w:rsidRDefault="00F14ACA" w:rsidP="00F14ACA">
      <w:pPr>
        <w:tabs>
          <w:tab w:val="left" w:pos="2160"/>
        </w:tabs>
        <w:jc w:val="both"/>
        <w:rPr>
          <w:lang w:val="es-PE"/>
        </w:rPr>
      </w:pPr>
      <w:r w:rsidRPr="00E44BBC">
        <w:rPr>
          <w:b/>
          <w:u w:val="single"/>
          <w:lang w:val="es-PE"/>
        </w:rPr>
        <w:t>Cuarto</w:t>
      </w:r>
      <w:r w:rsidRPr="00E44BBC">
        <w:rPr>
          <w:b/>
          <w:lang w:val="es-PE"/>
        </w:rPr>
        <w:t>:</w:t>
      </w:r>
      <w:r w:rsidRPr="00E44BBC">
        <w:rPr>
          <w:lang w:val="es-PE"/>
        </w:rPr>
        <w:t xml:space="preserve"> Que, conforme a los términos del rechazo, así como al reclamo y su absolución, y a lo tratado en la audiencia de vista, la solución de la presente controversia consiste en determinar si el rechazo de siniestro informado por la aseguradora consistente en que el plazo para solicitar la cobertura de seguro habría prescrito resulta o no legítima. </w:t>
      </w:r>
    </w:p>
    <w:p w14:paraId="143F42E7" w14:textId="227C77EB" w:rsidR="00EF662F" w:rsidRPr="00E44BBC" w:rsidRDefault="00EF662F" w:rsidP="00F14ACA">
      <w:pPr>
        <w:tabs>
          <w:tab w:val="left" w:pos="2160"/>
        </w:tabs>
        <w:jc w:val="both"/>
        <w:rPr>
          <w:lang w:val="es-PE"/>
        </w:rPr>
      </w:pPr>
    </w:p>
    <w:p w14:paraId="7974DBF0" w14:textId="1DF8FC94" w:rsidR="00EF662F" w:rsidRPr="00E44BBC" w:rsidRDefault="00EF662F" w:rsidP="00F14ACA">
      <w:pPr>
        <w:tabs>
          <w:tab w:val="left" w:pos="2160"/>
        </w:tabs>
        <w:jc w:val="both"/>
        <w:rPr>
          <w:lang w:val="es-PE"/>
        </w:rPr>
      </w:pPr>
      <w:r w:rsidRPr="00E44BBC">
        <w:rPr>
          <w:b/>
          <w:bCs/>
          <w:u w:val="single"/>
          <w:lang w:val="es-PE"/>
        </w:rPr>
        <w:t>Quinto</w:t>
      </w:r>
      <w:r w:rsidRPr="00E44BBC">
        <w:rPr>
          <w:lang w:val="es-PE"/>
        </w:rPr>
        <w:t xml:space="preserve">: La aseguradora sostiene que el plazo para solicitar la cobertura adicional de Enfermedades </w:t>
      </w:r>
      <w:proofErr w:type="gramStart"/>
      <w:r w:rsidRPr="00E44BBC">
        <w:rPr>
          <w:lang w:val="es-PE"/>
        </w:rPr>
        <w:t>Graves,</w:t>
      </w:r>
      <w:proofErr w:type="gramEnd"/>
      <w:r w:rsidRPr="00E44BBC">
        <w:rPr>
          <w:lang w:val="es-PE"/>
        </w:rPr>
        <w:t xml:space="preserve"> habría prescrito por cuanto el siniestro sería el diagnóstico de cáncer y el primer diagnóstico del mismo habría ocurrido hace más de 10 años.</w:t>
      </w:r>
      <w:r w:rsidR="005656F4" w:rsidRPr="00E44BBC">
        <w:rPr>
          <w:lang w:val="es-PE"/>
        </w:rPr>
        <w:t xml:space="preserve"> Para ello se remite al diagnóstico realizado en el año 2004, que determinó la existencia de un carcinoma de parótida izquierda. </w:t>
      </w:r>
      <w:r w:rsidR="00A92D66" w:rsidRPr="00E44BBC">
        <w:rPr>
          <w:lang w:val="es-PE"/>
        </w:rPr>
        <w:t>D</w:t>
      </w:r>
      <w:r w:rsidR="005656F4" w:rsidRPr="00E44BBC">
        <w:rPr>
          <w:lang w:val="es-PE"/>
        </w:rPr>
        <w:t xml:space="preserve">el informe anatomo patológico </w:t>
      </w:r>
      <w:r w:rsidR="00A92D66" w:rsidRPr="00E44BBC">
        <w:rPr>
          <w:lang w:val="es-PE"/>
        </w:rPr>
        <w:t xml:space="preserve">que obra en el expediente </w:t>
      </w:r>
      <w:r w:rsidR="005656F4" w:rsidRPr="00E44BBC">
        <w:rPr>
          <w:lang w:val="es-PE"/>
        </w:rPr>
        <w:t xml:space="preserve">se constata que en el año 2004 </w:t>
      </w:r>
      <w:r w:rsidR="00A92D66" w:rsidRPr="00E44BBC">
        <w:rPr>
          <w:lang w:val="es-PE"/>
        </w:rPr>
        <w:t xml:space="preserve">recibida la muestra glándula parótida </w:t>
      </w:r>
      <w:r w:rsidR="005656F4" w:rsidRPr="00E44BBC">
        <w:rPr>
          <w:lang w:val="es-PE"/>
        </w:rPr>
        <w:t xml:space="preserve">se </w:t>
      </w:r>
      <w:r w:rsidR="00A92D66" w:rsidRPr="00E44BBC">
        <w:rPr>
          <w:lang w:val="es-PE"/>
        </w:rPr>
        <w:t xml:space="preserve">diagnosticó: </w:t>
      </w:r>
    </w:p>
    <w:p w14:paraId="46944C5F" w14:textId="32DAED0C" w:rsidR="00EF662F" w:rsidRPr="00E44BBC" w:rsidRDefault="00EF662F" w:rsidP="00F14ACA">
      <w:pPr>
        <w:tabs>
          <w:tab w:val="left" w:pos="2160"/>
        </w:tabs>
        <w:jc w:val="both"/>
        <w:rPr>
          <w:lang w:val="es-PE"/>
        </w:rPr>
      </w:pPr>
    </w:p>
    <w:p w14:paraId="13C4A8CC" w14:textId="52C2505F" w:rsidR="00A92D66" w:rsidRPr="00E44BBC" w:rsidRDefault="00E44BBC" w:rsidP="00E44BBC">
      <w:pPr>
        <w:tabs>
          <w:tab w:val="left" w:pos="2160"/>
        </w:tabs>
        <w:ind w:left="720"/>
        <w:jc w:val="center"/>
        <w:rPr>
          <w:lang w:val="es-PE"/>
        </w:rPr>
      </w:pPr>
      <w:r>
        <w:rPr>
          <w:noProof/>
          <w:lang w:val="es-PE"/>
        </w:rPr>
        <w:t>(</w:t>
      </w:r>
      <w:r>
        <w:t>..................</w:t>
      </w:r>
      <w:r>
        <w:t>)</w:t>
      </w:r>
    </w:p>
    <w:p w14:paraId="5A2B4AFD" w14:textId="77777777" w:rsidR="00A92D66" w:rsidRPr="00E44BBC" w:rsidRDefault="00A92D66" w:rsidP="00F14ACA">
      <w:pPr>
        <w:tabs>
          <w:tab w:val="left" w:pos="2160"/>
        </w:tabs>
        <w:jc w:val="both"/>
        <w:rPr>
          <w:lang w:val="es-PE"/>
        </w:rPr>
      </w:pPr>
    </w:p>
    <w:p w14:paraId="374D3C9B" w14:textId="5BAFA0FB" w:rsidR="00EF662F" w:rsidRPr="00E44BBC" w:rsidRDefault="00A92D66" w:rsidP="00F14ACA">
      <w:pPr>
        <w:tabs>
          <w:tab w:val="left" w:pos="2160"/>
        </w:tabs>
        <w:jc w:val="both"/>
        <w:rPr>
          <w:lang w:val="es-PE"/>
        </w:rPr>
      </w:pPr>
      <w:r w:rsidRPr="00E44BBC">
        <w:rPr>
          <w:b/>
          <w:bCs/>
          <w:u w:val="single"/>
          <w:lang w:val="es-PE"/>
        </w:rPr>
        <w:lastRenderedPageBreak/>
        <w:t>Sexto:</w:t>
      </w:r>
      <w:r w:rsidRPr="00E44BBC">
        <w:rPr>
          <w:lang w:val="es-PE"/>
        </w:rPr>
        <w:t xml:space="preserve"> En este caso, estamos ante</w:t>
      </w:r>
      <w:r w:rsidR="00EF662F" w:rsidRPr="00E44BBC">
        <w:rPr>
          <w:lang w:val="es-PE"/>
        </w:rPr>
        <w:t xml:space="preserve"> una Póliza de Vida Entera tomada en el año 1999 </w:t>
      </w:r>
      <w:r w:rsidRPr="00E44BBC">
        <w:rPr>
          <w:lang w:val="es-PE"/>
        </w:rPr>
        <w:t>que</w:t>
      </w:r>
      <w:r w:rsidR="00EF662F" w:rsidRPr="00E44BBC">
        <w:rPr>
          <w:lang w:val="es-PE"/>
        </w:rPr>
        <w:t xml:space="preserve"> contempla la siguiente cobertura principal y coberturas adicionales:</w:t>
      </w:r>
    </w:p>
    <w:p w14:paraId="04C2F541" w14:textId="77777777" w:rsidR="00EF662F" w:rsidRPr="00E44BBC" w:rsidRDefault="00EF662F" w:rsidP="00F14ACA">
      <w:pPr>
        <w:tabs>
          <w:tab w:val="left" w:pos="2160"/>
        </w:tabs>
        <w:jc w:val="both"/>
        <w:rPr>
          <w:lang w:val="es-PE"/>
        </w:rPr>
      </w:pPr>
    </w:p>
    <w:p w14:paraId="1A0E3F24" w14:textId="7DCA6256" w:rsidR="00EF662F" w:rsidRPr="00E44BBC" w:rsidRDefault="00E44BBC" w:rsidP="00E44BBC">
      <w:pPr>
        <w:tabs>
          <w:tab w:val="left" w:pos="2160"/>
        </w:tabs>
        <w:jc w:val="center"/>
        <w:rPr>
          <w:lang w:val="es-PE"/>
        </w:rPr>
      </w:pPr>
      <w:r>
        <w:rPr>
          <w:lang w:val="es-PE"/>
        </w:rPr>
        <w:t>(</w:t>
      </w:r>
      <w:r>
        <w:t>..................</w:t>
      </w:r>
      <w:r>
        <w:t>)</w:t>
      </w:r>
    </w:p>
    <w:p w14:paraId="1CFCB0FB" w14:textId="77777777" w:rsidR="00EF662F" w:rsidRPr="00E44BBC" w:rsidRDefault="00EF662F" w:rsidP="00E44BBC">
      <w:pPr>
        <w:tabs>
          <w:tab w:val="left" w:pos="2160"/>
        </w:tabs>
        <w:jc w:val="center"/>
        <w:rPr>
          <w:lang w:val="es-PE"/>
        </w:rPr>
      </w:pPr>
    </w:p>
    <w:p w14:paraId="186379E0" w14:textId="77777777" w:rsidR="00EF662F" w:rsidRPr="00E44BBC" w:rsidRDefault="00EF662F" w:rsidP="00F14ACA">
      <w:pPr>
        <w:tabs>
          <w:tab w:val="left" w:pos="2160"/>
        </w:tabs>
        <w:jc w:val="both"/>
        <w:rPr>
          <w:lang w:val="es-PE"/>
        </w:rPr>
      </w:pPr>
    </w:p>
    <w:p w14:paraId="0BB5E1D8" w14:textId="77777777" w:rsidR="00B312EE" w:rsidRPr="00E44BBC" w:rsidRDefault="00EF662F" w:rsidP="00F14ACA">
      <w:pPr>
        <w:tabs>
          <w:tab w:val="left" w:pos="2160"/>
        </w:tabs>
        <w:jc w:val="both"/>
        <w:rPr>
          <w:lang w:val="es-PE"/>
        </w:rPr>
      </w:pPr>
      <w:r w:rsidRPr="00E44BBC">
        <w:rPr>
          <w:lang w:val="es-PE"/>
        </w:rPr>
        <w:t xml:space="preserve">La cláusula Adicional ENGR al 25%, corresponde a la Cláusula de Enfermedades Graves (ENGR) que en su condicionado </w:t>
      </w:r>
      <w:r w:rsidR="00B312EE" w:rsidRPr="00E44BBC">
        <w:rPr>
          <w:lang w:val="es-PE"/>
        </w:rPr>
        <w:t>establece entre otras disposiciones lo siguiente:</w:t>
      </w:r>
    </w:p>
    <w:p w14:paraId="5AF1F7BA" w14:textId="1594E22F" w:rsidR="00EF662F" w:rsidRPr="00E44BBC" w:rsidRDefault="00EF662F" w:rsidP="00F14ACA">
      <w:pPr>
        <w:tabs>
          <w:tab w:val="left" w:pos="2160"/>
        </w:tabs>
        <w:jc w:val="both"/>
        <w:rPr>
          <w:lang w:val="es-PE"/>
        </w:rPr>
      </w:pPr>
      <w:r w:rsidRPr="00E44BBC">
        <w:rPr>
          <w:lang w:val="es-PE"/>
        </w:rPr>
        <w:t xml:space="preserve"> </w:t>
      </w:r>
    </w:p>
    <w:p w14:paraId="5C14EAE3" w14:textId="4E1B63F0" w:rsidR="00EF662F" w:rsidRPr="00E44BBC" w:rsidRDefault="00EF662F" w:rsidP="00EF662F">
      <w:pPr>
        <w:tabs>
          <w:tab w:val="left" w:pos="2160"/>
        </w:tabs>
        <w:ind w:left="1440"/>
        <w:jc w:val="both"/>
        <w:rPr>
          <w:lang w:val="es-PE"/>
        </w:rPr>
      </w:pPr>
      <w:r w:rsidRPr="00E44BBC">
        <w:rPr>
          <w:noProof/>
        </w:rPr>
        <w:drawing>
          <wp:inline distT="0" distB="0" distL="0" distR="0" wp14:anchorId="4703D6AF" wp14:editId="00BAA73D">
            <wp:extent cx="2752725" cy="2042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1171" cy="2063303"/>
                    </a:xfrm>
                    <a:prstGeom prst="rect">
                      <a:avLst/>
                    </a:prstGeom>
                    <a:noFill/>
                    <a:ln>
                      <a:noFill/>
                    </a:ln>
                  </pic:spPr>
                </pic:pic>
              </a:graphicData>
            </a:graphic>
          </wp:inline>
        </w:drawing>
      </w:r>
    </w:p>
    <w:p w14:paraId="0BD5D12C" w14:textId="24C63670" w:rsidR="00B312EE" w:rsidRPr="00E44BBC" w:rsidRDefault="00B312EE" w:rsidP="00EF662F">
      <w:pPr>
        <w:tabs>
          <w:tab w:val="left" w:pos="2160"/>
        </w:tabs>
        <w:ind w:left="1440"/>
        <w:jc w:val="both"/>
        <w:rPr>
          <w:lang w:val="es-PE"/>
        </w:rPr>
      </w:pPr>
      <w:r w:rsidRPr="00E44BBC">
        <w:rPr>
          <w:noProof/>
          <w:lang w:val="es-PE"/>
        </w:rPr>
        <w:drawing>
          <wp:inline distT="0" distB="0" distL="0" distR="0" wp14:anchorId="63233C07" wp14:editId="154C3CEA">
            <wp:extent cx="2894728" cy="302895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1657" cy="3046664"/>
                    </a:xfrm>
                    <a:prstGeom prst="rect">
                      <a:avLst/>
                    </a:prstGeom>
                    <a:noFill/>
                    <a:ln>
                      <a:noFill/>
                    </a:ln>
                  </pic:spPr>
                </pic:pic>
              </a:graphicData>
            </a:graphic>
          </wp:inline>
        </w:drawing>
      </w:r>
    </w:p>
    <w:p w14:paraId="2DC33AC3" w14:textId="15F6EBBA" w:rsidR="00F14ACA" w:rsidRPr="00E44BBC" w:rsidRDefault="00F14ACA" w:rsidP="00F14ACA">
      <w:pPr>
        <w:tabs>
          <w:tab w:val="left" w:pos="2160"/>
        </w:tabs>
        <w:jc w:val="both"/>
        <w:rPr>
          <w:lang w:val="es-PE"/>
        </w:rPr>
      </w:pPr>
    </w:p>
    <w:p w14:paraId="207CE72E" w14:textId="41E55286" w:rsidR="00B312EE" w:rsidRPr="00E44BBC" w:rsidRDefault="00B312EE" w:rsidP="00EF662F">
      <w:pPr>
        <w:ind w:firstLine="2"/>
        <w:jc w:val="both"/>
        <w:rPr>
          <w:bCs/>
        </w:rPr>
      </w:pPr>
      <w:r w:rsidRPr="00E44BBC">
        <w:rPr>
          <w:bCs/>
        </w:rPr>
        <w:t>Se trata así de un adelanto de la cobertura principal</w:t>
      </w:r>
      <w:r w:rsidR="00A92D66" w:rsidRPr="00E44BBC">
        <w:rPr>
          <w:bCs/>
        </w:rPr>
        <w:t xml:space="preserve">, ante la presencia (diagnóstico) de una serie de </w:t>
      </w:r>
      <w:r w:rsidRPr="00E44BBC">
        <w:rPr>
          <w:bCs/>
        </w:rPr>
        <w:t xml:space="preserve">enfermedades </w:t>
      </w:r>
      <w:r w:rsidR="00A92D66" w:rsidRPr="00E44BBC">
        <w:rPr>
          <w:bCs/>
        </w:rPr>
        <w:t xml:space="preserve">graves </w:t>
      </w:r>
      <w:r w:rsidRPr="00E44BBC">
        <w:rPr>
          <w:bCs/>
        </w:rPr>
        <w:t>expresamente listadas. Como en este caso, las Condiciones Particulares establecen un porcentaje del 25%, el adelanto que la póliza establece es del 25%.</w:t>
      </w:r>
    </w:p>
    <w:p w14:paraId="6D0806F7" w14:textId="105B3396" w:rsidR="00B312EE" w:rsidRPr="00E44BBC" w:rsidRDefault="00B312EE" w:rsidP="00EF662F">
      <w:pPr>
        <w:ind w:firstLine="2"/>
        <w:jc w:val="both"/>
        <w:rPr>
          <w:bCs/>
        </w:rPr>
      </w:pPr>
    </w:p>
    <w:p w14:paraId="15D6A96F" w14:textId="061B7614" w:rsidR="00B312EE" w:rsidRPr="00E44BBC" w:rsidRDefault="00B312EE" w:rsidP="00EF662F">
      <w:pPr>
        <w:ind w:firstLine="2"/>
        <w:jc w:val="both"/>
        <w:rPr>
          <w:bCs/>
        </w:rPr>
      </w:pPr>
      <w:r w:rsidRPr="00E44BBC">
        <w:rPr>
          <w:bCs/>
        </w:rPr>
        <w:t>El artículo segundo de esta cláusula adicional contiene una definición de cada una de las enfermedades, siendo que la definición de cáncer, enfermedad que presenta la asegurada es la siguiente:</w:t>
      </w:r>
    </w:p>
    <w:p w14:paraId="668D8CC5" w14:textId="5F5E418C" w:rsidR="00B312EE" w:rsidRPr="00E44BBC" w:rsidRDefault="00B312EE" w:rsidP="00EF662F">
      <w:pPr>
        <w:ind w:firstLine="2"/>
        <w:jc w:val="both"/>
        <w:rPr>
          <w:bCs/>
        </w:rPr>
      </w:pPr>
    </w:p>
    <w:p w14:paraId="3E058BD9" w14:textId="7633873E" w:rsidR="00B312EE" w:rsidRPr="00E44BBC" w:rsidRDefault="00B312EE" w:rsidP="00B312EE">
      <w:pPr>
        <w:ind w:left="1440" w:firstLine="2"/>
        <w:jc w:val="both"/>
        <w:rPr>
          <w:bCs/>
        </w:rPr>
      </w:pPr>
      <w:r w:rsidRPr="00E44BBC">
        <w:rPr>
          <w:bCs/>
          <w:noProof/>
        </w:rPr>
        <w:lastRenderedPageBreak/>
        <w:drawing>
          <wp:inline distT="0" distB="0" distL="0" distR="0" wp14:anchorId="54B0825B" wp14:editId="64958FEC">
            <wp:extent cx="2895600" cy="133676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6862" cy="1346577"/>
                    </a:xfrm>
                    <a:prstGeom prst="rect">
                      <a:avLst/>
                    </a:prstGeom>
                    <a:noFill/>
                    <a:ln>
                      <a:noFill/>
                    </a:ln>
                  </pic:spPr>
                </pic:pic>
              </a:graphicData>
            </a:graphic>
          </wp:inline>
        </w:drawing>
      </w:r>
    </w:p>
    <w:p w14:paraId="2059B362" w14:textId="77777777" w:rsidR="00B312EE" w:rsidRPr="00E44BBC" w:rsidRDefault="00B312EE" w:rsidP="00EF662F">
      <w:pPr>
        <w:ind w:firstLine="2"/>
        <w:jc w:val="both"/>
        <w:rPr>
          <w:bCs/>
        </w:rPr>
      </w:pPr>
    </w:p>
    <w:p w14:paraId="21D121F1" w14:textId="77777777" w:rsidR="00B312EE" w:rsidRPr="00E44BBC" w:rsidRDefault="00B312EE" w:rsidP="00EF662F">
      <w:pPr>
        <w:ind w:firstLine="2"/>
        <w:jc w:val="both"/>
        <w:rPr>
          <w:bCs/>
        </w:rPr>
      </w:pPr>
      <w:r w:rsidRPr="00E44BBC">
        <w:rPr>
          <w:bCs/>
        </w:rPr>
        <w:t xml:space="preserve">Asimismo, la póliza establece un periodo de carencia y exclusiones que no son aplicables al caso que nos ocupa. </w:t>
      </w:r>
    </w:p>
    <w:p w14:paraId="502588C3" w14:textId="77777777" w:rsidR="00B312EE" w:rsidRPr="00E44BBC" w:rsidRDefault="00B312EE" w:rsidP="00EF662F">
      <w:pPr>
        <w:ind w:firstLine="2"/>
        <w:jc w:val="both"/>
        <w:rPr>
          <w:bCs/>
        </w:rPr>
      </w:pPr>
    </w:p>
    <w:p w14:paraId="1CC86445" w14:textId="59A37009" w:rsidR="00EF662F" w:rsidRPr="00E44BBC" w:rsidRDefault="00B312EE" w:rsidP="00EF662F">
      <w:pPr>
        <w:ind w:firstLine="2"/>
        <w:jc w:val="both"/>
      </w:pPr>
      <w:r w:rsidRPr="00E44BBC">
        <w:rPr>
          <w:bCs/>
        </w:rPr>
        <w:t>La póliza también establece un procedimiento para solicitar el beneficio señalando que debe informarse a la compañía dentro del plazo de 90 días de ocurrido el diagnóstico, sin que se sancione dicho incumplimiento con alguna consecuencia determinada</w:t>
      </w:r>
      <w:r w:rsidR="00EF662F" w:rsidRPr="00E44BBC">
        <w:t>.</w:t>
      </w:r>
      <w:r w:rsidRPr="00E44BBC">
        <w:t xml:space="preserve"> </w:t>
      </w:r>
    </w:p>
    <w:p w14:paraId="6E0DE02F" w14:textId="255E5FE4" w:rsidR="008A302F" w:rsidRPr="00E44BBC" w:rsidRDefault="008A302F" w:rsidP="00EF662F">
      <w:pPr>
        <w:ind w:firstLine="2"/>
        <w:jc w:val="both"/>
      </w:pPr>
    </w:p>
    <w:p w14:paraId="43145D31" w14:textId="77777777" w:rsidR="00A92D66" w:rsidRPr="00E44BBC" w:rsidRDefault="008A302F" w:rsidP="00EF662F">
      <w:pPr>
        <w:ind w:firstLine="2"/>
        <w:jc w:val="both"/>
      </w:pPr>
      <w:r w:rsidRPr="00E44BBC">
        <w:t xml:space="preserve">Ahora bien, a diferencia de un siniestro que se produce en un solo momento como podría ser un accidente, el fallecimiento, </w:t>
      </w:r>
      <w:r w:rsidR="00A92D66" w:rsidRPr="00E44BBC">
        <w:t xml:space="preserve">e </w:t>
      </w:r>
      <w:r w:rsidRPr="00E44BBC">
        <w:t>incluso u</w:t>
      </w:r>
      <w:r w:rsidR="00A92D66" w:rsidRPr="00E44BBC">
        <w:t>n</w:t>
      </w:r>
      <w:r w:rsidRPr="00E44BBC">
        <w:t xml:space="preserve"> infarto del miocardio (comprendido en la cláusula adicional que nos ocupa), el cáncer no es algo que ocurra en un solo evento y termine, si</w:t>
      </w:r>
      <w:r w:rsidR="00A92D66" w:rsidRPr="00E44BBC">
        <w:t>n</w:t>
      </w:r>
      <w:r w:rsidRPr="00E44BBC">
        <w:t xml:space="preserve">o que estamos ante una enfermedad continua, que puede curarse (remitir), y que puede volver a presentarse. </w:t>
      </w:r>
    </w:p>
    <w:p w14:paraId="058CEC98" w14:textId="77777777" w:rsidR="00A92D66" w:rsidRPr="00E44BBC" w:rsidRDefault="00A92D66" w:rsidP="00EF662F">
      <w:pPr>
        <w:ind w:firstLine="2"/>
        <w:jc w:val="both"/>
      </w:pPr>
    </w:p>
    <w:p w14:paraId="1479F79A" w14:textId="05158D34" w:rsidR="00A92D66" w:rsidRPr="00E44BBC" w:rsidRDefault="008A302F" w:rsidP="00EF662F">
      <w:pPr>
        <w:ind w:firstLine="2"/>
        <w:jc w:val="both"/>
      </w:pPr>
      <w:r w:rsidRPr="00E44BBC">
        <w:t xml:space="preserve">En este caso, la asegurada presenta un cáncer que remitió en su momento pero que ha vuelto a presentarse en más de una oportunidad, presentándose en diferentes órganos, siendo en cada evento tratado, todo lo cual ha sido diagnosticado con un informe respectivo conforme se ha documentado en este caso. </w:t>
      </w:r>
      <w:r w:rsidR="00A92D66" w:rsidRPr="00E44BBC">
        <w:t xml:space="preserve">Tal como se acredita en el siguiente informe médico de fecha 3 de enero de 2020, emitido por un cirujano </w:t>
      </w:r>
      <w:r w:rsidR="001B58D0" w:rsidRPr="00E44BBC">
        <w:t>oncólogo</w:t>
      </w:r>
      <w:r w:rsidR="00A92D66" w:rsidRPr="00E44BBC">
        <w:t xml:space="preserve"> que lo suscribe:</w:t>
      </w:r>
    </w:p>
    <w:p w14:paraId="26D6B9FE" w14:textId="77777777" w:rsidR="001B58D0" w:rsidRPr="00E44BBC" w:rsidRDefault="001B58D0" w:rsidP="00EF662F">
      <w:pPr>
        <w:ind w:firstLine="2"/>
        <w:jc w:val="both"/>
      </w:pPr>
    </w:p>
    <w:p w14:paraId="47DA2FDB" w14:textId="54CA20BC" w:rsidR="001B58D0" w:rsidRPr="00E44BBC" w:rsidRDefault="001B58D0" w:rsidP="001B58D0">
      <w:pPr>
        <w:ind w:left="722" w:firstLine="2"/>
        <w:jc w:val="both"/>
      </w:pPr>
      <w:r w:rsidRPr="00E44BBC">
        <w:rPr>
          <w:noProof/>
        </w:rPr>
        <w:t xml:space="preserve">   </w:t>
      </w:r>
      <w:r w:rsidRPr="00E44BBC">
        <w:rPr>
          <w:noProof/>
        </w:rPr>
        <w:drawing>
          <wp:inline distT="0" distB="0" distL="0" distR="0" wp14:anchorId="550DFE95" wp14:editId="3C9D9979">
            <wp:extent cx="4847130" cy="9048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b="66160"/>
                    <a:stretch/>
                  </pic:blipFill>
                  <pic:spPr bwMode="auto">
                    <a:xfrm>
                      <a:off x="0" y="0"/>
                      <a:ext cx="4865123" cy="908234"/>
                    </a:xfrm>
                    <a:prstGeom prst="rect">
                      <a:avLst/>
                    </a:prstGeom>
                    <a:noFill/>
                    <a:ln>
                      <a:noFill/>
                    </a:ln>
                    <a:extLst>
                      <a:ext uri="{53640926-AAD7-44D8-BBD7-CCE9431645EC}">
                        <a14:shadowObscured xmlns:a14="http://schemas.microsoft.com/office/drawing/2010/main"/>
                      </a:ext>
                    </a:extLst>
                  </pic:spPr>
                </pic:pic>
              </a:graphicData>
            </a:graphic>
          </wp:inline>
        </w:drawing>
      </w:r>
    </w:p>
    <w:p w14:paraId="3F35ECB2" w14:textId="12C64893" w:rsidR="00A92D66" w:rsidRPr="00E44BBC" w:rsidRDefault="00A92D66" w:rsidP="00EF662F">
      <w:pPr>
        <w:ind w:firstLine="2"/>
        <w:jc w:val="both"/>
      </w:pPr>
    </w:p>
    <w:p w14:paraId="5BDAF60F" w14:textId="2F0F47E5" w:rsidR="00A92D66" w:rsidRPr="00E44BBC" w:rsidRDefault="00A92D66" w:rsidP="001B58D0">
      <w:pPr>
        <w:ind w:left="720" w:firstLine="2"/>
        <w:jc w:val="both"/>
      </w:pPr>
      <w:r w:rsidRPr="00E44BBC">
        <w:rPr>
          <w:noProof/>
        </w:rPr>
        <w:t xml:space="preserve">   </w:t>
      </w:r>
      <w:r w:rsidRPr="00E44BBC">
        <w:rPr>
          <w:noProof/>
        </w:rPr>
        <w:drawing>
          <wp:inline distT="0" distB="0" distL="0" distR="0" wp14:anchorId="34CA4DCC" wp14:editId="128D65DB">
            <wp:extent cx="4847130" cy="17405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34909"/>
                    <a:stretch/>
                  </pic:blipFill>
                  <pic:spPr bwMode="auto">
                    <a:xfrm>
                      <a:off x="0" y="0"/>
                      <a:ext cx="4865123" cy="1746996"/>
                    </a:xfrm>
                    <a:prstGeom prst="rect">
                      <a:avLst/>
                    </a:prstGeom>
                    <a:noFill/>
                    <a:ln>
                      <a:noFill/>
                    </a:ln>
                    <a:extLst>
                      <a:ext uri="{53640926-AAD7-44D8-BBD7-CCE9431645EC}">
                        <a14:shadowObscured xmlns:a14="http://schemas.microsoft.com/office/drawing/2010/main"/>
                      </a:ext>
                    </a:extLst>
                  </pic:spPr>
                </pic:pic>
              </a:graphicData>
            </a:graphic>
          </wp:inline>
        </w:drawing>
      </w:r>
    </w:p>
    <w:p w14:paraId="2DB04753" w14:textId="77777777" w:rsidR="00A92D66" w:rsidRPr="00E44BBC" w:rsidRDefault="00A92D66" w:rsidP="00EF662F">
      <w:pPr>
        <w:ind w:firstLine="2"/>
        <w:jc w:val="both"/>
      </w:pPr>
    </w:p>
    <w:p w14:paraId="25ADC7E3" w14:textId="53066267" w:rsidR="008A302F" w:rsidRPr="00E44BBC" w:rsidRDefault="008A302F" w:rsidP="00EF662F">
      <w:pPr>
        <w:ind w:firstLine="2"/>
        <w:jc w:val="both"/>
      </w:pPr>
      <w:r w:rsidRPr="00E44BBC">
        <w:t>Por lo tanto</w:t>
      </w:r>
      <w:r w:rsidR="001B58D0" w:rsidRPr="00E44BBC">
        <w:t>,</w:t>
      </w:r>
      <w:r w:rsidRPr="00E44BBC">
        <w:t xml:space="preserve"> estamos ante </w:t>
      </w:r>
      <w:r w:rsidR="001B58D0" w:rsidRPr="00E44BBC">
        <w:t>la presencia</w:t>
      </w:r>
      <w:r w:rsidRPr="00E44BBC">
        <w:t xml:space="preserve"> </w:t>
      </w:r>
      <w:r w:rsidR="001B58D0" w:rsidRPr="00E44BBC">
        <w:t xml:space="preserve">y diagnóstico sucesivo </w:t>
      </w:r>
      <w:r w:rsidRPr="00E44BBC">
        <w:t xml:space="preserve">del cáncer en diferentes órganos, siendo que </w:t>
      </w:r>
      <w:r w:rsidR="00A92D66" w:rsidRPr="00E44BBC">
        <w:t xml:space="preserve">una de las últimas apariciones acreditadas </w:t>
      </w:r>
      <w:r w:rsidRPr="00E44BBC">
        <w:t>con un informe de laboratorio</w:t>
      </w:r>
      <w:r w:rsidR="001B58D0" w:rsidRPr="00E44BBC">
        <w:t xml:space="preserve"> </w:t>
      </w:r>
      <w:r w:rsidR="001B58D0" w:rsidRPr="00E44BBC">
        <w:lastRenderedPageBreak/>
        <w:t>se dio el 15 de enero de 2020</w:t>
      </w:r>
      <w:r w:rsidR="005534CC" w:rsidRPr="00E44BBC">
        <w:t xml:space="preserve"> realizado luego de la escisión quirúrgica </w:t>
      </w:r>
      <w:r w:rsidR="001B58D0" w:rsidRPr="00E44BBC">
        <w:t xml:space="preserve">y </w:t>
      </w:r>
      <w:r w:rsidR="005534CC" w:rsidRPr="00E44BBC">
        <w:t>reporta</w:t>
      </w:r>
      <w:r w:rsidR="005656F4" w:rsidRPr="00E44BBC">
        <w:t xml:space="preserve"> </w:t>
      </w:r>
      <w:r w:rsidR="005656F4" w:rsidRPr="00E44BBC">
        <w:rPr>
          <w:i/>
          <w:iCs/>
        </w:rPr>
        <w:t>“carcinoma adenoide quístico (3cm), depósito metastásico en el pulmón, márgenes libres”</w:t>
      </w:r>
      <w:r w:rsidR="001B58D0" w:rsidRPr="00E44BBC">
        <w:rPr>
          <w:i/>
          <w:iCs/>
        </w:rPr>
        <w:t>.</w:t>
      </w:r>
    </w:p>
    <w:p w14:paraId="29760156" w14:textId="77777777" w:rsidR="005656F4" w:rsidRPr="00E44BBC" w:rsidRDefault="005656F4" w:rsidP="00EF662F">
      <w:pPr>
        <w:ind w:firstLine="2"/>
        <w:jc w:val="both"/>
      </w:pPr>
    </w:p>
    <w:p w14:paraId="30916833" w14:textId="31D8C3B1" w:rsidR="008A302F" w:rsidRPr="00E44BBC" w:rsidRDefault="008A302F" w:rsidP="00EF662F">
      <w:pPr>
        <w:ind w:firstLine="2"/>
        <w:jc w:val="both"/>
        <w:rPr>
          <w:lang w:val="es-PE" w:eastAsia="en-US"/>
        </w:rPr>
      </w:pPr>
      <w:r w:rsidRPr="00E44BBC">
        <w:t>En atención a ello, este colegiado no considera que el plazo de prescripción debe computarse desde que se dio el primer diagnóstico</w:t>
      </w:r>
      <w:r w:rsidR="001B58D0" w:rsidRPr="00E44BBC">
        <w:t xml:space="preserve">, y siendo que el último y nuevo diagnóstico se presenta en este año, el plazo para solicitar la cobertura no habría prescrito, por lo que el rechazo basado en dicha consideración no resulta procedente. </w:t>
      </w:r>
    </w:p>
    <w:p w14:paraId="4EBB63A3" w14:textId="77777777" w:rsidR="00EF662F" w:rsidRPr="00E44BBC" w:rsidRDefault="00EF662F" w:rsidP="00EF662F">
      <w:pPr>
        <w:ind w:firstLine="2"/>
        <w:jc w:val="both"/>
        <w:rPr>
          <w:lang w:val="es-PE"/>
        </w:rPr>
      </w:pPr>
    </w:p>
    <w:p w14:paraId="22E45554" w14:textId="01A23972" w:rsidR="00EF662F" w:rsidRPr="00E44BBC" w:rsidRDefault="001B58D0" w:rsidP="00EF662F">
      <w:pPr>
        <w:jc w:val="both"/>
      </w:pPr>
      <w:r w:rsidRPr="00E44BBC">
        <w:t>A</w:t>
      </w:r>
      <w:r w:rsidR="00EF662F" w:rsidRPr="00E44BBC">
        <w:t>tendiendo a todo lo expresado, esta Defensoría del Asegurado concluye su apreciación razonada y conjunta al amparo de lo establecido en su Reglamento, por lo que</w:t>
      </w:r>
    </w:p>
    <w:p w14:paraId="2CAA3E53" w14:textId="77777777" w:rsidR="00EF662F" w:rsidRPr="00E44BBC" w:rsidRDefault="00EF662F" w:rsidP="00EF662F">
      <w:pPr>
        <w:jc w:val="both"/>
      </w:pPr>
    </w:p>
    <w:p w14:paraId="1A25C295" w14:textId="77777777" w:rsidR="00EF662F" w:rsidRPr="00E44BBC" w:rsidRDefault="00EF662F" w:rsidP="00EF662F">
      <w:pPr>
        <w:jc w:val="both"/>
        <w:rPr>
          <w:b/>
          <w:bCs/>
        </w:rPr>
      </w:pPr>
      <w:r w:rsidRPr="00E44BBC">
        <w:rPr>
          <w:b/>
          <w:bCs/>
        </w:rPr>
        <w:t>Resuelve</w:t>
      </w:r>
    </w:p>
    <w:p w14:paraId="35A68C18" w14:textId="77777777" w:rsidR="00EF662F" w:rsidRPr="00E44BBC" w:rsidRDefault="00EF662F" w:rsidP="00EF662F">
      <w:pPr>
        <w:jc w:val="both"/>
      </w:pPr>
    </w:p>
    <w:p w14:paraId="515956E0" w14:textId="051373F6" w:rsidR="00EF662F" w:rsidRPr="00E44BBC" w:rsidRDefault="00EF662F" w:rsidP="00EF662F">
      <w:pPr>
        <w:jc w:val="both"/>
      </w:pPr>
      <w:r w:rsidRPr="00E44BBC">
        <w:t xml:space="preserve">Declarar FUNDADA la reclamación interpuesta por </w:t>
      </w:r>
      <w:r w:rsidR="00E44BBC">
        <w:t xml:space="preserve">.................. </w:t>
      </w:r>
      <w:r w:rsidRPr="00E44BBC">
        <w:t xml:space="preserve">contra </w:t>
      </w:r>
      <w:r w:rsidR="00E44BBC">
        <w:t>..................</w:t>
      </w:r>
      <w:r w:rsidRPr="00E44BBC">
        <w:t xml:space="preserve">, por lo que la aseguradora deberá proceder </w:t>
      </w:r>
      <w:r w:rsidR="001B58D0" w:rsidRPr="00E44BBC">
        <w:t xml:space="preserve">al otorgamiento de la cobertura de Enfermedades Graves, </w:t>
      </w:r>
      <w:r w:rsidRPr="00E44BBC">
        <w:t xml:space="preserve">de acuerdo con </w:t>
      </w:r>
      <w:r w:rsidR="001B58D0" w:rsidRPr="00E44BBC">
        <w:t xml:space="preserve">las condiciones de la Póliza de Vida Entera </w:t>
      </w:r>
      <w:proofErr w:type="spellStart"/>
      <w:r w:rsidR="001B58D0" w:rsidRPr="00E44BBC">
        <w:t>Nº</w:t>
      </w:r>
      <w:proofErr w:type="spellEnd"/>
      <w:r w:rsidR="001B58D0" w:rsidRPr="00E44BBC">
        <w:t xml:space="preserve"> </w:t>
      </w:r>
      <w:r w:rsidR="00E44BBC">
        <w:t>..................</w:t>
      </w:r>
      <w:r w:rsidR="001B58D0" w:rsidRPr="00E44BBC">
        <w:t>.</w:t>
      </w:r>
    </w:p>
    <w:p w14:paraId="6B66A743" w14:textId="77777777" w:rsidR="00EF662F" w:rsidRPr="00E44BBC" w:rsidRDefault="00EF662F" w:rsidP="00EF662F">
      <w:pPr>
        <w:jc w:val="both"/>
      </w:pPr>
    </w:p>
    <w:p w14:paraId="18621A51" w14:textId="6C826E37" w:rsidR="00D74B04" w:rsidRPr="00E44BBC" w:rsidRDefault="00D74B04" w:rsidP="00D74B04">
      <w:pPr>
        <w:rPr>
          <w:lang w:val="es-PE"/>
        </w:rPr>
      </w:pPr>
      <w:r w:rsidRPr="00E44BBC">
        <w:rPr>
          <w:lang w:val="es-PE"/>
        </w:rPr>
        <w:tab/>
      </w:r>
      <w:r w:rsidRPr="00E44BBC">
        <w:rPr>
          <w:lang w:val="es-PE"/>
        </w:rPr>
        <w:tab/>
      </w:r>
      <w:r w:rsidRPr="00E44BBC">
        <w:rPr>
          <w:lang w:val="es-PE"/>
        </w:rPr>
        <w:tab/>
      </w:r>
      <w:r w:rsidRPr="00E44BBC">
        <w:rPr>
          <w:lang w:val="es-PE"/>
        </w:rPr>
        <w:tab/>
      </w:r>
      <w:r w:rsidRPr="00E44BBC">
        <w:rPr>
          <w:lang w:val="es-PE"/>
        </w:rPr>
        <w:tab/>
      </w:r>
      <w:r w:rsidRPr="00E44BBC">
        <w:rPr>
          <w:lang w:val="es-PE"/>
        </w:rPr>
        <w:tab/>
      </w:r>
      <w:r w:rsidRPr="00E44BBC">
        <w:rPr>
          <w:lang w:val="es-PE"/>
        </w:rPr>
        <w:tab/>
        <w:t>Lima, 02 de noviembre de 2020</w:t>
      </w:r>
    </w:p>
    <w:p w14:paraId="62CB19BB" w14:textId="77777777" w:rsidR="00D74B04" w:rsidRPr="00E44BBC" w:rsidRDefault="00D74B04" w:rsidP="00D74B04">
      <w:pPr>
        <w:rPr>
          <w:lang w:val="es-PE"/>
        </w:rPr>
      </w:pPr>
    </w:p>
    <w:p w14:paraId="06985E69" w14:textId="77777777" w:rsidR="00D74B04" w:rsidRPr="00E44BBC" w:rsidRDefault="00D74B04" w:rsidP="00D74B04">
      <w:pPr>
        <w:jc w:val="both"/>
        <w:rPr>
          <w:b/>
          <w:bCs/>
          <w:i/>
          <w:iCs/>
          <w:lang w:val="es-ES_tradnl"/>
        </w:rPr>
      </w:pPr>
      <w:r w:rsidRPr="00E44BBC">
        <w:rPr>
          <w:b/>
          <w:bCs/>
          <w:i/>
          <w:iCs/>
          <w:lang w:val="es-ES_tradnl"/>
        </w:rPr>
        <w:t>La Secretaría Técnica certifica que la presente resolución cuenta con el voto de los vocales cuyos nombres figuran en el presente documento.</w:t>
      </w:r>
    </w:p>
    <w:p w14:paraId="1E6A927A" w14:textId="77777777" w:rsidR="00D74B04" w:rsidRPr="00E44BBC" w:rsidRDefault="00D74B04" w:rsidP="00D74B04">
      <w:pPr>
        <w:spacing w:line="360" w:lineRule="auto"/>
        <w:rPr>
          <w:b/>
          <w:bCs/>
        </w:rPr>
      </w:pPr>
    </w:p>
    <w:p w14:paraId="79820BDD" w14:textId="77777777" w:rsidR="00D74B04" w:rsidRPr="00E44BBC" w:rsidRDefault="00D74B04" w:rsidP="00D74B04">
      <w:pPr>
        <w:spacing w:line="360" w:lineRule="auto"/>
        <w:rPr>
          <w:b/>
          <w:bCs/>
        </w:rPr>
      </w:pPr>
    </w:p>
    <w:p w14:paraId="0D0E0A4F" w14:textId="77777777" w:rsidR="00D74B04" w:rsidRPr="00E44BBC" w:rsidRDefault="00D74B04" w:rsidP="00D74B04">
      <w:pPr>
        <w:spacing w:line="360" w:lineRule="auto"/>
        <w:jc w:val="center"/>
        <w:rPr>
          <w:b/>
          <w:bCs/>
        </w:rPr>
      </w:pPr>
      <w:r w:rsidRPr="00E44BBC">
        <w:rPr>
          <w:b/>
          <w:bCs/>
        </w:rPr>
        <w:t xml:space="preserve">Rolando Eyzaguirre </w:t>
      </w:r>
      <w:proofErr w:type="spellStart"/>
      <w:r w:rsidRPr="00E44BBC">
        <w:rPr>
          <w:b/>
          <w:bCs/>
        </w:rPr>
        <w:t>Maccan</w:t>
      </w:r>
      <w:proofErr w:type="spellEnd"/>
      <w:r w:rsidRPr="00E44BBC">
        <w:rPr>
          <w:b/>
          <w:bCs/>
        </w:rPr>
        <w:t xml:space="preserve"> – </w:t>
      </w:r>
      <w:proofErr w:type="gramStart"/>
      <w:r w:rsidRPr="00E44BBC">
        <w:rPr>
          <w:b/>
          <w:bCs/>
        </w:rPr>
        <w:t>Presidente</w:t>
      </w:r>
      <w:proofErr w:type="gramEnd"/>
    </w:p>
    <w:p w14:paraId="6EAE3743" w14:textId="77777777" w:rsidR="00D74B04" w:rsidRPr="00E44BBC" w:rsidRDefault="00D74B04" w:rsidP="00D74B04">
      <w:pPr>
        <w:spacing w:line="360" w:lineRule="auto"/>
        <w:jc w:val="center"/>
        <w:rPr>
          <w:b/>
          <w:bCs/>
        </w:rPr>
      </w:pPr>
      <w:r w:rsidRPr="00E44BBC">
        <w:rPr>
          <w:b/>
          <w:bCs/>
        </w:rPr>
        <w:t>María Eugenia Valdez Fernández Baca – Vocal</w:t>
      </w:r>
    </w:p>
    <w:p w14:paraId="2C8AF8E1" w14:textId="77777777" w:rsidR="00D74B04" w:rsidRPr="00E44BBC" w:rsidRDefault="00D74B04" w:rsidP="00D74B04">
      <w:pPr>
        <w:spacing w:line="360" w:lineRule="auto"/>
        <w:jc w:val="center"/>
        <w:rPr>
          <w:b/>
          <w:bCs/>
        </w:rPr>
      </w:pPr>
      <w:r w:rsidRPr="00E44BBC">
        <w:rPr>
          <w:b/>
          <w:bCs/>
        </w:rPr>
        <w:t>Marco Antonio Ortega Piana – Vocal</w:t>
      </w:r>
    </w:p>
    <w:p w14:paraId="6A7AAD2C" w14:textId="77777777" w:rsidR="00D74B04" w:rsidRPr="00E44BBC" w:rsidRDefault="00D74B04" w:rsidP="00D74B04">
      <w:pPr>
        <w:spacing w:line="360" w:lineRule="auto"/>
        <w:jc w:val="center"/>
      </w:pPr>
      <w:r w:rsidRPr="00E44BBC">
        <w:rPr>
          <w:b/>
          <w:bCs/>
        </w:rPr>
        <w:t>Gonzalo Abad del Busto - Vocal</w:t>
      </w:r>
    </w:p>
    <w:p w14:paraId="7F525E3A" w14:textId="77777777" w:rsidR="00D74B04" w:rsidRPr="00800B05" w:rsidRDefault="00D74B04" w:rsidP="00D74B04">
      <w:pPr>
        <w:jc w:val="both"/>
        <w:rPr>
          <w:lang w:val="es-PE"/>
        </w:rPr>
      </w:pPr>
    </w:p>
    <w:p w14:paraId="15F5D0D5" w14:textId="77777777" w:rsidR="00D74B04" w:rsidRPr="00800B05" w:rsidRDefault="00D74B04" w:rsidP="00D74B04">
      <w:pPr>
        <w:rPr>
          <w:lang w:val="es-PE"/>
        </w:rPr>
      </w:pPr>
    </w:p>
    <w:p w14:paraId="3CBE0BF9" w14:textId="77777777" w:rsidR="00EF662F" w:rsidRPr="00D74B04" w:rsidRDefault="00EF662F" w:rsidP="001B58D0">
      <w:pPr>
        <w:jc w:val="both"/>
        <w:rPr>
          <w:sz w:val="23"/>
          <w:szCs w:val="23"/>
        </w:rPr>
      </w:pPr>
    </w:p>
    <w:sectPr w:rsidR="00EF662F" w:rsidRPr="00D74B04" w:rsidSect="006706F5">
      <w:headerReference w:type="default" r:id="rId11"/>
      <w:footerReference w:type="default" r:id="rId12"/>
      <w:pgSz w:w="11907" w:h="16840" w:code="9"/>
      <w:pgMar w:top="1985"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EAF4BA" w14:textId="77777777" w:rsidR="00F0092D" w:rsidRDefault="00F0092D" w:rsidP="00D74B04">
      <w:r>
        <w:separator/>
      </w:r>
    </w:p>
  </w:endnote>
  <w:endnote w:type="continuationSeparator" w:id="0">
    <w:p w14:paraId="24A64B45" w14:textId="77777777" w:rsidR="00F0092D" w:rsidRDefault="00F0092D" w:rsidP="00D74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624274302"/>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7392AB3B" w14:textId="4988726E" w:rsidR="00D74B04" w:rsidRPr="00D74B04" w:rsidRDefault="00D74B04">
            <w:pPr>
              <w:pStyle w:val="Piedepgina"/>
              <w:jc w:val="right"/>
              <w:rPr>
                <w:sz w:val="18"/>
                <w:szCs w:val="18"/>
              </w:rPr>
            </w:pPr>
            <w:r w:rsidRPr="00D74B04">
              <w:rPr>
                <w:sz w:val="18"/>
                <w:szCs w:val="18"/>
              </w:rPr>
              <w:t xml:space="preserve">Página </w:t>
            </w:r>
            <w:r w:rsidRPr="00D74B04">
              <w:rPr>
                <w:b/>
                <w:bCs/>
                <w:sz w:val="18"/>
                <w:szCs w:val="18"/>
              </w:rPr>
              <w:fldChar w:fldCharType="begin"/>
            </w:r>
            <w:r w:rsidRPr="00D74B04">
              <w:rPr>
                <w:b/>
                <w:bCs/>
                <w:sz w:val="18"/>
                <w:szCs w:val="18"/>
              </w:rPr>
              <w:instrText>PAGE</w:instrText>
            </w:r>
            <w:r w:rsidRPr="00D74B04">
              <w:rPr>
                <w:b/>
                <w:bCs/>
                <w:sz w:val="18"/>
                <w:szCs w:val="18"/>
              </w:rPr>
              <w:fldChar w:fldCharType="separate"/>
            </w:r>
            <w:r w:rsidRPr="00D74B04">
              <w:rPr>
                <w:b/>
                <w:bCs/>
                <w:sz w:val="18"/>
                <w:szCs w:val="18"/>
              </w:rPr>
              <w:t>2</w:t>
            </w:r>
            <w:r w:rsidRPr="00D74B04">
              <w:rPr>
                <w:b/>
                <w:bCs/>
                <w:sz w:val="18"/>
                <w:szCs w:val="18"/>
              </w:rPr>
              <w:fldChar w:fldCharType="end"/>
            </w:r>
            <w:r w:rsidRPr="00D74B04">
              <w:rPr>
                <w:sz w:val="18"/>
                <w:szCs w:val="18"/>
              </w:rPr>
              <w:t xml:space="preserve"> de </w:t>
            </w:r>
            <w:r w:rsidRPr="00D74B04">
              <w:rPr>
                <w:b/>
                <w:bCs/>
                <w:sz w:val="18"/>
                <w:szCs w:val="18"/>
              </w:rPr>
              <w:fldChar w:fldCharType="begin"/>
            </w:r>
            <w:r w:rsidRPr="00D74B04">
              <w:rPr>
                <w:b/>
                <w:bCs/>
                <w:sz w:val="18"/>
                <w:szCs w:val="18"/>
              </w:rPr>
              <w:instrText>NUMPAGES</w:instrText>
            </w:r>
            <w:r w:rsidRPr="00D74B04">
              <w:rPr>
                <w:b/>
                <w:bCs/>
                <w:sz w:val="18"/>
                <w:szCs w:val="18"/>
              </w:rPr>
              <w:fldChar w:fldCharType="separate"/>
            </w:r>
            <w:r w:rsidRPr="00D74B04">
              <w:rPr>
                <w:b/>
                <w:bCs/>
                <w:sz w:val="18"/>
                <w:szCs w:val="18"/>
              </w:rPr>
              <w:t>2</w:t>
            </w:r>
            <w:r w:rsidRPr="00D74B04">
              <w:rPr>
                <w:b/>
                <w:bCs/>
                <w:sz w:val="18"/>
                <w:szCs w:val="18"/>
              </w:rPr>
              <w:fldChar w:fldCharType="end"/>
            </w:r>
          </w:p>
        </w:sdtContent>
      </w:sdt>
    </w:sdtContent>
  </w:sdt>
  <w:p w14:paraId="1034D853" w14:textId="77777777" w:rsidR="00D74B04" w:rsidRDefault="00D74B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85F620" w14:textId="77777777" w:rsidR="00F0092D" w:rsidRDefault="00F0092D" w:rsidP="00D74B04">
      <w:r>
        <w:separator/>
      </w:r>
    </w:p>
  </w:footnote>
  <w:footnote w:type="continuationSeparator" w:id="0">
    <w:p w14:paraId="72CEDE07" w14:textId="77777777" w:rsidR="00F0092D" w:rsidRDefault="00F0092D" w:rsidP="00D74B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7257F" w14:textId="47A6E1F6" w:rsidR="00D74B04" w:rsidRDefault="00D74B04">
    <w:pPr>
      <w:pStyle w:val="Encabezado"/>
    </w:pPr>
  </w:p>
  <w:p w14:paraId="4AE00DAC" w14:textId="77777777" w:rsidR="00D74B04" w:rsidRDefault="00D74B0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A37979"/>
    <w:multiLevelType w:val="hybridMultilevel"/>
    <w:tmpl w:val="F07EB022"/>
    <w:lvl w:ilvl="0" w:tplc="647ED092">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43A7DF6"/>
    <w:multiLevelType w:val="hybridMultilevel"/>
    <w:tmpl w:val="05E81198"/>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ACA"/>
    <w:rsid w:val="00032526"/>
    <w:rsid w:val="00084E51"/>
    <w:rsid w:val="000C4DE9"/>
    <w:rsid w:val="00103188"/>
    <w:rsid w:val="001B58D0"/>
    <w:rsid w:val="00262941"/>
    <w:rsid w:val="0032570B"/>
    <w:rsid w:val="00417E23"/>
    <w:rsid w:val="005534CC"/>
    <w:rsid w:val="005656F4"/>
    <w:rsid w:val="0058358B"/>
    <w:rsid w:val="007C2FC5"/>
    <w:rsid w:val="0087075A"/>
    <w:rsid w:val="008930FB"/>
    <w:rsid w:val="008A302F"/>
    <w:rsid w:val="00964A1B"/>
    <w:rsid w:val="00A223FC"/>
    <w:rsid w:val="00A92D66"/>
    <w:rsid w:val="00A950E9"/>
    <w:rsid w:val="00B312EE"/>
    <w:rsid w:val="00C82DA8"/>
    <w:rsid w:val="00D15C1E"/>
    <w:rsid w:val="00D74B04"/>
    <w:rsid w:val="00D86E87"/>
    <w:rsid w:val="00E12857"/>
    <w:rsid w:val="00E44BBC"/>
    <w:rsid w:val="00EF662F"/>
    <w:rsid w:val="00F0092D"/>
    <w:rsid w:val="00F029DD"/>
    <w:rsid w:val="00F14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A866F"/>
  <w15:chartTrackingRefBased/>
  <w15:docId w15:val="{A669EB79-0A52-4562-8B85-DD166A784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AC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F14ACA"/>
    <w:pPr>
      <w:jc w:val="center"/>
    </w:pPr>
    <w:rPr>
      <w:b/>
      <w:bCs/>
      <w:lang w:val="es-MX"/>
    </w:rPr>
  </w:style>
  <w:style w:type="character" w:customStyle="1" w:styleId="TtuloCar">
    <w:name w:val="Título Car"/>
    <w:basedOn w:val="Fuentedeprrafopredeter"/>
    <w:link w:val="Ttulo"/>
    <w:rsid w:val="00F14ACA"/>
    <w:rPr>
      <w:rFonts w:ascii="Times New Roman" w:eastAsia="Times New Roman" w:hAnsi="Times New Roman" w:cs="Times New Roman"/>
      <w:b/>
      <w:bCs/>
      <w:sz w:val="24"/>
      <w:szCs w:val="24"/>
      <w:lang w:val="es-MX" w:eastAsia="es-ES"/>
    </w:rPr>
  </w:style>
  <w:style w:type="character" w:styleId="Textoennegrita">
    <w:name w:val="Strong"/>
    <w:qFormat/>
    <w:rsid w:val="00F14ACA"/>
    <w:rPr>
      <w:b/>
      <w:bCs/>
    </w:rPr>
  </w:style>
  <w:style w:type="paragraph" w:styleId="Prrafodelista">
    <w:name w:val="List Paragraph"/>
    <w:basedOn w:val="Normal"/>
    <w:uiPriority w:val="34"/>
    <w:qFormat/>
    <w:rsid w:val="00F14ACA"/>
    <w:pPr>
      <w:spacing w:after="200" w:line="276" w:lineRule="auto"/>
      <w:ind w:left="720"/>
      <w:contextualSpacing/>
    </w:pPr>
    <w:rPr>
      <w:rFonts w:ascii="Calibri" w:eastAsia="Calibri" w:hAnsi="Calibri"/>
      <w:sz w:val="22"/>
      <w:szCs w:val="22"/>
      <w:lang w:val="es-PE" w:eastAsia="en-US"/>
    </w:rPr>
  </w:style>
  <w:style w:type="paragraph" w:styleId="NormalWeb">
    <w:name w:val="Normal (Web)"/>
    <w:basedOn w:val="Normal"/>
    <w:uiPriority w:val="99"/>
    <w:unhideWhenUsed/>
    <w:rsid w:val="00F14ACA"/>
  </w:style>
  <w:style w:type="paragraph" w:styleId="Encabezado">
    <w:name w:val="header"/>
    <w:basedOn w:val="Normal"/>
    <w:link w:val="EncabezadoCar"/>
    <w:uiPriority w:val="99"/>
    <w:unhideWhenUsed/>
    <w:rsid w:val="00D74B04"/>
    <w:pPr>
      <w:tabs>
        <w:tab w:val="center" w:pos="4252"/>
        <w:tab w:val="right" w:pos="8504"/>
      </w:tabs>
    </w:pPr>
  </w:style>
  <w:style w:type="character" w:customStyle="1" w:styleId="EncabezadoCar">
    <w:name w:val="Encabezado Car"/>
    <w:basedOn w:val="Fuentedeprrafopredeter"/>
    <w:link w:val="Encabezado"/>
    <w:uiPriority w:val="99"/>
    <w:rsid w:val="00D74B0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D74B04"/>
    <w:pPr>
      <w:tabs>
        <w:tab w:val="center" w:pos="4252"/>
        <w:tab w:val="right" w:pos="8504"/>
      </w:tabs>
    </w:pPr>
  </w:style>
  <w:style w:type="character" w:customStyle="1" w:styleId="PiedepginaCar">
    <w:name w:val="Pie de página Car"/>
    <w:basedOn w:val="Fuentedeprrafopredeter"/>
    <w:link w:val="Piedepgina"/>
    <w:uiPriority w:val="99"/>
    <w:rsid w:val="00D74B04"/>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924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1516</Words>
  <Characters>8340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Eugenia Valdez</dc:creator>
  <cp:keywords/>
  <dc:description/>
  <cp:lastModifiedBy>Aló Seguros</cp:lastModifiedBy>
  <cp:revision>4</cp:revision>
  <cp:lastPrinted>2020-11-03T13:16:00Z</cp:lastPrinted>
  <dcterms:created xsi:type="dcterms:W3CDTF">2020-11-03T13:16:00Z</dcterms:created>
  <dcterms:modified xsi:type="dcterms:W3CDTF">2021-02-24T21:26:00Z</dcterms:modified>
</cp:coreProperties>
</file>