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69A28F79" w:rsidR="00DA743E" w:rsidRPr="007C4041"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7C4041">
        <w:rPr>
          <w:rFonts w:ascii="Times New Roman" w:eastAsia="Times New Roman" w:hAnsi="Times New Roman" w:cs="Times New Roman"/>
          <w:b/>
          <w:bCs/>
          <w:sz w:val="24"/>
          <w:szCs w:val="24"/>
          <w:lang w:val="es-PE" w:eastAsia="es-ES"/>
        </w:rPr>
        <w:t xml:space="preserve">RESOLUCIÓN </w:t>
      </w:r>
      <w:proofErr w:type="spellStart"/>
      <w:r w:rsidRPr="007C4041">
        <w:rPr>
          <w:rFonts w:ascii="Times New Roman" w:eastAsia="Times New Roman" w:hAnsi="Times New Roman" w:cs="Times New Roman"/>
          <w:b/>
          <w:bCs/>
          <w:sz w:val="24"/>
          <w:szCs w:val="24"/>
          <w:lang w:val="es-PE" w:eastAsia="es-ES"/>
        </w:rPr>
        <w:t>N</w:t>
      </w:r>
      <w:r w:rsidR="00970849" w:rsidRPr="007C4041">
        <w:rPr>
          <w:rFonts w:ascii="Times New Roman" w:eastAsia="Times New Roman" w:hAnsi="Times New Roman" w:cs="Times New Roman"/>
          <w:b/>
          <w:bCs/>
          <w:sz w:val="24"/>
          <w:szCs w:val="24"/>
          <w:lang w:val="es-PE" w:eastAsia="es-ES"/>
        </w:rPr>
        <w:t>°</w:t>
      </w:r>
      <w:proofErr w:type="spellEnd"/>
      <w:r w:rsidR="00970849" w:rsidRPr="007C4041">
        <w:rPr>
          <w:rFonts w:ascii="Times New Roman" w:eastAsia="Times New Roman" w:hAnsi="Times New Roman" w:cs="Times New Roman"/>
          <w:b/>
          <w:bCs/>
          <w:sz w:val="24"/>
          <w:szCs w:val="24"/>
          <w:lang w:val="es-PE" w:eastAsia="es-ES"/>
        </w:rPr>
        <w:t xml:space="preserve"> 1</w:t>
      </w:r>
      <w:r w:rsidR="003E4FEA" w:rsidRPr="007C4041">
        <w:rPr>
          <w:rFonts w:ascii="Times New Roman" w:eastAsia="Times New Roman" w:hAnsi="Times New Roman" w:cs="Times New Roman"/>
          <w:b/>
          <w:bCs/>
          <w:sz w:val="24"/>
          <w:szCs w:val="24"/>
          <w:lang w:val="es-PE" w:eastAsia="es-ES"/>
        </w:rPr>
        <w:t>30</w:t>
      </w:r>
      <w:r w:rsidR="00970849" w:rsidRPr="007C4041">
        <w:rPr>
          <w:rFonts w:ascii="Times New Roman" w:eastAsia="Times New Roman" w:hAnsi="Times New Roman" w:cs="Times New Roman"/>
          <w:b/>
          <w:bCs/>
          <w:sz w:val="24"/>
          <w:szCs w:val="24"/>
          <w:lang w:val="es-PE" w:eastAsia="es-ES"/>
        </w:rPr>
        <w:t>/20</w:t>
      </w:r>
    </w:p>
    <w:p w14:paraId="3B8D80CF" w14:textId="7E47AD2A" w:rsidR="00DA743E" w:rsidRPr="007C4041"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7C4041" w:rsidRDefault="00A26860" w:rsidP="00DA743E">
      <w:pPr>
        <w:spacing w:after="0" w:line="240" w:lineRule="auto"/>
        <w:rPr>
          <w:rFonts w:ascii="Times New Roman" w:eastAsia="Times New Roman" w:hAnsi="Times New Roman" w:cs="Times New Roman"/>
          <w:b/>
          <w:bCs/>
          <w:sz w:val="24"/>
          <w:szCs w:val="24"/>
          <w:lang w:val="es-PE" w:eastAsia="es-ES"/>
        </w:rPr>
      </w:pPr>
    </w:p>
    <w:p w14:paraId="6A4DA8D6" w14:textId="77777777" w:rsidR="007C4041" w:rsidRPr="00A8133F" w:rsidRDefault="007C4041" w:rsidP="007C4041">
      <w:pPr>
        <w:rPr>
          <w:rFonts w:ascii="Times New Roman" w:hAnsi="Times New Roman" w:cs="Times New Roman"/>
          <w:b/>
          <w:sz w:val="24"/>
          <w:szCs w:val="24"/>
          <w:lang w:val="es-PE"/>
        </w:rPr>
      </w:pPr>
      <w:r w:rsidRPr="00A8133F">
        <w:rPr>
          <w:rFonts w:ascii="Times New Roman" w:hAnsi="Times New Roman" w:cs="Times New Roman"/>
          <w:b/>
          <w:sz w:val="24"/>
          <w:szCs w:val="24"/>
          <w:lang w:val="es-PE"/>
        </w:rPr>
        <w:t>VISTOS:</w:t>
      </w:r>
    </w:p>
    <w:p w14:paraId="40530C28" w14:textId="758B2459" w:rsidR="007C4041" w:rsidRPr="00A8133F" w:rsidRDefault="007C4041" w:rsidP="007C4041">
      <w:pPr>
        <w:jc w:val="both"/>
        <w:rPr>
          <w:rFonts w:ascii="Times New Roman" w:hAnsi="Times New Roman" w:cs="Times New Roman"/>
          <w:sz w:val="24"/>
          <w:szCs w:val="24"/>
          <w:lang w:val="es-PE"/>
        </w:rPr>
      </w:pPr>
      <w:r w:rsidRPr="00A8133F">
        <w:rPr>
          <w:rFonts w:ascii="Times New Roman" w:hAnsi="Times New Roman" w:cs="Times New Roman"/>
          <w:sz w:val="24"/>
          <w:szCs w:val="24"/>
          <w:lang w:val="es-PE"/>
        </w:rPr>
        <w:t xml:space="preserve">Que, </w:t>
      </w:r>
      <w:r w:rsidR="00A8133F" w:rsidRPr="00A8133F">
        <w:rPr>
          <w:rFonts w:ascii="Times New Roman" w:hAnsi="Times New Roman" w:cs="Times New Roman"/>
          <w:sz w:val="24"/>
          <w:szCs w:val="24"/>
        </w:rPr>
        <w:t>..................</w:t>
      </w:r>
      <w:r w:rsidR="00A8133F" w:rsidRPr="00A8133F">
        <w:rPr>
          <w:rFonts w:ascii="Times New Roman" w:hAnsi="Times New Roman" w:cs="Times New Roman"/>
          <w:sz w:val="24"/>
          <w:szCs w:val="24"/>
        </w:rPr>
        <w:t xml:space="preserve"> </w:t>
      </w:r>
      <w:r w:rsidRPr="00A8133F">
        <w:rPr>
          <w:rFonts w:ascii="Times New Roman" w:hAnsi="Times New Roman" w:cs="Times New Roman"/>
          <w:bCs/>
          <w:sz w:val="24"/>
          <w:szCs w:val="24"/>
          <w:lang w:val="es-PE"/>
        </w:rPr>
        <w:t xml:space="preserve">interpone </w:t>
      </w:r>
      <w:r w:rsidRPr="00A8133F">
        <w:rPr>
          <w:rFonts w:ascii="Times New Roman" w:hAnsi="Times New Roman" w:cs="Times New Roman"/>
          <w:sz w:val="24"/>
          <w:szCs w:val="24"/>
          <w:lang w:val="es-PE"/>
        </w:rPr>
        <w:t xml:space="preserve">reclamación ante esta Defensoría del Asegurado (DEFASEG) contra </w:t>
      </w:r>
      <w:r w:rsidR="00A8133F" w:rsidRPr="00A8133F">
        <w:rPr>
          <w:rFonts w:ascii="Times New Roman" w:hAnsi="Times New Roman" w:cs="Times New Roman"/>
          <w:sz w:val="24"/>
          <w:szCs w:val="24"/>
        </w:rPr>
        <w:t>..................</w:t>
      </w:r>
      <w:r w:rsidRPr="00A8133F">
        <w:rPr>
          <w:rFonts w:ascii="Times New Roman" w:hAnsi="Times New Roman" w:cs="Times New Roman"/>
          <w:bCs/>
          <w:sz w:val="24"/>
          <w:szCs w:val="24"/>
          <w:lang w:val="es-PE"/>
        </w:rPr>
        <w:t>, solicitando se le</w:t>
      </w:r>
      <w:r w:rsidRPr="00A8133F">
        <w:rPr>
          <w:rFonts w:ascii="Times New Roman" w:hAnsi="Times New Roman" w:cs="Times New Roman"/>
          <w:sz w:val="24"/>
          <w:szCs w:val="24"/>
          <w:lang w:val="es-PE"/>
        </w:rPr>
        <w:t xml:space="preserve"> otorgue la cobertura del</w:t>
      </w:r>
      <w:r w:rsidRPr="00A8133F">
        <w:rPr>
          <w:rFonts w:ascii="Times New Roman" w:hAnsi="Times New Roman" w:cs="Times New Roman"/>
          <w:b/>
          <w:sz w:val="24"/>
          <w:szCs w:val="24"/>
          <w:lang w:val="es-PE"/>
        </w:rPr>
        <w:t xml:space="preserve"> SEGURO PROTECCIÓN DE TARJETA - PÓLIZA </w:t>
      </w:r>
      <w:bookmarkStart w:id="0" w:name="OLE_LINK2"/>
      <w:r w:rsidR="00A8133F" w:rsidRPr="00A8133F">
        <w:rPr>
          <w:rFonts w:ascii="Times New Roman" w:hAnsi="Times New Roman" w:cs="Times New Roman"/>
          <w:sz w:val="24"/>
          <w:szCs w:val="24"/>
        </w:rPr>
        <w:t>..................</w:t>
      </w:r>
      <w:r w:rsidRPr="00A8133F">
        <w:rPr>
          <w:rFonts w:ascii="Times New Roman" w:hAnsi="Times New Roman" w:cs="Times New Roman"/>
          <w:sz w:val="24"/>
          <w:szCs w:val="24"/>
          <w:lang w:val="es-PE"/>
        </w:rPr>
        <w:t>.</w:t>
      </w:r>
    </w:p>
    <w:bookmarkEnd w:id="0"/>
    <w:p w14:paraId="4D064262" w14:textId="77777777" w:rsidR="007C4041" w:rsidRPr="007C4041" w:rsidRDefault="007C4041" w:rsidP="007C4041">
      <w:pPr>
        <w:spacing w:after="0" w:line="240" w:lineRule="auto"/>
        <w:jc w:val="both"/>
        <w:rPr>
          <w:rFonts w:ascii="Times New Roman" w:eastAsia="Arial Unicode MS" w:hAnsi="Times New Roman" w:cs="Times New Roman"/>
          <w:sz w:val="24"/>
          <w:szCs w:val="24"/>
          <w:lang w:val="es-PE"/>
        </w:rPr>
      </w:pPr>
      <w:r w:rsidRPr="00A8133F">
        <w:rPr>
          <w:rFonts w:ascii="Times New Roman" w:eastAsia="Arial Unicode MS" w:hAnsi="Times New Roman" w:cs="Times New Roman"/>
          <w:sz w:val="24"/>
          <w:szCs w:val="24"/>
          <w:lang w:val="es-PE"/>
        </w:rPr>
        <w:t>Que, la señalada reclamación cumple con los requisitos</w:t>
      </w:r>
      <w:r w:rsidRPr="007C4041">
        <w:rPr>
          <w:rFonts w:ascii="Times New Roman" w:eastAsia="Arial Unicode MS" w:hAnsi="Times New Roman" w:cs="Times New Roman"/>
          <w:sz w:val="24"/>
          <w:szCs w:val="24"/>
          <w:lang w:val="es-PE"/>
        </w:rPr>
        <w:t xml:space="preserve"> de materia, cuantía y oportunidad establecidos en el Reglamento de la DEFASEG (http://www.defaseg.com.pe/reglamento).</w:t>
      </w:r>
    </w:p>
    <w:p w14:paraId="042D7A01" w14:textId="77777777" w:rsidR="007C4041" w:rsidRPr="007C4041" w:rsidRDefault="007C4041" w:rsidP="007C4041">
      <w:pPr>
        <w:tabs>
          <w:tab w:val="left" w:pos="2160"/>
        </w:tabs>
        <w:spacing w:after="0" w:line="240" w:lineRule="auto"/>
        <w:jc w:val="both"/>
        <w:rPr>
          <w:rFonts w:ascii="Times New Roman" w:eastAsia="Calibri" w:hAnsi="Times New Roman" w:cs="Times New Roman"/>
          <w:sz w:val="24"/>
          <w:szCs w:val="24"/>
          <w:lang w:val="es-PE"/>
        </w:rPr>
      </w:pPr>
    </w:p>
    <w:p w14:paraId="5FAE2804" w14:textId="77777777" w:rsidR="007C4041" w:rsidRPr="007C4041" w:rsidRDefault="007C4041" w:rsidP="007C4041">
      <w:pPr>
        <w:tabs>
          <w:tab w:val="num" w:pos="720"/>
        </w:tabs>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14:paraId="37420F60" w14:textId="77777777" w:rsidR="007C4041" w:rsidRPr="007C4041" w:rsidRDefault="007C4041" w:rsidP="007C4041">
      <w:pPr>
        <w:tabs>
          <w:tab w:val="left" w:pos="2160"/>
        </w:tabs>
        <w:spacing w:after="0" w:line="240" w:lineRule="auto"/>
        <w:jc w:val="both"/>
        <w:rPr>
          <w:rFonts w:ascii="Times New Roman" w:eastAsia="Calibri" w:hAnsi="Times New Roman" w:cs="Times New Roman"/>
          <w:sz w:val="24"/>
          <w:szCs w:val="24"/>
          <w:lang w:val="es-PE"/>
        </w:rPr>
      </w:pPr>
    </w:p>
    <w:p w14:paraId="7C549B41" w14:textId="77777777" w:rsidR="007C4041" w:rsidRPr="007C4041" w:rsidRDefault="007C4041" w:rsidP="007C4041">
      <w:pPr>
        <w:tabs>
          <w:tab w:val="num" w:pos="720"/>
        </w:tabs>
        <w:spacing w:after="0" w:line="240" w:lineRule="auto"/>
        <w:jc w:val="both"/>
        <w:rPr>
          <w:rFonts w:ascii="Times New Roman" w:hAnsi="Times New Roman" w:cs="Times New Roman"/>
          <w:sz w:val="24"/>
          <w:szCs w:val="24"/>
          <w:lang w:val="es-PE"/>
        </w:rPr>
      </w:pPr>
      <w:r w:rsidRPr="007C4041">
        <w:rPr>
          <w:rFonts w:ascii="Times New Roman" w:hAnsi="Times New Roman" w:cs="Times New Roman"/>
          <w:sz w:val="24"/>
          <w:szCs w:val="24"/>
          <w:lang w:val="es-PE"/>
        </w:rPr>
        <w:t xml:space="preserve">Que, habiéndosele corrido traslado de la respectiva reclamación, la aseguradora presentó sus descargos y la documentación solicitada. </w:t>
      </w:r>
    </w:p>
    <w:p w14:paraId="54D51475" w14:textId="77777777" w:rsidR="007C4041" w:rsidRPr="007C4041" w:rsidRDefault="007C4041" w:rsidP="007C4041">
      <w:pPr>
        <w:tabs>
          <w:tab w:val="num" w:pos="720"/>
        </w:tabs>
        <w:spacing w:after="0" w:line="240" w:lineRule="auto"/>
        <w:jc w:val="both"/>
        <w:rPr>
          <w:rFonts w:ascii="Times New Roman" w:hAnsi="Times New Roman" w:cs="Times New Roman"/>
          <w:sz w:val="24"/>
          <w:szCs w:val="24"/>
          <w:lang w:val="es-PE"/>
        </w:rPr>
      </w:pPr>
    </w:p>
    <w:p w14:paraId="0D7EB27C" w14:textId="77777777" w:rsidR="007C4041" w:rsidRPr="007C4041" w:rsidRDefault="007C4041" w:rsidP="007C4041">
      <w:pPr>
        <w:tabs>
          <w:tab w:val="num" w:pos="720"/>
        </w:tabs>
        <w:spacing w:after="0" w:line="240" w:lineRule="auto"/>
        <w:jc w:val="both"/>
        <w:rPr>
          <w:rFonts w:ascii="Times New Roman" w:hAnsi="Times New Roman" w:cs="Times New Roman"/>
          <w:sz w:val="24"/>
          <w:szCs w:val="24"/>
          <w:lang w:val="es-PE"/>
        </w:rPr>
      </w:pPr>
      <w:r w:rsidRPr="007C4041">
        <w:rPr>
          <w:rFonts w:ascii="Times New Roman" w:hAnsi="Times New Roman" w:cs="Times New Roman"/>
          <w:sz w:val="24"/>
          <w:szCs w:val="24"/>
          <w:lang w:val="es-PE"/>
        </w:rPr>
        <w:t xml:space="preserve">Que, el 9 de noviembre de 2020 se realizó la audiencia de vista virtual con la participación de las partes, las que sustentaron sus posiciones y absolvieron las preguntas formuladas por este colegiado, conforme consta en la correspondiente acta; </w:t>
      </w:r>
    </w:p>
    <w:p w14:paraId="5091FAB0" w14:textId="77777777" w:rsidR="007C4041" w:rsidRPr="007C4041" w:rsidRDefault="007C4041" w:rsidP="007C4041">
      <w:pPr>
        <w:spacing w:after="0" w:line="240" w:lineRule="auto"/>
        <w:jc w:val="both"/>
        <w:rPr>
          <w:rFonts w:ascii="Times New Roman" w:hAnsi="Times New Roman" w:cs="Times New Roman"/>
          <w:sz w:val="24"/>
          <w:szCs w:val="24"/>
          <w:lang w:val="es-PE"/>
        </w:rPr>
      </w:pPr>
    </w:p>
    <w:p w14:paraId="0B4B2242" w14:textId="2DE5EC8C" w:rsidR="007C4041" w:rsidRPr="007C4041" w:rsidRDefault="007C4041" w:rsidP="007C4041">
      <w:pPr>
        <w:jc w:val="both"/>
        <w:rPr>
          <w:rFonts w:ascii="Times New Roman" w:hAnsi="Times New Roman" w:cs="Times New Roman"/>
          <w:sz w:val="24"/>
          <w:szCs w:val="24"/>
          <w:lang w:val="es-PE"/>
        </w:rPr>
      </w:pPr>
      <w:r w:rsidRPr="007C4041">
        <w:rPr>
          <w:rFonts w:ascii="Times New Roman" w:hAnsi="Times New Roman" w:cs="Times New Roman"/>
          <w:sz w:val="24"/>
          <w:szCs w:val="24"/>
          <w:lang w:val="es-PE"/>
        </w:rPr>
        <w:t xml:space="preserve">Que, en síntesis, la posición de la reclamante es la siguiente: (1) el 2 de julio del 2020, aproximadamente a las doce del mediodía, se acercó al </w:t>
      </w:r>
      <w:r w:rsidR="00A8133F" w:rsidRPr="007C4041">
        <w:rPr>
          <w:rFonts w:ascii="Times New Roman" w:hAnsi="Times New Roman" w:cs="Times New Roman"/>
          <w:sz w:val="24"/>
          <w:szCs w:val="24"/>
          <w:lang w:val="es-PE"/>
        </w:rPr>
        <w:t xml:space="preserve">Banco </w:t>
      </w:r>
      <w:r w:rsidR="00A8133F" w:rsidRPr="00A8133F">
        <w:rPr>
          <w:rFonts w:ascii="Times New Roman" w:hAnsi="Times New Roman" w:cs="Times New Roman"/>
          <w:bCs/>
          <w:sz w:val="24"/>
          <w:szCs w:val="24"/>
          <w:lang w:val="es-PE"/>
        </w:rPr>
        <w:t>...................</w:t>
      </w:r>
      <w:r w:rsidR="00A8133F">
        <w:rPr>
          <w:rFonts w:ascii="Times New Roman" w:hAnsi="Times New Roman" w:cs="Times New Roman"/>
          <w:sz w:val="24"/>
          <w:szCs w:val="24"/>
          <w:lang w:val="es-PE"/>
        </w:rPr>
        <w:t xml:space="preserve"> </w:t>
      </w:r>
      <w:r w:rsidRPr="007C4041">
        <w:rPr>
          <w:rFonts w:ascii="Times New Roman" w:hAnsi="Times New Roman" w:cs="Times New Roman"/>
          <w:sz w:val="24"/>
          <w:szCs w:val="24"/>
          <w:lang w:val="es-PE"/>
        </w:rPr>
        <w:t xml:space="preserve">a retirar su pensión de S/.2000. De ahí se trasladó a la Municipalidad de Chorrillos a pagar arbitrios y al momento de hacer el pago en la ventanilla, sintió que un señor pasó delante de ella, muy cerca, luego de lo cual, revisó su bolso y se percató que no tenía el dinero que había retirado del Banco, ni su tarjeta, ni su DNI; (2) se acercó al Banco a bloquear la tarjeta para evitar algún mal uso y, posteriormente fue a hacer la denuncia a la comisaría; (3) dos días después del hecho, presentó su solicitud de cobertura acompañando la denuncia policial, copia de los váuchers de retiro, código de bloqueo, copia de DNI; (4) pasó un mes y la aseguradora sólo le informó que no había recibido ningún papel sobre la solicitud de cobertura, por lo que volvió al Banco </w:t>
      </w:r>
      <w:r w:rsidR="00A8133F" w:rsidRPr="00A8133F">
        <w:rPr>
          <w:rFonts w:ascii="Times New Roman" w:hAnsi="Times New Roman" w:cs="Times New Roman"/>
          <w:bCs/>
          <w:sz w:val="24"/>
          <w:szCs w:val="24"/>
          <w:lang w:val="es-PE"/>
        </w:rPr>
        <w:t>...................</w:t>
      </w:r>
      <w:r w:rsidR="00A8133F">
        <w:rPr>
          <w:rFonts w:ascii="Times New Roman" w:hAnsi="Times New Roman" w:cs="Times New Roman"/>
          <w:bCs/>
          <w:sz w:val="24"/>
          <w:szCs w:val="24"/>
          <w:lang w:val="es-PE"/>
        </w:rPr>
        <w:t xml:space="preserve"> </w:t>
      </w:r>
      <w:r w:rsidRPr="007C4041">
        <w:rPr>
          <w:rFonts w:ascii="Times New Roman" w:hAnsi="Times New Roman" w:cs="Times New Roman"/>
          <w:sz w:val="24"/>
          <w:szCs w:val="24"/>
          <w:lang w:val="es-PE"/>
        </w:rPr>
        <w:t xml:space="preserve">y, ahí le informaron que habían extraviado sus papeles y que los vuelva a presentar. </w:t>
      </w:r>
    </w:p>
    <w:p w14:paraId="5C6DFC2A" w14:textId="7191CC8C" w:rsidR="007C4041" w:rsidRPr="007C4041" w:rsidRDefault="007C4041" w:rsidP="007C4041">
      <w:pPr>
        <w:jc w:val="both"/>
        <w:rPr>
          <w:rFonts w:ascii="Times New Roman" w:hAnsi="Times New Roman" w:cs="Times New Roman"/>
          <w:sz w:val="24"/>
          <w:szCs w:val="24"/>
          <w:lang w:val="es-PE"/>
        </w:rPr>
      </w:pPr>
      <w:r w:rsidRPr="007C4041">
        <w:rPr>
          <w:rFonts w:ascii="Times New Roman" w:hAnsi="Times New Roman" w:cs="Times New Roman"/>
          <w:sz w:val="24"/>
          <w:szCs w:val="24"/>
          <w:lang w:val="es-PE"/>
        </w:rPr>
        <w:t xml:space="preserve">Que, por su parte y en resumen la compañía de seguros sostiene que: (1) </w:t>
      </w:r>
      <w:bookmarkStart w:id="1" w:name="_Hlk26782560"/>
      <w:r w:rsidRPr="007C4041">
        <w:rPr>
          <w:rFonts w:ascii="Times New Roman" w:hAnsi="Times New Roman" w:cs="Times New Roman"/>
          <w:sz w:val="24"/>
          <w:szCs w:val="24"/>
          <w:lang w:val="es-PE"/>
        </w:rPr>
        <w:t xml:space="preserve">el siniestro que sufrió la asegurada fue un hurto, evento que no se encuentra amparado bajo la póliza contratada, debido a que el seguro se extiende a cubrir únicamente el evento de robo de dinero; (2) la solicitud de cobertura se presentó el 4 de septiembre del presente año; (3) la denuncia policial de fecha 02 de julio de 2020, se señaló que la asegurada había sufrido un hurto del dinero retirado en el Banco </w:t>
      </w:r>
      <w:r w:rsidR="00D77AC6" w:rsidRPr="00A8133F">
        <w:rPr>
          <w:rFonts w:ascii="Times New Roman" w:hAnsi="Times New Roman" w:cs="Times New Roman"/>
          <w:sz w:val="24"/>
          <w:szCs w:val="24"/>
        </w:rPr>
        <w:t>..................</w:t>
      </w:r>
      <w:r w:rsidRPr="007C4041">
        <w:rPr>
          <w:rFonts w:ascii="Times New Roman" w:hAnsi="Times New Roman" w:cs="Times New Roman"/>
          <w:sz w:val="24"/>
          <w:szCs w:val="24"/>
          <w:lang w:val="es-PE"/>
        </w:rPr>
        <w:t xml:space="preserve">; (4)  al momento de la sustracción del dinero (bien mueble) del bolso de la reclamante no medió violencia o amenaza contra la misma, configurándose entonces la modalidad de Hurto; y, no de robo; (5) acompaña el </w:t>
      </w:r>
      <w:proofErr w:type="spellStart"/>
      <w:r w:rsidRPr="007C4041">
        <w:rPr>
          <w:rFonts w:ascii="Times New Roman" w:hAnsi="Times New Roman" w:cs="Times New Roman"/>
          <w:sz w:val="24"/>
          <w:szCs w:val="24"/>
          <w:lang w:val="es-PE"/>
        </w:rPr>
        <w:t>voucher</w:t>
      </w:r>
      <w:proofErr w:type="spellEnd"/>
      <w:r w:rsidRPr="007C4041">
        <w:rPr>
          <w:rFonts w:ascii="Times New Roman" w:hAnsi="Times New Roman" w:cs="Times New Roman"/>
          <w:sz w:val="24"/>
          <w:szCs w:val="24"/>
          <w:lang w:val="es-PE"/>
        </w:rPr>
        <w:t xml:space="preserve"> de contratación de seguro Póliza </w:t>
      </w:r>
      <w:proofErr w:type="spellStart"/>
      <w:r w:rsidRPr="007C4041">
        <w:rPr>
          <w:rFonts w:ascii="Times New Roman" w:hAnsi="Times New Roman" w:cs="Times New Roman"/>
          <w:sz w:val="24"/>
          <w:szCs w:val="24"/>
          <w:lang w:val="es-PE"/>
        </w:rPr>
        <w:t>N°</w:t>
      </w:r>
      <w:proofErr w:type="spellEnd"/>
      <w:r w:rsidRPr="007C4041">
        <w:rPr>
          <w:rFonts w:ascii="Times New Roman" w:hAnsi="Times New Roman" w:cs="Times New Roman"/>
          <w:sz w:val="24"/>
          <w:szCs w:val="24"/>
          <w:lang w:val="es-PE"/>
        </w:rPr>
        <w:t xml:space="preserve"> </w:t>
      </w:r>
      <w:r w:rsidR="00A8133F" w:rsidRPr="00A8133F">
        <w:rPr>
          <w:rFonts w:ascii="Times New Roman" w:hAnsi="Times New Roman" w:cs="Times New Roman"/>
          <w:bCs/>
          <w:sz w:val="24"/>
          <w:szCs w:val="24"/>
          <w:lang w:val="es-PE"/>
        </w:rPr>
        <w:t>...................</w:t>
      </w:r>
      <w:r w:rsidR="00A8133F">
        <w:rPr>
          <w:rFonts w:ascii="Times New Roman" w:hAnsi="Times New Roman" w:cs="Times New Roman"/>
          <w:bCs/>
          <w:sz w:val="24"/>
          <w:szCs w:val="24"/>
          <w:lang w:val="es-PE"/>
        </w:rPr>
        <w:t xml:space="preserve"> </w:t>
      </w:r>
      <w:r w:rsidRPr="007C4041">
        <w:rPr>
          <w:rFonts w:ascii="Times New Roman" w:hAnsi="Times New Roman" w:cs="Times New Roman"/>
          <w:b/>
          <w:bCs/>
          <w:sz w:val="24"/>
          <w:szCs w:val="24"/>
          <w:lang w:val="es-PE"/>
        </w:rPr>
        <w:t xml:space="preserve"> </w:t>
      </w:r>
      <w:r w:rsidRPr="007C4041">
        <w:rPr>
          <w:rFonts w:ascii="Times New Roman" w:hAnsi="Times New Roman" w:cs="Times New Roman"/>
          <w:sz w:val="24"/>
          <w:szCs w:val="24"/>
          <w:lang w:val="es-PE"/>
        </w:rPr>
        <w:t xml:space="preserve">el mismo que se realizó con la clave secreta conocida únicamente por la reclamante; (6) en el escrito de </w:t>
      </w:r>
      <w:r w:rsidRPr="007C4041">
        <w:rPr>
          <w:rFonts w:ascii="Times New Roman" w:hAnsi="Times New Roman" w:cs="Times New Roman"/>
          <w:sz w:val="24"/>
          <w:szCs w:val="24"/>
          <w:lang w:val="es-PE"/>
        </w:rPr>
        <w:lastRenderedPageBreak/>
        <w:t xml:space="preserve">reclamo no se invoca el hecho de desconocer el contenido de las cláusulas contractuales, o que el Banco no le haya brindado copia de la Póliza contratada al momento de la autorización de la contratación del seguro. </w:t>
      </w:r>
    </w:p>
    <w:bookmarkEnd w:id="1"/>
    <w:p w14:paraId="026FCE53" w14:textId="77777777" w:rsidR="007C4041" w:rsidRPr="007C4041" w:rsidRDefault="007C4041" w:rsidP="007C4041">
      <w:pPr>
        <w:spacing w:line="240" w:lineRule="auto"/>
        <w:jc w:val="both"/>
        <w:rPr>
          <w:rFonts w:ascii="Times New Roman" w:hAnsi="Times New Roman" w:cs="Times New Roman"/>
          <w:b/>
          <w:sz w:val="24"/>
          <w:szCs w:val="24"/>
          <w:lang w:val="es-PE"/>
        </w:rPr>
      </w:pPr>
      <w:r w:rsidRPr="007C4041">
        <w:rPr>
          <w:rFonts w:ascii="Times New Roman" w:hAnsi="Times New Roman" w:cs="Times New Roman"/>
          <w:b/>
          <w:sz w:val="24"/>
          <w:szCs w:val="24"/>
          <w:lang w:val="es-PE"/>
        </w:rPr>
        <w:t xml:space="preserve">CONSIDERANDO: </w:t>
      </w:r>
    </w:p>
    <w:p w14:paraId="164AEB52"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hAnsi="Times New Roman" w:cs="Times New Roman"/>
          <w:b/>
          <w:sz w:val="24"/>
          <w:szCs w:val="24"/>
          <w:u w:val="single"/>
          <w:lang w:val="es-PE"/>
        </w:rPr>
        <w:t>PRIMERO</w:t>
      </w:r>
      <w:r w:rsidRPr="007C4041">
        <w:rPr>
          <w:rFonts w:ascii="Times New Roman" w:hAnsi="Times New Roman" w:cs="Times New Roman"/>
          <w:sz w:val="24"/>
          <w:szCs w:val="24"/>
          <w:lang w:val="es-PE"/>
        </w:rPr>
        <w:t xml:space="preserve">: </w:t>
      </w:r>
      <w:r w:rsidRPr="007C4041">
        <w:rPr>
          <w:rFonts w:ascii="Times New Roman" w:eastAsia="Times New Roman" w:hAnsi="Times New Roman" w:cs="Times New Roman"/>
          <w:sz w:val="24"/>
          <w:szCs w:val="24"/>
          <w:lang w:val="es-PE" w:eastAsia="es-ES"/>
        </w:rPr>
        <w:t>Conforme a su Reglamento, la</w:t>
      </w:r>
      <w:r w:rsidRPr="007C4041">
        <w:rPr>
          <w:rFonts w:ascii="Times New Roman" w:eastAsia="Times New Roman" w:hAnsi="Times New Roman" w:cs="Times New Roman"/>
          <w:b/>
          <w:bCs/>
          <w:sz w:val="24"/>
          <w:szCs w:val="24"/>
          <w:lang w:val="es-PE" w:eastAsia="es-ES"/>
        </w:rPr>
        <w:t xml:space="preserve"> </w:t>
      </w:r>
      <w:r w:rsidRPr="007C4041">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3325FDD" w14:textId="77777777" w:rsidR="007C4041" w:rsidRPr="007C4041" w:rsidRDefault="007C4041" w:rsidP="007C4041">
      <w:pPr>
        <w:spacing w:line="240" w:lineRule="auto"/>
        <w:jc w:val="both"/>
        <w:rPr>
          <w:rStyle w:val="Textoennegrita"/>
          <w:rFonts w:ascii="Times New Roman" w:eastAsia="Calibri" w:hAnsi="Times New Roman" w:cs="Times New Roman"/>
          <w:sz w:val="24"/>
          <w:szCs w:val="24"/>
          <w:u w:val="single"/>
          <w:lang w:val="es-PE"/>
        </w:rPr>
      </w:pPr>
    </w:p>
    <w:p w14:paraId="4E947F2B" w14:textId="77777777" w:rsidR="007C4041" w:rsidRPr="007C4041" w:rsidRDefault="007C4041" w:rsidP="007C4041">
      <w:pPr>
        <w:spacing w:line="240" w:lineRule="auto"/>
        <w:jc w:val="both"/>
        <w:rPr>
          <w:rStyle w:val="Textoennegrita"/>
          <w:rFonts w:ascii="Times New Roman" w:hAnsi="Times New Roman" w:cs="Times New Roman"/>
          <w:b w:val="0"/>
          <w:sz w:val="24"/>
          <w:szCs w:val="24"/>
          <w:lang w:val="es-PE"/>
        </w:rPr>
      </w:pPr>
      <w:r w:rsidRPr="007C4041">
        <w:rPr>
          <w:rStyle w:val="Textoennegrita"/>
          <w:rFonts w:ascii="Times New Roman" w:hAnsi="Times New Roman" w:cs="Times New Roman"/>
          <w:sz w:val="24"/>
          <w:szCs w:val="24"/>
          <w:u w:val="single"/>
          <w:lang w:val="es-PE"/>
        </w:rPr>
        <w:t>SEGUNDO</w:t>
      </w:r>
      <w:r w:rsidRPr="007C4041">
        <w:rPr>
          <w:rStyle w:val="Textoennegrita"/>
          <w:rFonts w:ascii="Times New Roman" w:hAnsi="Times New Roman" w:cs="Times New Roman"/>
          <w:sz w:val="24"/>
          <w:szCs w:val="24"/>
          <w:lang w:val="es-PE"/>
        </w:rPr>
        <w:t>:</w:t>
      </w:r>
      <w:r w:rsidRPr="007C4041">
        <w:rPr>
          <w:rStyle w:val="Textoennegrita"/>
          <w:rFonts w:ascii="Times New Roman" w:hAnsi="Times New Roman" w:cs="Times New Roman"/>
          <w:b w:val="0"/>
          <w:sz w:val="24"/>
          <w:szCs w:val="24"/>
          <w:lang w:val="es-PE"/>
        </w:rPr>
        <w:t xml:space="preserve"> </w:t>
      </w:r>
      <w:r w:rsidRPr="007C4041">
        <w:rPr>
          <w:rFonts w:ascii="Times New Roman" w:hAnsi="Times New Roman" w:cs="Times New Roman"/>
          <w:sz w:val="24"/>
          <w:szCs w:val="24"/>
          <w:lang w:val="es-PE"/>
        </w:rPr>
        <w:t xml:space="preserve">Asimismo, de acuerdo a </w:t>
      </w:r>
      <w:r w:rsidRPr="007C4041">
        <w:rPr>
          <w:rStyle w:val="Textoennegrita"/>
          <w:rFonts w:ascii="Times New Roman" w:hAnsi="Times New Roman" w:cs="Times New Roman"/>
          <w:b w:val="0"/>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1DF8550"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Style w:val="Textoennegrita"/>
          <w:rFonts w:ascii="Times New Roman" w:hAnsi="Times New Roman" w:cs="Times New Roman"/>
          <w:sz w:val="24"/>
          <w:szCs w:val="24"/>
          <w:u w:val="single"/>
          <w:lang w:val="es-PE"/>
        </w:rPr>
        <w:t>TERCERO</w:t>
      </w:r>
      <w:r w:rsidRPr="007C4041">
        <w:rPr>
          <w:rStyle w:val="Textoennegrita"/>
          <w:rFonts w:ascii="Times New Roman" w:hAnsi="Times New Roman" w:cs="Times New Roman"/>
          <w:sz w:val="24"/>
          <w:szCs w:val="24"/>
          <w:lang w:val="es-PE"/>
        </w:rPr>
        <w:t>:</w:t>
      </w:r>
      <w:r w:rsidRPr="007C4041">
        <w:rPr>
          <w:rFonts w:ascii="Times New Roman" w:hAnsi="Times New Roman" w:cs="Times New Roman"/>
          <w:sz w:val="24"/>
          <w:szCs w:val="24"/>
          <w:lang w:val="es-PE"/>
        </w:rPr>
        <w:t xml:space="preserve"> D</w:t>
      </w:r>
      <w:r w:rsidRPr="007C4041">
        <w:rPr>
          <w:rFonts w:ascii="Times New Roman" w:eastAsia="Times New Roman" w:hAnsi="Times New Roman" w:cs="Times New Roman"/>
          <w:sz w:val="24"/>
          <w:szCs w:val="24"/>
          <w:lang w:val="es-PE" w:eastAsia="es-ES"/>
        </w:rPr>
        <w:t>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70A2F18" w14:textId="77777777" w:rsidR="007C4041" w:rsidRPr="007C4041" w:rsidRDefault="007C4041" w:rsidP="007C4041">
      <w:pPr>
        <w:spacing w:after="0" w:line="240" w:lineRule="auto"/>
        <w:jc w:val="both"/>
        <w:rPr>
          <w:rFonts w:ascii="Times New Roman" w:eastAsia="Calibri" w:hAnsi="Times New Roman" w:cs="Times New Roman"/>
          <w:sz w:val="24"/>
          <w:szCs w:val="24"/>
          <w:lang w:val="es-PE"/>
        </w:rPr>
      </w:pPr>
    </w:p>
    <w:p w14:paraId="0CBD8E2E" w14:textId="77777777" w:rsidR="007C4041" w:rsidRPr="007C4041" w:rsidRDefault="007C4041" w:rsidP="007C4041">
      <w:pPr>
        <w:spacing w:line="240" w:lineRule="auto"/>
        <w:contextualSpacing/>
        <w:jc w:val="both"/>
        <w:rPr>
          <w:rFonts w:ascii="Times New Roman" w:hAnsi="Times New Roman" w:cs="Times New Roman"/>
          <w:sz w:val="24"/>
          <w:szCs w:val="24"/>
          <w:lang w:val="es-PE"/>
        </w:rPr>
      </w:pPr>
      <w:r w:rsidRPr="007C4041">
        <w:rPr>
          <w:rFonts w:ascii="Times New Roman" w:hAnsi="Times New Roman" w:cs="Times New Roman"/>
          <w:b/>
          <w:sz w:val="24"/>
          <w:szCs w:val="24"/>
          <w:u w:val="single"/>
          <w:lang w:val="es-PE"/>
        </w:rPr>
        <w:t>CUARTO</w:t>
      </w:r>
      <w:r w:rsidRPr="007C4041">
        <w:rPr>
          <w:rFonts w:ascii="Times New Roman" w:hAnsi="Times New Roman" w:cs="Times New Roman"/>
          <w:b/>
          <w:sz w:val="24"/>
          <w:szCs w:val="24"/>
          <w:lang w:val="es-PE"/>
        </w:rPr>
        <w:t>:</w:t>
      </w:r>
      <w:r w:rsidRPr="007C4041">
        <w:rPr>
          <w:rFonts w:ascii="Times New Roman" w:hAnsi="Times New Roman" w:cs="Times New Roman"/>
          <w:sz w:val="24"/>
          <w:szCs w:val="24"/>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5F0421BF" w14:textId="77777777" w:rsidR="007C4041" w:rsidRPr="007C4041" w:rsidRDefault="007C4041" w:rsidP="007C4041">
      <w:pPr>
        <w:spacing w:after="0" w:line="240" w:lineRule="auto"/>
        <w:jc w:val="both"/>
        <w:rPr>
          <w:rStyle w:val="Textoennegrita"/>
          <w:rFonts w:ascii="Times New Roman" w:hAnsi="Times New Roman" w:cs="Times New Roman"/>
          <w:sz w:val="24"/>
          <w:szCs w:val="24"/>
          <w:u w:val="single"/>
          <w:lang w:val="es-PE"/>
        </w:rPr>
      </w:pPr>
    </w:p>
    <w:p w14:paraId="15A547BD" w14:textId="0C9CE26F" w:rsidR="00A8133F"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Style w:val="Textoennegrita"/>
          <w:rFonts w:ascii="Times New Roman" w:hAnsi="Times New Roman" w:cs="Times New Roman"/>
          <w:sz w:val="24"/>
          <w:szCs w:val="24"/>
          <w:u w:val="single"/>
          <w:lang w:val="es-PE"/>
        </w:rPr>
        <w:t>QUINTO</w:t>
      </w:r>
      <w:r w:rsidRPr="007C4041">
        <w:rPr>
          <w:rStyle w:val="Textoennegrita"/>
          <w:rFonts w:ascii="Times New Roman" w:hAnsi="Times New Roman" w:cs="Times New Roman"/>
          <w:sz w:val="24"/>
          <w:szCs w:val="24"/>
          <w:lang w:val="es-PE"/>
        </w:rPr>
        <w:t>:</w:t>
      </w:r>
      <w:r w:rsidRPr="007C4041">
        <w:rPr>
          <w:rStyle w:val="Textoennegrita"/>
          <w:rFonts w:ascii="Times New Roman" w:hAnsi="Times New Roman" w:cs="Times New Roman"/>
          <w:b w:val="0"/>
          <w:sz w:val="24"/>
          <w:szCs w:val="24"/>
          <w:lang w:val="es-PE"/>
        </w:rPr>
        <w:t xml:space="preserve"> C</w:t>
      </w:r>
      <w:r w:rsidRPr="007C4041">
        <w:rPr>
          <w:rFonts w:ascii="Times New Roman" w:eastAsia="Times New Roman" w:hAnsi="Times New Roman" w:cs="Times New Roman"/>
          <w:bCs/>
          <w:sz w:val="24"/>
          <w:szCs w:val="24"/>
          <w:lang w:val="es-PE" w:eastAsia="es-ES"/>
        </w:rPr>
        <w:t>onforme al</w:t>
      </w:r>
      <w:r w:rsidRPr="007C4041">
        <w:rPr>
          <w:rFonts w:ascii="Times New Roman" w:eastAsia="Times New Roman" w:hAnsi="Times New Roman" w:cs="Times New Roman"/>
          <w:b/>
          <w:bCs/>
          <w:sz w:val="24"/>
          <w:szCs w:val="24"/>
          <w:lang w:val="es-PE" w:eastAsia="es-ES"/>
        </w:rPr>
        <w:t xml:space="preserve"> </w:t>
      </w:r>
      <w:r w:rsidRPr="007C4041">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79A7769E" w14:textId="77777777" w:rsidR="00A8133F" w:rsidRPr="007C4041" w:rsidRDefault="00A8133F" w:rsidP="007C4041">
      <w:pPr>
        <w:spacing w:after="0" w:line="240" w:lineRule="auto"/>
        <w:jc w:val="both"/>
        <w:rPr>
          <w:rFonts w:ascii="Times New Roman" w:eastAsia="Times New Roman" w:hAnsi="Times New Roman" w:cs="Times New Roman"/>
          <w:sz w:val="24"/>
          <w:szCs w:val="24"/>
          <w:lang w:val="es-PE" w:eastAsia="es-ES"/>
        </w:rPr>
      </w:pPr>
    </w:p>
    <w:p w14:paraId="6A5D96B6" w14:textId="77777777" w:rsidR="007C4041" w:rsidRPr="007C4041" w:rsidRDefault="007C4041" w:rsidP="007C4041">
      <w:pPr>
        <w:spacing w:after="0" w:line="240" w:lineRule="auto"/>
        <w:jc w:val="both"/>
        <w:rPr>
          <w:rFonts w:ascii="Times New Roman" w:eastAsia="Calibri" w:hAnsi="Times New Roman" w:cs="Times New Roman"/>
          <w:sz w:val="24"/>
          <w:szCs w:val="24"/>
          <w:lang w:val="es-PE"/>
        </w:rPr>
      </w:pPr>
      <w:r w:rsidRPr="007C4041">
        <w:rPr>
          <w:rFonts w:ascii="Times New Roman" w:hAnsi="Times New Roman" w:cs="Times New Roman"/>
          <w:b/>
          <w:sz w:val="24"/>
          <w:szCs w:val="24"/>
          <w:u w:val="single"/>
          <w:lang w:val="es-PE"/>
        </w:rPr>
        <w:t>SEXTO</w:t>
      </w:r>
      <w:r w:rsidRPr="007C4041">
        <w:rPr>
          <w:rFonts w:ascii="Times New Roman" w:hAnsi="Times New Roman" w:cs="Times New Roman"/>
          <w:b/>
          <w:sz w:val="24"/>
          <w:szCs w:val="24"/>
          <w:lang w:val="es-PE"/>
        </w:rPr>
        <w:t>:</w:t>
      </w:r>
      <w:r w:rsidRPr="007C4041">
        <w:rPr>
          <w:rFonts w:ascii="Times New Roman" w:hAnsi="Times New Roman" w:cs="Times New Roman"/>
          <w:sz w:val="24"/>
          <w:szCs w:val="24"/>
          <w:lang w:val="es-PE"/>
        </w:rPr>
        <w:t xml:space="preserve"> </w:t>
      </w:r>
      <w:proofErr w:type="gramStart"/>
      <w:r w:rsidRPr="007C4041">
        <w:rPr>
          <w:rFonts w:ascii="Times New Roman" w:hAnsi="Times New Roman" w:cs="Times New Roman"/>
          <w:sz w:val="24"/>
          <w:szCs w:val="24"/>
          <w:lang w:val="es-PE"/>
        </w:rPr>
        <w:t>De acuerdo a</w:t>
      </w:r>
      <w:proofErr w:type="gramEnd"/>
      <w:r w:rsidRPr="007C4041">
        <w:rPr>
          <w:rFonts w:ascii="Times New Roman" w:hAnsi="Times New Roman" w:cs="Times New Roman"/>
          <w:sz w:val="24"/>
          <w:szCs w:val="24"/>
          <w:lang w:val="es-PE"/>
        </w:rPr>
        <w:t xml:space="preserve"> los términos contenidos en el rechazo, la reclamación y en la respectiva absolución, así como a lo tratado en la audiencia de vista virtual, la solución de la presente controversia consiste en determinar si en el presente caso el siniestro corresponde o no a un riesgo bajo cobertura del seguro contratado.</w:t>
      </w:r>
    </w:p>
    <w:p w14:paraId="236BA0E1" w14:textId="77777777" w:rsidR="007C4041" w:rsidRPr="007C4041" w:rsidRDefault="007C4041" w:rsidP="007C4041">
      <w:pPr>
        <w:spacing w:after="0" w:line="240" w:lineRule="auto"/>
        <w:jc w:val="both"/>
        <w:rPr>
          <w:rFonts w:ascii="Times New Roman" w:hAnsi="Times New Roman" w:cs="Times New Roman"/>
          <w:sz w:val="24"/>
          <w:szCs w:val="24"/>
          <w:lang w:val="es-PE"/>
        </w:rPr>
      </w:pPr>
    </w:p>
    <w:p w14:paraId="7307ACA1" w14:textId="77777777" w:rsidR="007C4041" w:rsidRPr="007C4041" w:rsidRDefault="007C4041" w:rsidP="007C4041">
      <w:pPr>
        <w:spacing w:after="0" w:line="240" w:lineRule="auto"/>
        <w:jc w:val="both"/>
        <w:rPr>
          <w:rFonts w:ascii="Times New Roman" w:hAnsi="Times New Roman" w:cs="Times New Roman"/>
          <w:sz w:val="24"/>
          <w:szCs w:val="24"/>
          <w:lang w:val="es-PE"/>
        </w:rPr>
      </w:pPr>
      <w:r w:rsidRPr="007C4041">
        <w:rPr>
          <w:rFonts w:ascii="Times New Roman" w:hAnsi="Times New Roman" w:cs="Times New Roman"/>
          <w:sz w:val="24"/>
          <w:szCs w:val="24"/>
          <w:lang w:val="es-PE"/>
        </w:rPr>
        <w:t xml:space="preserve">En efecto, la aseguradora sustenta su rechazo en la improcedencia de la cobertura por cuanto el </w:t>
      </w:r>
      <w:r w:rsidRPr="007C4041">
        <w:rPr>
          <w:rFonts w:ascii="Times New Roman" w:hAnsi="Times New Roman" w:cs="Times New Roman"/>
          <w:color w:val="000000"/>
          <w:sz w:val="24"/>
          <w:szCs w:val="24"/>
          <w:lang w:val="es-PE" w:eastAsia="es-PE"/>
        </w:rPr>
        <w:t>“hurto de dinero” no es un riesgo contratado en el seguro de protección de tarjeta</w:t>
      </w:r>
      <w:r w:rsidRPr="007C4041">
        <w:rPr>
          <w:rFonts w:ascii="Times New Roman" w:hAnsi="Times New Roman" w:cs="Times New Roman"/>
          <w:sz w:val="24"/>
          <w:szCs w:val="24"/>
          <w:lang w:val="es-PE"/>
        </w:rPr>
        <w:t xml:space="preserve">. </w:t>
      </w:r>
    </w:p>
    <w:p w14:paraId="087694FA" w14:textId="77777777" w:rsidR="007C4041" w:rsidRPr="007C4041" w:rsidRDefault="007C4041" w:rsidP="007C4041">
      <w:pPr>
        <w:spacing w:after="0" w:line="240" w:lineRule="auto"/>
        <w:jc w:val="both"/>
        <w:rPr>
          <w:rFonts w:ascii="Times New Roman" w:hAnsi="Times New Roman" w:cs="Times New Roman"/>
          <w:sz w:val="24"/>
          <w:szCs w:val="24"/>
          <w:lang w:val="es-PE"/>
        </w:rPr>
      </w:pPr>
    </w:p>
    <w:p w14:paraId="483DF14B"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hAnsi="Times New Roman" w:cs="Times New Roman"/>
          <w:b/>
          <w:sz w:val="24"/>
          <w:szCs w:val="24"/>
          <w:u w:val="single"/>
          <w:lang w:val="es-PE"/>
        </w:rPr>
        <w:lastRenderedPageBreak/>
        <w:t>SÉPTIMO</w:t>
      </w:r>
      <w:r w:rsidRPr="007C4041">
        <w:rPr>
          <w:rFonts w:ascii="Times New Roman" w:hAnsi="Times New Roman" w:cs="Times New Roman"/>
          <w:b/>
          <w:sz w:val="24"/>
          <w:szCs w:val="24"/>
          <w:lang w:val="es-PE"/>
        </w:rPr>
        <w:t xml:space="preserve">: </w:t>
      </w:r>
      <w:r w:rsidRPr="007C4041">
        <w:rPr>
          <w:rFonts w:ascii="Times New Roman" w:hAnsi="Times New Roman" w:cs="Times New Roman"/>
          <w:sz w:val="24"/>
          <w:szCs w:val="24"/>
          <w:lang w:val="es-PE"/>
        </w:rPr>
        <w:t xml:space="preserve">En primer lugar, cabe indicar que </w:t>
      </w:r>
      <w:r w:rsidRPr="007C4041">
        <w:rPr>
          <w:rFonts w:ascii="Times New Roman" w:eastAsia="Times New Roman" w:hAnsi="Times New Roman" w:cs="Times New Roman"/>
          <w:sz w:val="24"/>
          <w:szCs w:val="24"/>
          <w:lang w:val="es-PE" w:eastAsia="es-ES"/>
        </w:rPr>
        <w:t xml:space="preserve">los riesgos aceptados por la aseguradora en el marco de un contrato de seguro se pueden delimitar tanto positiva como negativamente para reclamar cobertura en caso de su materialización. En el primer caso, a través de las coberturas contratadas y, en segundo lugar, mediante el régimen de exclusiones.  </w:t>
      </w:r>
    </w:p>
    <w:p w14:paraId="0B5EA61D"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49174E2C"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Como expresamente lo dispone el artículo 137 de la Ley del Contrato de Seguro, no son oponibles al asegurado los contenidos contractuales que no le hayan sido informados en el certificado que acredite su incorporación al seguro de grupo.</w:t>
      </w:r>
    </w:p>
    <w:p w14:paraId="1E1ECB33"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1E661582"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roofErr w:type="gramStart"/>
      <w:r w:rsidRPr="007C4041">
        <w:rPr>
          <w:rFonts w:ascii="Times New Roman" w:eastAsia="Times New Roman" w:hAnsi="Times New Roman" w:cs="Times New Roman"/>
          <w:sz w:val="24"/>
          <w:szCs w:val="24"/>
          <w:lang w:val="es-PE" w:eastAsia="es-ES"/>
        </w:rPr>
        <w:t>De acuerdo a</w:t>
      </w:r>
      <w:proofErr w:type="gramEnd"/>
      <w:r w:rsidRPr="007C4041">
        <w:rPr>
          <w:rFonts w:ascii="Times New Roman" w:eastAsia="Times New Roman" w:hAnsi="Times New Roman" w:cs="Times New Roman"/>
          <w:sz w:val="24"/>
          <w:szCs w:val="24"/>
          <w:lang w:val="es-PE" w:eastAsia="es-ES"/>
        </w:rPr>
        <w:t xml:space="preserve"> múltiples y uniformes resoluciones de la DEFASEG, sobre la base de lo dispuesto en la ley de la materia, los contenidos contractuales sólo son oponibles de haber sido de conocimiento oportuno, adecuado y suficiente por los asegurados, en especial tratándose de seguros grupales o globales.  </w:t>
      </w:r>
    </w:p>
    <w:p w14:paraId="4D53D59F"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243713D9" w14:textId="3D273283"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 xml:space="preserve">En el presente caso, el riesgo aceptado en general por </w:t>
      </w:r>
      <w:r w:rsidR="00A8133F" w:rsidRPr="00A8133F">
        <w:rPr>
          <w:rFonts w:ascii="Times New Roman" w:hAnsi="Times New Roman" w:cs="Times New Roman"/>
          <w:bCs/>
          <w:sz w:val="24"/>
          <w:szCs w:val="24"/>
          <w:lang w:val="es-PE"/>
        </w:rPr>
        <w:t>...................</w:t>
      </w:r>
      <w:r w:rsidR="00A8133F">
        <w:rPr>
          <w:rFonts w:ascii="Times New Roman" w:hAnsi="Times New Roman" w:cs="Times New Roman"/>
          <w:bCs/>
          <w:sz w:val="24"/>
          <w:szCs w:val="24"/>
          <w:lang w:val="es-PE"/>
        </w:rPr>
        <w:t xml:space="preserve"> </w:t>
      </w:r>
      <w:r w:rsidRPr="007C4041">
        <w:rPr>
          <w:rFonts w:ascii="Times New Roman" w:eastAsia="Times New Roman" w:hAnsi="Times New Roman" w:cs="Times New Roman"/>
          <w:sz w:val="24"/>
          <w:szCs w:val="24"/>
          <w:lang w:val="es-PE" w:eastAsia="es-ES"/>
        </w:rPr>
        <w:t>fue el de “robo de dinero”, siendo que en la cartilla (resumen) que contiene las principales condiciones de la póliza consta expresamente el detalle de la respectiva cobertura, conforme a lo cual la cobertura es definida como “robo en cajeros automáticos” y “robo de dinero retirado en ventanilla”, situación que no se presentaría en el presente caso.</w:t>
      </w:r>
    </w:p>
    <w:p w14:paraId="70013290"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78FDAA22"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Sin embargo, para que dicho contenido contractual, esto es, la delimitación del riesgo bajo cobertura sea oponible a la asegurada, la aseguradora debe probar que cumplió con informar a su contraparte tales condiciones que pretende oponer.</w:t>
      </w:r>
    </w:p>
    <w:p w14:paraId="3674C2E1"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3864F433" w14:textId="131EE315"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 xml:space="preserve">En la presente reclamación, </w:t>
      </w:r>
      <w:r w:rsidR="00A8133F" w:rsidRPr="00A8133F">
        <w:rPr>
          <w:rFonts w:ascii="Times New Roman" w:hAnsi="Times New Roman" w:cs="Times New Roman"/>
          <w:bCs/>
          <w:sz w:val="24"/>
          <w:szCs w:val="24"/>
          <w:lang w:val="es-PE"/>
        </w:rPr>
        <w:t>...................</w:t>
      </w:r>
      <w:r w:rsidR="00A8133F">
        <w:rPr>
          <w:rFonts w:ascii="Times New Roman" w:hAnsi="Times New Roman" w:cs="Times New Roman"/>
          <w:bCs/>
          <w:sz w:val="24"/>
          <w:szCs w:val="24"/>
          <w:lang w:val="es-PE"/>
        </w:rPr>
        <w:t xml:space="preserve"> </w:t>
      </w:r>
      <w:r w:rsidRPr="007C4041">
        <w:rPr>
          <w:rFonts w:ascii="Times New Roman" w:eastAsia="Times New Roman" w:hAnsi="Times New Roman" w:cs="Times New Roman"/>
          <w:sz w:val="24"/>
          <w:szCs w:val="24"/>
          <w:lang w:val="es-PE" w:eastAsia="es-ES"/>
        </w:rPr>
        <w:t>no ha probado que entregó oportunamente a la asegurada no contratante el documento que ha presentado como cartilla (resumen) de la Póliza, que corresponde a un documento preimpreso, de manera que no está acreditado que la reclamante conoció desde un primer momento el contenido de la cobertura bajo análisis, conforme a lo cual sólo se cubren los “robos de dinero” y no el “hurto de dinero”.</w:t>
      </w:r>
    </w:p>
    <w:p w14:paraId="13F926CA"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5851DA30" w14:textId="62FAE484" w:rsidR="007C4041" w:rsidRPr="007C4041" w:rsidRDefault="00A8133F" w:rsidP="007C4041">
      <w:pPr>
        <w:spacing w:after="0" w:line="240" w:lineRule="auto"/>
        <w:jc w:val="both"/>
        <w:rPr>
          <w:rFonts w:ascii="Times New Roman" w:eastAsia="Times New Roman" w:hAnsi="Times New Roman" w:cs="Times New Roman"/>
          <w:sz w:val="24"/>
          <w:szCs w:val="24"/>
          <w:lang w:val="es-PE" w:eastAsia="es-ES"/>
        </w:rPr>
      </w:pPr>
      <w:r w:rsidRPr="00A8133F">
        <w:rPr>
          <w:rFonts w:ascii="Times New Roman" w:hAnsi="Times New Roman" w:cs="Times New Roman"/>
          <w:sz w:val="24"/>
          <w:szCs w:val="24"/>
        </w:rPr>
        <w:t>..................</w:t>
      </w:r>
      <w:r>
        <w:rPr>
          <w:rFonts w:ascii="Times New Roman" w:hAnsi="Times New Roman" w:cs="Times New Roman"/>
          <w:sz w:val="24"/>
          <w:szCs w:val="24"/>
        </w:rPr>
        <w:t xml:space="preserve"> </w:t>
      </w:r>
      <w:r w:rsidR="007C4041" w:rsidRPr="007C4041">
        <w:rPr>
          <w:rFonts w:ascii="Times New Roman" w:eastAsia="Times New Roman" w:hAnsi="Times New Roman" w:cs="Times New Roman"/>
          <w:sz w:val="24"/>
          <w:szCs w:val="24"/>
          <w:lang w:val="es-PE" w:eastAsia="es-ES"/>
        </w:rPr>
        <w:t xml:space="preserve">pretende que se considere que la reclamante tomó conocimiento de la póliza con el </w:t>
      </w:r>
      <w:proofErr w:type="spellStart"/>
      <w:r w:rsidR="007C4041" w:rsidRPr="007C4041">
        <w:rPr>
          <w:rFonts w:ascii="Times New Roman" w:eastAsia="Times New Roman" w:hAnsi="Times New Roman" w:cs="Times New Roman"/>
          <w:sz w:val="24"/>
          <w:szCs w:val="24"/>
          <w:lang w:val="es-PE" w:eastAsia="es-ES"/>
        </w:rPr>
        <w:t>voucher</w:t>
      </w:r>
      <w:proofErr w:type="spellEnd"/>
      <w:r w:rsidR="007C4041" w:rsidRPr="007C4041">
        <w:rPr>
          <w:rFonts w:ascii="Times New Roman" w:eastAsia="Times New Roman" w:hAnsi="Times New Roman" w:cs="Times New Roman"/>
          <w:sz w:val="24"/>
          <w:szCs w:val="24"/>
          <w:lang w:val="es-PE" w:eastAsia="es-ES"/>
        </w:rPr>
        <w:t xml:space="preserve"> de contratación de Seguro Póliza No </w:t>
      </w:r>
      <w:r w:rsidR="00046290" w:rsidRPr="00A8133F">
        <w:rPr>
          <w:rFonts w:ascii="Times New Roman" w:hAnsi="Times New Roman" w:cs="Times New Roman"/>
          <w:sz w:val="24"/>
          <w:szCs w:val="24"/>
        </w:rPr>
        <w:t>..................</w:t>
      </w:r>
      <w:r w:rsidR="007C4041" w:rsidRPr="007C4041">
        <w:rPr>
          <w:rFonts w:ascii="Times New Roman" w:eastAsia="Times New Roman" w:hAnsi="Times New Roman" w:cs="Times New Roman"/>
          <w:sz w:val="24"/>
          <w:szCs w:val="24"/>
          <w:lang w:val="es-PE" w:eastAsia="es-ES"/>
        </w:rPr>
        <w:t>, puesto que digitó su clave secreta al momento de contratar dicho seguro:</w:t>
      </w:r>
    </w:p>
    <w:p w14:paraId="572C563A" w14:textId="77777777" w:rsidR="007C4041" w:rsidRPr="007C4041" w:rsidRDefault="007C4041" w:rsidP="00046290">
      <w:pPr>
        <w:spacing w:after="0" w:line="240" w:lineRule="auto"/>
        <w:jc w:val="center"/>
        <w:rPr>
          <w:rFonts w:ascii="Times New Roman" w:eastAsia="Times New Roman" w:hAnsi="Times New Roman" w:cs="Times New Roman"/>
          <w:sz w:val="24"/>
          <w:szCs w:val="24"/>
          <w:lang w:val="es-PE" w:eastAsia="es-ES"/>
        </w:rPr>
      </w:pPr>
    </w:p>
    <w:p w14:paraId="5AF4D366" w14:textId="31BDCB89" w:rsidR="007C4041" w:rsidRPr="007C4041" w:rsidRDefault="00046290" w:rsidP="00046290">
      <w:pPr>
        <w:spacing w:after="0" w:line="240" w:lineRule="auto"/>
        <w:jc w:val="center"/>
        <w:rPr>
          <w:rFonts w:ascii="Times New Roman" w:eastAsia="Times New Roman" w:hAnsi="Times New Roman" w:cs="Times New Roman"/>
          <w:sz w:val="24"/>
          <w:szCs w:val="24"/>
          <w:lang w:val="es-PE" w:eastAsia="es-ES"/>
        </w:rPr>
      </w:pPr>
      <w:r>
        <w:rPr>
          <w:rFonts w:ascii="Times New Roman" w:eastAsia="Times New Roman" w:hAnsi="Times New Roman" w:cs="Times New Roman"/>
          <w:noProof/>
          <w:sz w:val="24"/>
          <w:szCs w:val="24"/>
          <w:lang w:val="es-PE" w:eastAsia="es-ES"/>
        </w:rPr>
        <w:t>(</w:t>
      </w:r>
      <w:r w:rsidRPr="00A8133F">
        <w:rPr>
          <w:rFonts w:ascii="Times New Roman" w:hAnsi="Times New Roman" w:cs="Times New Roman"/>
          <w:sz w:val="24"/>
          <w:szCs w:val="24"/>
        </w:rPr>
        <w:t>..................</w:t>
      </w:r>
      <w:r>
        <w:rPr>
          <w:rFonts w:ascii="Times New Roman" w:hAnsi="Times New Roman" w:cs="Times New Roman"/>
          <w:sz w:val="24"/>
          <w:szCs w:val="24"/>
        </w:rPr>
        <w:t>)</w:t>
      </w:r>
    </w:p>
    <w:p w14:paraId="7D5ED235"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p>
    <w:p w14:paraId="39B33982" w14:textId="77777777" w:rsidR="007C4041" w:rsidRPr="007C4041" w:rsidRDefault="007C4041" w:rsidP="007C4041">
      <w:pPr>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 xml:space="preserve">El órgano resolutorio unipersonal no comparte la apreciación de la aseguradora, ya que en dicho documento sólo se deja constancia de la aceptación de la contratación del seguro de tarjeta débito, pero en ningún extremo se deja constancia que la contratante haya tomado conocimiento del contenido de dicho seguro, ni mucho menos de haber recibido el certificado de seguro con el resumen de los alcances de la póliza contratada.   </w:t>
      </w:r>
    </w:p>
    <w:p w14:paraId="2BB20C9D" w14:textId="77777777" w:rsidR="007C4041" w:rsidRPr="007C4041" w:rsidRDefault="007C4041" w:rsidP="007C404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89ABB73" w14:textId="77777777" w:rsidR="007C4041" w:rsidRPr="007C4041" w:rsidRDefault="007C4041" w:rsidP="007C4041">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En esa medida, dado que no resulta claro y manifiesto que el asegurado recibió efectivamente la cartilla (resumen) de la póliza, corresponde que lo acredite la aseguradora, la que está en la mejor situación y posibilidad de poder hacerlo, y a quien corresponde demostrar que cumplió con la obligación que el artículo 136 de la Ley del Contrato de Seguro le impone.</w:t>
      </w:r>
    </w:p>
    <w:p w14:paraId="13161182" w14:textId="77777777" w:rsidR="007C4041" w:rsidRPr="007C4041" w:rsidRDefault="007C4041" w:rsidP="007C4041">
      <w:pPr>
        <w:tabs>
          <w:tab w:val="left" w:pos="2160"/>
        </w:tabs>
        <w:spacing w:after="0" w:line="240" w:lineRule="auto"/>
        <w:jc w:val="both"/>
        <w:rPr>
          <w:rFonts w:ascii="Times New Roman" w:eastAsia="Times New Roman" w:hAnsi="Times New Roman" w:cs="Times New Roman"/>
          <w:sz w:val="24"/>
          <w:szCs w:val="24"/>
          <w:lang w:val="es-PE" w:eastAsia="es-ES"/>
        </w:rPr>
      </w:pPr>
    </w:p>
    <w:p w14:paraId="50AA5CD3" w14:textId="0B4F305F" w:rsidR="007C4041" w:rsidRPr="007C4041" w:rsidRDefault="007C4041" w:rsidP="007C4041">
      <w:pPr>
        <w:tabs>
          <w:tab w:val="left" w:pos="2160"/>
        </w:tabs>
        <w:spacing w:after="0" w:line="240" w:lineRule="auto"/>
        <w:jc w:val="both"/>
        <w:rPr>
          <w:rFonts w:ascii="Times New Roman" w:eastAsia="Times New Roman" w:hAnsi="Times New Roman" w:cs="Times New Roman"/>
          <w:sz w:val="24"/>
          <w:szCs w:val="24"/>
          <w:lang w:val="es-PE" w:eastAsia="es-ES"/>
        </w:rPr>
      </w:pPr>
      <w:r w:rsidRPr="007C4041">
        <w:rPr>
          <w:rFonts w:ascii="Times New Roman" w:hAnsi="Times New Roman" w:cs="Times New Roman"/>
          <w:b/>
          <w:sz w:val="24"/>
          <w:szCs w:val="24"/>
          <w:u w:val="single"/>
          <w:lang w:val="es-PE"/>
        </w:rPr>
        <w:t>OCTAVO</w:t>
      </w:r>
      <w:r w:rsidRPr="007C4041">
        <w:rPr>
          <w:rFonts w:ascii="Times New Roman" w:hAnsi="Times New Roman" w:cs="Times New Roman"/>
          <w:b/>
          <w:sz w:val="24"/>
          <w:szCs w:val="24"/>
          <w:lang w:val="es-PE"/>
        </w:rPr>
        <w:t>:</w:t>
      </w:r>
      <w:r w:rsidRPr="007C4041">
        <w:rPr>
          <w:rFonts w:ascii="Times New Roman" w:eastAsia="Times New Roman" w:hAnsi="Times New Roman" w:cs="Times New Roman"/>
          <w:sz w:val="24"/>
          <w:szCs w:val="24"/>
          <w:lang w:val="es-PE" w:eastAsia="es-ES"/>
        </w:rPr>
        <w:t xml:space="preserve"> Conforme a lo anterior, si bien no resulta controvertido que en el presente caso no se ha materializado un robo, sino un hurto, resulta indispensable que </w:t>
      </w:r>
      <w:r w:rsidR="00A8133F" w:rsidRPr="00A8133F">
        <w:rPr>
          <w:rFonts w:ascii="Times New Roman" w:hAnsi="Times New Roman" w:cs="Times New Roman"/>
          <w:sz w:val="24"/>
          <w:szCs w:val="24"/>
        </w:rPr>
        <w:t>..................</w:t>
      </w:r>
      <w:r w:rsidR="00A8133F">
        <w:rPr>
          <w:rFonts w:ascii="Times New Roman" w:hAnsi="Times New Roman" w:cs="Times New Roman"/>
          <w:sz w:val="24"/>
          <w:szCs w:val="24"/>
        </w:rPr>
        <w:t xml:space="preserve"> </w:t>
      </w:r>
      <w:r w:rsidRPr="007C4041">
        <w:rPr>
          <w:rFonts w:ascii="Times New Roman" w:eastAsia="Times New Roman" w:hAnsi="Times New Roman" w:cs="Times New Roman"/>
          <w:sz w:val="24"/>
          <w:szCs w:val="24"/>
          <w:lang w:val="es-PE" w:eastAsia="es-ES"/>
        </w:rPr>
        <w:t>presente el medio probatorio idóneo que demuestre que la asegurada no contratante de la póliza fue informada oportuna, adecuada y suficientemente sobre dicho requisito específico, para fines que pueda postularse que el cuestionado rechazo de cobertura es legítimo, como podría ser el “cargo” de entrega del señalado formato, folleto o cartilla (resumen), suscrito por la  reclamante.</w:t>
      </w:r>
    </w:p>
    <w:p w14:paraId="32B7F820" w14:textId="77777777" w:rsidR="007C4041" w:rsidRPr="007C4041" w:rsidRDefault="007C4041" w:rsidP="007C4041">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56B6A590" w14:textId="77777777" w:rsidR="007C4041" w:rsidRPr="007C4041" w:rsidRDefault="007C4041" w:rsidP="007C4041">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r w:rsidRPr="007C4041">
        <w:rPr>
          <w:rFonts w:ascii="Times New Roman" w:eastAsia="Times New Roman" w:hAnsi="Times New Roman" w:cs="Times New Roman"/>
          <w:sz w:val="24"/>
          <w:szCs w:val="24"/>
          <w:lang w:val="es-PE" w:eastAsia="es-ES"/>
        </w:rPr>
        <w:t xml:space="preserve">Atendiendo a lo expresado, este Órgano Resolutivo Unipersonal concluye su apreciación razonada y conjunta al amparo de lo establecido en su Reglamento, estimando que el rechazo de cobertura es formalmente ilegítimo. </w:t>
      </w:r>
    </w:p>
    <w:p w14:paraId="37FA5928" w14:textId="77777777" w:rsidR="007C4041" w:rsidRPr="007C4041" w:rsidRDefault="007C4041" w:rsidP="007C4041">
      <w:pPr>
        <w:tabs>
          <w:tab w:val="left" w:pos="2386"/>
        </w:tabs>
        <w:spacing w:after="0" w:line="240" w:lineRule="auto"/>
        <w:jc w:val="both"/>
        <w:outlineLvl w:val="0"/>
        <w:rPr>
          <w:rFonts w:ascii="Times New Roman" w:eastAsia="Calibri" w:hAnsi="Times New Roman" w:cs="Times New Roman"/>
          <w:b/>
          <w:sz w:val="24"/>
          <w:szCs w:val="24"/>
          <w:lang w:val="es-PE"/>
        </w:rPr>
      </w:pPr>
    </w:p>
    <w:p w14:paraId="1A3B3730" w14:textId="77777777" w:rsidR="007C4041" w:rsidRPr="007C4041" w:rsidRDefault="007C4041" w:rsidP="007C4041">
      <w:pPr>
        <w:spacing w:after="0" w:line="240" w:lineRule="auto"/>
        <w:jc w:val="both"/>
        <w:rPr>
          <w:rFonts w:ascii="Times New Roman" w:hAnsi="Times New Roman" w:cs="Times New Roman"/>
          <w:b/>
          <w:sz w:val="24"/>
          <w:szCs w:val="24"/>
          <w:lang w:val="es-PE"/>
        </w:rPr>
      </w:pPr>
      <w:r w:rsidRPr="007C4041">
        <w:rPr>
          <w:rFonts w:ascii="Times New Roman" w:hAnsi="Times New Roman" w:cs="Times New Roman"/>
          <w:b/>
          <w:sz w:val="24"/>
          <w:szCs w:val="24"/>
          <w:lang w:val="es-PE"/>
        </w:rPr>
        <w:t>RESUELVE:</w:t>
      </w:r>
    </w:p>
    <w:p w14:paraId="6CC0F63D" w14:textId="77777777" w:rsidR="007C4041" w:rsidRPr="007C4041" w:rsidRDefault="007C4041" w:rsidP="007C4041">
      <w:pPr>
        <w:spacing w:after="0" w:line="240" w:lineRule="auto"/>
        <w:jc w:val="both"/>
        <w:rPr>
          <w:rFonts w:ascii="Times New Roman" w:hAnsi="Times New Roman" w:cs="Times New Roman"/>
          <w:sz w:val="24"/>
          <w:szCs w:val="24"/>
          <w:lang w:val="es-PE"/>
        </w:rPr>
      </w:pPr>
    </w:p>
    <w:p w14:paraId="41B37F24" w14:textId="0A862E1D" w:rsidR="007C4041" w:rsidRPr="007C4041" w:rsidRDefault="007C4041" w:rsidP="007C4041">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PE" w:eastAsia="es-ES"/>
        </w:rPr>
      </w:pPr>
      <w:r w:rsidRPr="007C4041">
        <w:rPr>
          <w:rFonts w:ascii="Times New Roman" w:hAnsi="Times New Roman" w:cs="Times New Roman"/>
          <w:sz w:val="24"/>
          <w:szCs w:val="24"/>
          <w:lang w:val="es-PE"/>
        </w:rPr>
        <w:t>Declarar</w:t>
      </w:r>
      <w:r w:rsidRPr="007C4041">
        <w:rPr>
          <w:rFonts w:ascii="Times New Roman" w:hAnsi="Times New Roman" w:cs="Times New Roman"/>
          <w:b/>
          <w:sz w:val="24"/>
          <w:szCs w:val="24"/>
          <w:lang w:val="es-PE"/>
        </w:rPr>
        <w:t xml:space="preserve"> FUNDADA </w:t>
      </w:r>
      <w:r w:rsidRPr="007C4041">
        <w:rPr>
          <w:rFonts w:ascii="Times New Roman" w:hAnsi="Times New Roman" w:cs="Times New Roman"/>
          <w:sz w:val="24"/>
          <w:szCs w:val="24"/>
          <w:lang w:val="es-PE"/>
        </w:rPr>
        <w:t>la reclamación</w:t>
      </w:r>
      <w:r w:rsidRPr="007C4041">
        <w:rPr>
          <w:rFonts w:ascii="Times New Roman" w:hAnsi="Times New Roman" w:cs="Times New Roman"/>
          <w:b/>
          <w:sz w:val="24"/>
          <w:szCs w:val="24"/>
          <w:lang w:val="es-PE"/>
        </w:rPr>
        <w:t xml:space="preserve"> </w:t>
      </w:r>
      <w:r w:rsidRPr="007C4041">
        <w:rPr>
          <w:rFonts w:ascii="Times New Roman" w:hAnsi="Times New Roman" w:cs="Times New Roman"/>
          <w:sz w:val="24"/>
          <w:szCs w:val="24"/>
          <w:lang w:val="es-PE"/>
        </w:rPr>
        <w:t>interpuesta por</w:t>
      </w:r>
      <w:r w:rsidRPr="007C4041">
        <w:rPr>
          <w:rFonts w:ascii="Times New Roman" w:hAnsi="Times New Roman" w:cs="Times New Roman"/>
          <w:b/>
          <w:bCs/>
          <w:sz w:val="24"/>
          <w:szCs w:val="24"/>
          <w:lang w:val="es-PE"/>
        </w:rPr>
        <w:t xml:space="preserve"> </w:t>
      </w:r>
      <w:r w:rsidR="00A8133F" w:rsidRPr="00A8133F">
        <w:rPr>
          <w:rFonts w:ascii="Times New Roman" w:hAnsi="Times New Roman" w:cs="Times New Roman"/>
          <w:sz w:val="24"/>
          <w:szCs w:val="24"/>
        </w:rPr>
        <w:t>..................</w:t>
      </w:r>
      <w:r w:rsidR="00A8133F">
        <w:rPr>
          <w:rFonts w:ascii="Times New Roman" w:hAnsi="Times New Roman" w:cs="Times New Roman"/>
          <w:sz w:val="24"/>
          <w:szCs w:val="24"/>
        </w:rPr>
        <w:t xml:space="preserve"> </w:t>
      </w:r>
      <w:r w:rsidRPr="007C4041">
        <w:rPr>
          <w:rFonts w:ascii="Times New Roman" w:hAnsi="Times New Roman" w:cs="Times New Roman"/>
          <w:sz w:val="24"/>
          <w:szCs w:val="24"/>
          <w:lang w:val="es-PE"/>
        </w:rPr>
        <w:t>correspondiente al</w:t>
      </w:r>
      <w:r w:rsidRPr="007C4041">
        <w:rPr>
          <w:rFonts w:ascii="Times New Roman" w:hAnsi="Times New Roman" w:cs="Times New Roman"/>
          <w:b/>
          <w:sz w:val="24"/>
          <w:szCs w:val="24"/>
          <w:lang w:val="es-PE"/>
        </w:rPr>
        <w:t xml:space="preserve"> SEGURO PROTECCIÓN DE TARJETA - PÓLIZA </w:t>
      </w:r>
      <w:r w:rsidR="00A8133F" w:rsidRPr="00A8133F">
        <w:rPr>
          <w:rFonts w:ascii="Times New Roman" w:hAnsi="Times New Roman" w:cs="Times New Roman"/>
          <w:sz w:val="24"/>
          <w:szCs w:val="24"/>
        </w:rPr>
        <w:t>..................</w:t>
      </w:r>
      <w:r w:rsidRPr="007C4041">
        <w:rPr>
          <w:rFonts w:ascii="Times New Roman" w:eastAsia="Times New Roman" w:hAnsi="Times New Roman" w:cs="Times New Roman"/>
          <w:sz w:val="24"/>
          <w:szCs w:val="24"/>
          <w:lang w:val="es-PE" w:eastAsia="es-ES"/>
        </w:rPr>
        <w:t xml:space="preserve">, por lo que </w:t>
      </w:r>
      <w:r w:rsidR="00A8133F" w:rsidRPr="00A8133F">
        <w:rPr>
          <w:rFonts w:ascii="Times New Roman" w:hAnsi="Times New Roman" w:cs="Times New Roman"/>
          <w:sz w:val="24"/>
          <w:szCs w:val="24"/>
        </w:rPr>
        <w:t>..................</w:t>
      </w:r>
      <w:r w:rsidR="00A8133F">
        <w:rPr>
          <w:rFonts w:ascii="Times New Roman" w:hAnsi="Times New Roman" w:cs="Times New Roman"/>
          <w:sz w:val="24"/>
          <w:szCs w:val="24"/>
        </w:rPr>
        <w:t xml:space="preserve"> </w:t>
      </w:r>
      <w:r w:rsidRPr="007C4041">
        <w:rPr>
          <w:rFonts w:ascii="Times New Roman" w:eastAsia="Times New Roman" w:hAnsi="Times New Roman" w:cs="Times New Roman"/>
          <w:sz w:val="24"/>
          <w:szCs w:val="24"/>
          <w:lang w:val="es-PE" w:eastAsia="es-ES"/>
        </w:rPr>
        <w:t xml:space="preserve">debe otorgar cobertura al siniestro del 2 de julio de 2020. </w:t>
      </w:r>
    </w:p>
    <w:p w14:paraId="2F9C573C" w14:textId="77777777" w:rsidR="007C4041" w:rsidRDefault="007C4041" w:rsidP="009E4DF4">
      <w:pPr>
        <w:spacing w:after="0"/>
        <w:jc w:val="right"/>
        <w:outlineLvl w:val="0"/>
        <w:rPr>
          <w:rFonts w:ascii="Times New Roman" w:hAnsi="Times New Roman" w:cs="Times New Roman"/>
          <w:sz w:val="24"/>
          <w:szCs w:val="24"/>
          <w:lang w:val="es-PE"/>
        </w:rPr>
      </w:pPr>
    </w:p>
    <w:p w14:paraId="5C586663" w14:textId="51B53418" w:rsidR="004C2BFA" w:rsidRPr="0082456E" w:rsidRDefault="00B56970" w:rsidP="009E4DF4">
      <w:pPr>
        <w:spacing w:after="0"/>
        <w:jc w:val="right"/>
        <w:outlineLvl w:val="0"/>
        <w:rPr>
          <w:rFonts w:ascii="Times New Roman" w:hAnsi="Times New Roman" w:cs="Times New Roman"/>
          <w:sz w:val="24"/>
          <w:szCs w:val="24"/>
          <w:lang w:val="es-PE"/>
        </w:rPr>
      </w:pPr>
      <w:r w:rsidRPr="0082456E">
        <w:rPr>
          <w:rFonts w:ascii="Times New Roman" w:hAnsi="Times New Roman" w:cs="Times New Roman"/>
          <w:sz w:val="24"/>
          <w:szCs w:val="24"/>
          <w:lang w:val="es-PE"/>
        </w:rPr>
        <w:t xml:space="preserve">Lima, </w:t>
      </w:r>
      <w:r w:rsidR="0082456E">
        <w:rPr>
          <w:rFonts w:ascii="Times New Roman" w:hAnsi="Times New Roman" w:cs="Times New Roman"/>
          <w:sz w:val="24"/>
          <w:szCs w:val="24"/>
          <w:lang w:val="es-PE"/>
        </w:rPr>
        <w:t>28</w:t>
      </w:r>
      <w:r w:rsidRPr="0082456E">
        <w:rPr>
          <w:rFonts w:ascii="Times New Roman" w:hAnsi="Times New Roman" w:cs="Times New Roman"/>
          <w:sz w:val="24"/>
          <w:szCs w:val="24"/>
          <w:lang w:val="es-PE"/>
        </w:rPr>
        <w:t xml:space="preserve"> de </w:t>
      </w:r>
      <w:r w:rsidR="000A7FDB" w:rsidRPr="0082456E">
        <w:rPr>
          <w:rFonts w:ascii="Times New Roman" w:hAnsi="Times New Roman" w:cs="Times New Roman"/>
          <w:sz w:val="24"/>
          <w:szCs w:val="24"/>
          <w:lang w:val="es-PE"/>
        </w:rPr>
        <w:t>dic</w:t>
      </w:r>
      <w:r w:rsidR="00145E15" w:rsidRPr="0082456E">
        <w:rPr>
          <w:rFonts w:ascii="Times New Roman" w:hAnsi="Times New Roman" w:cs="Times New Roman"/>
          <w:sz w:val="24"/>
          <w:szCs w:val="24"/>
          <w:lang w:val="es-PE"/>
        </w:rPr>
        <w:t>iembre</w:t>
      </w:r>
      <w:r w:rsidRPr="0082456E">
        <w:rPr>
          <w:rFonts w:ascii="Times New Roman" w:hAnsi="Times New Roman" w:cs="Times New Roman"/>
          <w:sz w:val="24"/>
          <w:szCs w:val="24"/>
          <w:lang w:val="es-PE"/>
        </w:rPr>
        <w:t xml:space="preserve"> d</w:t>
      </w:r>
      <w:r w:rsidR="00FB6906" w:rsidRPr="0082456E">
        <w:rPr>
          <w:rFonts w:ascii="Times New Roman" w:hAnsi="Times New Roman" w:cs="Times New Roman"/>
          <w:sz w:val="24"/>
          <w:szCs w:val="24"/>
          <w:lang w:val="es-PE"/>
        </w:rPr>
        <w:t>e 20</w:t>
      </w:r>
      <w:r w:rsidR="00E04450" w:rsidRPr="0082456E">
        <w:rPr>
          <w:rFonts w:ascii="Times New Roman" w:hAnsi="Times New Roman" w:cs="Times New Roman"/>
          <w:sz w:val="24"/>
          <w:szCs w:val="24"/>
          <w:lang w:val="es-PE"/>
        </w:rPr>
        <w:t>20</w:t>
      </w:r>
    </w:p>
    <w:p w14:paraId="5C844F14" w14:textId="7DEB3E1E" w:rsidR="00970849" w:rsidRPr="00D74063" w:rsidRDefault="00970849" w:rsidP="00970849">
      <w:pPr>
        <w:jc w:val="both"/>
        <w:rPr>
          <w:rFonts w:ascii="Times New Roman" w:hAnsi="Times New Roman"/>
          <w:b/>
          <w:bCs/>
          <w:i/>
          <w:iCs/>
          <w:sz w:val="24"/>
          <w:szCs w:val="24"/>
          <w:lang w:val="es-PE"/>
        </w:rPr>
      </w:pPr>
    </w:p>
    <w:p w14:paraId="163CFA99" w14:textId="50EAD899" w:rsidR="00970849" w:rsidRPr="00D74063" w:rsidRDefault="00970849" w:rsidP="00970849">
      <w:pPr>
        <w:jc w:val="both"/>
        <w:rPr>
          <w:rFonts w:ascii="Times New Roman" w:hAnsi="Times New Roman"/>
          <w:b/>
          <w:bCs/>
          <w:i/>
          <w:iCs/>
          <w:sz w:val="24"/>
          <w:szCs w:val="24"/>
          <w:lang w:val="es-PE"/>
        </w:rPr>
      </w:pPr>
      <w:r w:rsidRPr="00D74063">
        <w:rPr>
          <w:rFonts w:ascii="Times New Roman" w:hAnsi="Times New Roman"/>
          <w:b/>
          <w:bCs/>
          <w:i/>
          <w:iCs/>
          <w:sz w:val="24"/>
          <w:szCs w:val="24"/>
          <w:lang w:val="es-PE"/>
        </w:rPr>
        <w:t>La Secretaría Técnica certifica que la presente resolución, al haber sido emitida por el Órgano Resolutivo Unipersonal, cuenta con el voto del vocal cuyo nombre figura al final del presente documento.</w:t>
      </w:r>
    </w:p>
    <w:p w14:paraId="3C668019" w14:textId="77777777" w:rsidR="00970849" w:rsidRPr="00D74063" w:rsidRDefault="00970849" w:rsidP="00970849">
      <w:pPr>
        <w:spacing w:after="0" w:line="240" w:lineRule="auto"/>
        <w:rPr>
          <w:rFonts w:ascii="Times New Roman" w:hAnsi="Times New Roman"/>
          <w:sz w:val="24"/>
          <w:szCs w:val="24"/>
          <w:lang w:val="es-PE"/>
        </w:rPr>
      </w:pPr>
    </w:p>
    <w:p w14:paraId="5F1AC806" w14:textId="11534BEE" w:rsidR="00517989" w:rsidRPr="00D74063" w:rsidRDefault="0082456E" w:rsidP="00970849">
      <w:pPr>
        <w:spacing w:after="0" w:line="240" w:lineRule="auto"/>
        <w:jc w:val="center"/>
        <w:rPr>
          <w:rFonts w:ascii="Times New Roman" w:hAnsi="Times New Roman" w:cs="Times New Roman"/>
          <w:sz w:val="24"/>
          <w:szCs w:val="24"/>
          <w:lang w:val="es-PE"/>
        </w:rPr>
      </w:pPr>
      <w:r w:rsidRPr="00D74063">
        <w:rPr>
          <w:rFonts w:ascii="Times New Roman" w:hAnsi="Times New Roman" w:cs="Times New Roman"/>
          <w:b/>
          <w:bCs/>
          <w:sz w:val="24"/>
          <w:szCs w:val="24"/>
        </w:rPr>
        <w:t xml:space="preserve">Rolando Eyzaguirre </w:t>
      </w:r>
      <w:proofErr w:type="spellStart"/>
      <w:r w:rsidRPr="00D74063">
        <w:rPr>
          <w:rFonts w:ascii="Times New Roman" w:hAnsi="Times New Roman" w:cs="Times New Roman"/>
          <w:b/>
          <w:bCs/>
          <w:sz w:val="24"/>
          <w:szCs w:val="24"/>
        </w:rPr>
        <w:t>Maccan</w:t>
      </w:r>
      <w:proofErr w:type="spellEnd"/>
      <w:r w:rsidRPr="00D74063">
        <w:rPr>
          <w:rFonts w:ascii="Times New Roman" w:hAnsi="Times New Roman" w:cs="Times New Roman"/>
          <w:b/>
          <w:bCs/>
          <w:sz w:val="24"/>
          <w:szCs w:val="24"/>
        </w:rPr>
        <w:t xml:space="preserve"> </w:t>
      </w:r>
      <w:r w:rsidR="00970849" w:rsidRPr="00D74063">
        <w:rPr>
          <w:rFonts w:ascii="Times New Roman" w:hAnsi="Times New Roman"/>
          <w:b/>
          <w:bCs/>
          <w:sz w:val="24"/>
          <w:szCs w:val="24"/>
          <w:lang w:val="es-PE"/>
        </w:rPr>
        <w:t>- Vocal</w:t>
      </w:r>
    </w:p>
    <w:sectPr w:rsidR="00517989" w:rsidRPr="00D74063" w:rsidSect="003106B1">
      <w:headerReference w:type="default" r:id="rId8"/>
      <w:footerReference w:type="default" r:id="rId9"/>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DEC68" w14:textId="77777777" w:rsidR="00A54BED" w:rsidRDefault="00A54BED" w:rsidP="00B57224">
      <w:pPr>
        <w:spacing w:after="0" w:line="240" w:lineRule="auto"/>
      </w:pPr>
      <w:r>
        <w:separator/>
      </w:r>
    </w:p>
  </w:endnote>
  <w:endnote w:type="continuationSeparator" w:id="0">
    <w:p w14:paraId="1BB24155" w14:textId="77777777" w:rsidR="00A54BED" w:rsidRDefault="00A54BED"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Pr="00B57224">
              <w:rPr>
                <w:rFonts w:ascii="Arial" w:hAnsi="Arial" w:cs="Arial"/>
                <w:b/>
                <w:bCs/>
                <w:sz w:val="18"/>
                <w:szCs w:val="18"/>
                <w:lang w:val="es-ES"/>
              </w:rPr>
              <w:t>2</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Pr="00B57224">
              <w:rPr>
                <w:rFonts w:ascii="Arial" w:hAnsi="Arial" w:cs="Arial"/>
                <w:b/>
                <w:bCs/>
                <w:sz w:val="18"/>
                <w:szCs w:val="18"/>
                <w:lang w:val="es-ES"/>
              </w:rPr>
              <w:t>2</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3D69" w14:textId="77777777" w:rsidR="00A54BED" w:rsidRDefault="00A54BED" w:rsidP="00B57224">
      <w:pPr>
        <w:spacing w:after="0" w:line="240" w:lineRule="auto"/>
      </w:pPr>
      <w:r>
        <w:separator/>
      </w:r>
    </w:p>
  </w:footnote>
  <w:footnote w:type="continuationSeparator" w:id="0">
    <w:p w14:paraId="7E5DF28E" w14:textId="77777777" w:rsidR="00A54BED" w:rsidRDefault="00A54BED"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AEE39" w14:textId="27DE6E66" w:rsidR="00970849" w:rsidRDefault="00970849">
    <w:pPr>
      <w:pStyle w:val="Encabezado"/>
    </w:pPr>
  </w:p>
  <w:p w14:paraId="722621F9" w14:textId="77777777" w:rsidR="00970849" w:rsidRDefault="009708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6290"/>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A7FDB"/>
    <w:rsid w:val="000B314C"/>
    <w:rsid w:val="000B64D1"/>
    <w:rsid w:val="000C4CDF"/>
    <w:rsid w:val="000D30F5"/>
    <w:rsid w:val="000F2A05"/>
    <w:rsid w:val="000F2BBA"/>
    <w:rsid w:val="001016D4"/>
    <w:rsid w:val="0010186E"/>
    <w:rsid w:val="001040BA"/>
    <w:rsid w:val="00106689"/>
    <w:rsid w:val="00117C01"/>
    <w:rsid w:val="00125FE7"/>
    <w:rsid w:val="001366A9"/>
    <w:rsid w:val="001418E5"/>
    <w:rsid w:val="00145E15"/>
    <w:rsid w:val="00146236"/>
    <w:rsid w:val="00146694"/>
    <w:rsid w:val="00152859"/>
    <w:rsid w:val="00155009"/>
    <w:rsid w:val="0015556E"/>
    <w:rsid w:val="00164967"/>
    <w:rsid w:val="00180275"/>
    <w:rsid w:val="001844B1"/>
    <w:rsid w:val="001914C6"/>
    <w:rsid w:val="0019171E"/>
    <w:rsid w:val="00192EDA"/>
    <w:rsid w:val="00195AB4"/>
    <w:rsid w:val="0019674B"/>
    <w:rsid w:val="001B11A6"/>
    <w:rsid w:val="001B532B"/>
    <w:rsid w:val="001B6E61"/>
    <w:rsid w:val="001C2CA4"/>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14AF1"/>
    <w:rsid w:val="00220813"/>
    <w:rsid w:val="002218C1"/>
    <w:rsid w:val="00223D52"/>
    <w:rsid w:val="00224959"/>
    <w:rsid w:val="0024081F"/>
    <w:rsid w:val="00241E01"/>
    <w:rsid w:val="00252018"/>
    <w:rsid w:val="0025325C"/>
    <w:rsid w:val="0025627F"/>
    <w:rsid w:val="00260FF1"/>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6DAE"/>
    <w:rsid w:val="003578CF"/>
    <w:rsid w:val="003715F6"/>
    <w:rsid w:val="00377050"/>
    <w:rsid w:val="00377308"/>
    <w:rsid w:val="0039023D"/>
    <w:rsid w:val="00392491"/>
    <w:rsid w:val="00394102"/>
    <w:rsid w:val="003A5DAD"/>
    <w:rsid w:val="003A5EA1"/>
    <w:rsid w:val="003B313D"/>
    <w:rsid w:val="003B433B"/>
    <w:rsid w:val="003C503F"/>
    <w:rsid w:val="003C74BF"/>
    <w:rsid w:val="003D349B"/>
    <w:rsid w:val="003D3561"/>
    <w:rsid w:val="003D5CC2"/>
    <w:rsid w:val="003D7A82"/>
    <w:rsid w:val="003E2C69"/>
    <w:rsid w:val="003E4FEA"/>
    <w:rsid w:val="003E624B"/>
    <w:rsid w:val="003F04BB"/>
    <w:rsid w:val="00402BF6"/>
    <w:rsid w:val="00412963"/>
    <w:rsid w:val="00412E98"/>
    <w:rsid w:val="00413416"/>
    <w:rsid w:val="004134E8"/>
    <w:rsid w:val="00413595"/>
    <w:rsid w:val="0041484B"/>
    <w:rsid w:val="00417E23"/>
    <w:rsid w:val="00420819"/>
    <w:rsid w:val="004255AB"/>
    <w:rsid w:val="004424DA"/>
    <w:rsid w:val="00445EFA"/>
    <w:rsid w:val="004540D8"/>
    <w:rsid w:val="00457B96"/>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C55"/>
    <w:rsid w:val="00505C26"/>
    <w:rsid w:val="005166F8"/>
    <w:rsid w:val="00533EC1"/>
    <w:rsid w:val="005367AF"/>
    <w:rsid w:val="005514C0"/>
    <w:rsid w:val="00552566"/>
    <w:rsid w:val="00557E5E"/>
    <w:rsid w:val="00565CB8"/>
    <w:rsid w:val="00573DBE"/>
    <w:rsid w:val="00582D12"/>
    <w:rsid w:val="0058358B"/>
    <w:rsid w:val="00585112"/>
    <w:rsid w:val="00592777"/>
    <w:rsid w:val="00594495"/>
    <w:rsid w:val="005A1EF9"/>
    <w:rsid w:val="005A2B8C"/>
    <w:rsid w:val="005D4985"/>
    <w:rsid w:val="005D77F9"/>
    <w:rsid w:val="005D7CFE"/>
    <w:rsid w:val="005E273A"/>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76F1"/>
    <w:rsid w:val="006A1971"/>
    <w:rsid w:val="006A67DC"/>
    <w:rsid w:val="006A7702"/>
    <w:rsid w:val="006B7E74"/>
    <w:rsid w:val="006C3307"/>
    <w:rsid w:val="006D7DBE"/>
    <w:rsid w:val="006E0A76"/>
    <w:rsid w:val="006E6816"/>
    <w:rsid w:val="006F2CD4"/>
    <w:rsid w:val="006F6015"/>
    <w:rsid w:val="006F67BF"/>
    <w:rsid w:val="00722CC9"/>
    <w:rsid w:val="007276F8"/>
    <w:rsid w:val="00730058"/>
    <w:rsid w:val="00732EDC"/>
    <w:rsid w:val="00736818"/>
    <w:rsid w:val="00743E6E"/>
    <w:rsid w:val="007463FE"/>
    <w:rsid w:val="00747791"/>
    <w:rsid w:val="00747A1F"/>
    <w:rsid w:val="00750593"/>
    <w:rsid w:val="007546DF"/>
    <w:rsid w:val="00756047"/>
    <w:rsid w:val="00756593"/>
    <w:rsid w:val="00756D8F"/>
    <w:rsid w:val="00756DF4"/>
    <w:rsid w:val="00766ACB"/>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C4041"/>
    <w:rsid w:val="007D6DD2"/>
    <w:rsid w:val="007E3A66"/>
    <w:rsid w:val="007E628E"/>
    <w:rsid w:val="007F2A2E"/>
    <w:rsid w:val="00806391"/>
    <w:rsid w:val="008066A8"/>
    <w:rsid w:val="008130B5"/>
    <w:rsid w:val="0082142A"/>
    <w:rsid w:val="0082456E"/>
    <w:rsid w:val="00826701"/>
    <w:rsid w:val="00830FB9"/>
    <w:rsid w:val="00837209"/>
    <w:rsid w:val="00842223"/>
    <w:rsid w:val="00844228"/>
    <w:rsid w:val="00855EC0"/>
    <w:rsid w:val="0086040A"/>
    <w:rsid w:val="00863A03"/>
    <w:rsid w:val="00871B5E"/>
    <w:rsid w:val="00877FD4"/>
    <w:rsid w:val="00882512"/>
    <w:rsid w:val="00890798"/>
    <w:rsid w:val="008930FB"/>
    <w:rsid w:val="00893BF7"/>
    <w:rsid w:val="0089640F"/>
    <w:rsid w:val="008A0F15"/>
    <w:rsid w:val="008A4072"/>
    <w:rsid w:val="008A5047"/>
    <w:rsid w:val="008B0E6E"/>
    <w:rsid w:val="008C0ACE"/>
    <w:rsid w:val="008C4034"/>
    <w:rsid w:val="008C46C8"/>
    <w:rsid w:val="008C74C6"/>
    <w:rsid w:val="008E2739"/>
    <w:rsid w:val="008E6F59"/>
    <w:rsid w:val="008F1C7E"/>
    <w:rsid w:val="008F54E1"/>
    <w:rsid w:val="0090162D"/>
    <w:rsid w:val="00915995"/>
    <w:rsid w:val="00920237"/>
    <w:rsid w:val="009257C4"/>
    <w:rsid w:val="00926F99"/>
    <w:rsid w:val="009318A6"/>
    <w:rsid w:val="009426E2"/>
    <w:rsid w:val="00942949"/>
    <w:rsid w:val="00952C08"/>
    <w:rsid w:val="00960629"/>
    <w:rsid w:val="009663A3"/>
    <w:rsid w:val="00970849"/>
    <w:rsid w:val="009807A7"/>
    <w:rsid w:val="00987183"/>
    <w:rsid w:val="009A15D9"/>
    <w:rsid w:val="009A248B"/>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1EBE"/>
    <w:rsid w:val="00A22386"/>
    <w:rsid w:val="00A223FC"/>
    <w:rsid w:val="00A2262B"/>
    <w:rsid w:val="00A228B4"/>
    <w:rsid w:val="00A24146"/>
    <w:rsid w:val="00A241E8"/>
    <w:rsid w:val="00A26860"/>
    <w:rsid w:val="00A45193"/>
    <w:rsid w:val="00A4753D"/>
    <w:rsid w:val="00A54BED"/>
    <w:rsid w:val="00A669DB"/>
    <w:rsid w:val="00A744E4"/>
    <w:rsid w:val="00A75298"/>
    <w:rsid w:val="00A8133F"/>
    <w:rsid w:val="00A82A4F"/>
    <w:rsid w:val="00A85B27"/>
    <w:rsid w:val="00A96376"/>
    <w:rsid w:val="00A96427"/>
    <w:rsid w:val="00AA019A"/>
    <w:rsid w:val="00AC30B1"/>
    <w:rsid w:val="00AC5A27"/>
    <w:rsid w:val="00AD0744"/>
    <w:rsid w:val="00AD4136"/>
    <w:rsid w:val="00AD6696"/>
    <w:rsid w:val="00AD6790"/>
    <w:rsid w:val="00AE10C2"/>
    <w:rsid w:val="00AF0356"/>
    <w:rsid w:val="00AF1787"/>
    <w:rsid w:val="00AF69D8"/>
    <w:rsid w:val="00B04C2A"/>
    <w:rsid w:val="00B07F68"/>
    <w:rsid w:val="00B12805"/>
    <w:rsid w:val="00B15347"/>
    <w:rsid w:val="00B336F9"/>
    <w:rsid w:val="00B36ADE"/>
    <w:rsid w:val="00B45603"/>
    <w:rsid w:val="00B506A3"/>
    <w:rsid w:val="00B56970"/>
    <w:rsid w:val="00B57224"/>
    <w:rsid w:val="00B6139F"/>
    <w:rsid w:val="00B61C71"/>
    <w:rsid w:val="00B61EF6"/>
    <w:rsid w:val="00B6416D"/>
    <w:rsid w:val="00B65D8D"/>
    <w:rsid w:val="00B67A6A"/>
    <w:rsid w:val="00B732FF"/>
    <w:rsid w:val="00B75DB1"/>
    <w:rsid w:val="00B85B34"/>
    <w:rsid w:val="00B91725"/>
    <w:rsid w:val="00BA68C4"/>
    <w:rsid w:val="00BA693F"/>
    <w:rsid w:val="00BB00C1"/>
    <w:rsid w:val="00BB04AE"/>
    <w:rsid w:val="00BB2650"/>
    <w:rsid w:val="00BC0670"/>
    <w:rsid w:val="00BC4A96"/>
    <w:rsid w:val="00BC6A0F"/>
    <w:rsid w:val="00BD0572"/>
    <w:rsid w:val="00BD61D8"/>
    <w:rsid w:val="00BD6B33"/>
    <w:rsid w:val="00BE07D7"/>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4BD5"/>
    <w:rsid w:val="00D2616E"/>
    <w:rsid w:val="00D32B54"/>
    <w:rsid w:val="00D36CE0"/>
    <w:rsid w:val="00D43B5A"/>
    <w:rsid w:val="00D45222"/>
    <w:rsid w:val="00D55B32"/>
    <w:rsid w:val="00D624D0"/>
    <w:rsid w:val="00D65084"/>
    <w:rsid w:val="00D65EDA"/>
    <w:rsid w:val="00D67128"/>
    <w:rsid w:val="00D7332F"/>
    <w:rsid w:val="00D74063"/>
    <w:rsid w:val="00D77AC6"/>
    <w:rsid w:val="00D863E9"/>
    <w:rsid w:val="00D86E87"/>
    <w:rsid w:val="00D92A00"/>
    <w:rsid w:val="00D93672"/>
    <w:rsid w:val="00DA743E"/>
    <w:rsid w:val="00DC3F00"/>
    <w:rsid w:val="00DC456D"/>
    <w:rsid w:val="00DC5073"/>
    <w:rsid w:val="00DD6329"/>
    <w:rsid w:val="00DE1BB9"/>
    <w:rsid w:val="00DE7B6B"/>
    <w:rsid w:val="00DF69A5"/>
    <w:rsid w:val="00E04450"/>
    <w:rsid w:val="00E06CF1"/>
    <w:rsid w:val="00E220CF"/>
    <w:rsid w:val="00E22D25"/>
    <w:rsid w:val="00E243B4"/>
    <w:rsid w:val="00E243D4"/>
    <w:rsid w:val="00E24BF9"/>
    <w:rsid w:val="00E264B0"/>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33CF"/>
    <w:rsid w:val="00F06D39"/>
    <w:rsid w:val="00F12778"/>
    <w:rsid w:val="00F2499B"/>
    <w:rsid w:val="00F2753E"/>
    <w:rsid w:val="00F47E0C"/>
    <w:rsid w:val="00F55A85"/>
    <w:rsid w:val="00F57C86"/>
    <w:rsid w:val="00F60407"/>
    <w:rsid w:val="00F61622"/>
    <w:rsid w:val="00F6392B"/>
    <w:rsid w:val="00F64379"/>
    <w:rsid w:val="00F71374"/>
    <w:rsid w:val="00F76472"/>
    <w:rsid w:val="00F82239"/>
    <w:rsid w:val="00F96284"/>
    <w:rsid w:val="00FA0EF8"/>
    <w:rsid w:val="00FA108A"/>
    <w:rsid w:val="00FA18DA"/>
    <w:rsid w:val="00FA29A4"/>
    <w:rsid w:val="00FA5A88"/>
    <w:rsid w:val="00FA7117"/>
    <w:rsid w:val="00FB6906"/>
    <w:rsid w:val="00FB721D"/>
    <w:rsid w:val="00FC2DBA"/>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622">
      <w:bodyDiv w:val="1"/>
      <w:marLeft w:val="0"/>
      <w:marRight w:val="0"/>
      <w:marTop w:val="0"/>
      <w:marBottom w:val="0"/>
      <w:divBdr>
        <w:top w:val="none" w:sz="0" w:space="0" w:color="auto"/>
        <w:left w:val="none" w:sz="0" w:space="0" w:color="auto"/>
        <w:bottom w:val="none" w:sz="0" w:space="0" w:color="auto"/>
        <w:right w:val="none" w:sz="0" w:space="0" w:color="auto"/>
      </w:divBdr>
    </w:div>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1587</Words>
  <Characters>8733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14</cp:revision>
  <cp:lastPrinted>2021-01-08T15:34:00Z</cp:lastPrinted>
  <dcterms:created xsi:type="dcterms:W3CDTF">2020-12-15T16:50:00Z</dcterms:created>
  <dcterms:modified xsi:type="dcterms:W3CDTF">2021-02-24T15:20:00Z</dcterms:modified>
</cp:coreProperties>
</file>