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E0E96" w14:textId="14CE14BF" w:rsidR="00707C99" w:rsidRPr="0013399F" w:rsidRDefault="00201C0D" w:rsidP="00272F4F">
      <w:pPr>
        <w:spacing w:after="0" w:line="240" w:lineRule="auto"/>
        <w:jc w:val="center"/>
        <w:rPr>
          <w:rFonts w:ascii="Times New Roman" w:hAnsi="Times New Roman" w:cs="Times New Roman"/>
          <w:b/>
          <w:sz w:val="24"/>
          <w:szCs w:val="24"/>
          <w:lang w:val="es-MX" w:eastAsia="ar-SA"/>
        </w:rPr>
      </w:pPr>
      <w:r w:rsidRPr="0013399F">
        <w:rPr>
          <w:rFonts w:ascii="Times New Roman" w:hAnsi="Times New Roman" w:cs="Times New Roman"/>
          <w:b/>
          <w:sz w:val="24"/>
          <w:szCs w:val="24"/>
          <w:lang w:val="es-MX" w:eastAsia="ar-SA"/>
        </w:rPr>
        <w:t xml:space="preserve">RESOLUCIÓN DE RECURSO IMPUGNATIVO </w:t>
      </w:r>
      <w:proofErr w:type="spellStart"/>
      <w:r w:rsidR="00707C99" w:rsidRPr="0013399F">
        <w:rPr>
          <w:rFonts w:ascii="Times New Roman" w:hAnsi="Times New Roman" w:cs="Times New Roman"/>
          <w:b/>
          <w:sz w:val="24"/>
          <w:szCs w:val="24"/>
          <w:lang w:val="es-MX" w:eastAsia="ar-SA"/>
        </w:rPr>
        <w:t>N°</w:t>
      </w:r>
      <w:proofErr w:type="spellEnd"/>
      <w:r w:rsidR="00707C99" w:rsidRPr="0013399F">
        <w:rPr>
          <w:rFonts w:ascii="Times New Roman" w:hAnsi="Times New Roman" w:cs="Times New Roman"/>
          <w:b/>
          <w:sz w:val="24"/>
          <w:szCs w:val="24"/>
          <w:lang w:val="es-MX" w:eastAsia="ar-SA"/>
        </w:rPr>
        <w:t xml:space="preserve"> </w:t>
      </w:r>
      <w:r w:rsidR="0013399F">
        <w:rPr>
          <w:rFonts w:ascii="Times New Roman" w:hAnsi="Times New Roman" w:cs="Times New Roman"/>
          <w:b/>
          <w:sz w:val="24"/>
          <w:szCs w:val="24"/>
          <w:lang w:val="es-MX" w:eastAsia="ar-SA"/>
        </w:rPr>
        <w:t>005/20</w:t>
      </w:r>
    </w:p>
    <w:p w14:paraId="428240E5" w14:textId="06F06948" w:rsidR="00707C99" w:rsidRPr="0013399F" w:rsidRDefault="00707C99" w:rsidP="00272F4F">
      <w:pPr>
        <w:suppressAutoHyphens/>
        <w:spacing w:after="0" w:line="240" w:lineRule="auto"/>
        <w:jc w:val="center"/>
        <w:rPr>
          <w:rFonts w:ascii="Times New Roman" w:eastAsia="Times New Roman" w:hAnsi="Times New Roman" w:cs="Times New Roman"/>
          <w:b/>
          <w:bCs/>
          <w:sz w:val="24"/>
          <w:szCs w:val="24"/>
          <w:lang w:val="es-MX" w:eastAsia="ar-SA"/>
        </w:rPr>
      </w:pPr>
    </w:p>
    <w:p w14:paraId="500397C4" w14:textId="77777777" w:rsidR="00B32325" w:rsidRPr="0013399F" w:rsidRDefault="00B32325" w:rsidP="00272F4F">
      <w:pPr>
        <w:suppressAutoHyphens/>
        <w:spacing w:after="0" w:line="240" w:lineRule="auto"/>
        <w:jc w:val="center"/>
        <w:rPr>
          <w:rFonts w:ascii="Times New Roman" w:eastAsia="Times New Roman" w:hAnsi="Times New Roman" w:cs="Times New Roman"/>
          <w:b/>
          <w:bCs/>
          <w:sz w:val="24"/>
          <w:szCs w:val="24"/>
          <w:lang w:val="es-MX" w:eastAsia="ar-SA"/>
        </w:rPr>
      </w:pPr>
    </w:p>
    <w:p w14:paraId="1F0B0D14" w14:textId="77777777" w:rsidR="00707C99" w:rsidRPr="0013399F" w:rsidRDefault="00707C99" w:rsidP="00272F4F">
      <w:pPr>
        <w:suppressAutoHyphens/>
        <w:spacing w:after="0" w:line="240" w:lineRule="auto"/>
        <w:jc w:val="both"/>
        <w:outlineLvl w:val="0"/>
        <w:rPr>
          <w:rFonts w:ascii="Times New Roman" w:eastAsia="Times New Roman" w:hAnsi="Times New Roman" w:cs="Times New Roman"/>
          <w:b/>
          <w:bCs/>
          <w:sz w:val="24"/>
          <w:szCs w:val="24"/>
          <w:lang w:val="es-MX" w:eastAsia="ar-SA"/>
        </w:rPr>
      </w:pPr>
      <w:r w:rsidRPr="0013399F">
        <w:rPr>
          <w:rFonts w:ascii="Times New Roman" w:eastAsia="Times New Roman" w:hAnsi="Times New Roman" w:cs="Times New Roman"/>
          <w:b/>
          <w:bCs/>
          <w:sz w:val="24"/>
          <w:szCs w:val="24"/>
          <w:lang w:val="es-MX" w:eastAsia="ar-SA"/>
        </w:rPr>
        <w:t>Vistos:</w:t>
      </w:r>
    </w:p>
    <w:p w14:paraId="06017722" w14:textId="77777777" w:rsidR="00707C99" w:rsidRPr="0013399F" w:rsidRDefault="00707C99" w:rsidP="00B8028F">
      <w:pPr>
        <w:suppressAutoHyphens/>
        <w:spacing w:after="0" w:line="240" w:lineRule="auto"/>
        <w:jc w:val="both"/>
        <w:rPr>
          <w:rFonts w:ascii="Times New Roman" w:eastAsia="Times New Roman" w:hAnsi="Times New Roman" w:cs="Times New Roman"/>
          <w:b/>
          <w:bCs/>
          <w:sz w:val="24"/>
          <w:szCs w:val="24"/>
          <w:lang w:val="es-MX" w:eastAsia="ar-SA"/>
        </w:rPr>
      </w:pPr>
    </w:p>
    <w:p w14:paraId="03C25AB7" w14:textId="241838F4" w:rsidR="000F6340" w:rsidRPr="0013399F" w:rsidRDefault="00707C99" w:rsidP="00706EB2">
      <w:pPr>
        <w:tabs>
          <w:tab w:val="left" w:pos="0"/>
          <w:tab w:val="left" w:pos="708"/>
          <w:tab w:val="left" w:pos="1416"/>
          <w:tab w:val="left" w:pos="2160"/>
          <w:tab w:val="left" w:pos="3540"/>
          <w:tab w:val="left" w:pos="4248"/>
          <w:tab w:val="left" w:pos="4956"/>
          <w:tab w:val="left" w:pos="5664"/>
          <w:tab w:val="left" w:pos="6372"/>
          <w:tab w:val="left" w:pos="7125"/>
        </w:tabs>
        <w:spacing w:after="0" w:line="240" w:lineRule="auto"/>
        <w:jc w:val="both"/>
        <w:rPr>
          <w:rFonts w:ascii="Times New Roman" w:eastAsia="Arial Unicode MS" w:hAnsi="Times New Roman" w:cs="Times New Roman"/>
          <w:sz w:val="24"/>
          <w:szCs w:val="24"/>
          <w:lang w:val="es-PE"/>
        </w:rPr>
      </w:pPr>
      <w:r w:rsidRPr="0013399F">
        <w:rPr>
          <w:rFonts w:ascii="Times New Roman" w:eastAsia="Times New Roman" w:hAnsi="Times New Roman" w:cs="Times New Roman"/>
          <w:sz w:val="24"/>
          <w:szCs w:val="24"/>
          <w:lang w:val="es-ES" w:eastAsia="ar-SA"/>
        </w:rPr>
        <w:t xml:space="preserve">El </w:t>
      </w:r>
      <w:r w:rsidR="0032132E" w:rsidRPr="0013399F">
        <w:rPr>
          <w:rFonts w:ascii="Times New Roman" w:eastAsia="Times New Roman" w:hAnsi="Times New Roman" w:cs="Times New Roman"/>
          <w:sz w:val="24"/>
          <w:szCs w:val="24"/>
          <w:lang w:val="es-ES" w:eastAsia="ar-SA"/>
        </w:rPr>
        <w:t>recurso</w:t>
      </w:r>
      <w:r w:rsidR="00201C0D" w:rsidRPr="0013399F">
        <w:rPr>
          <w:rFonts w:ascii="Times New Roman" w:eastAsia="Times New Roman" w:hAnsi="Times New Roman" w:cs="Times New Roman"/>
          <w:sz w:val="24"/>
          <w:szCs w:val="24"/>
          <w:lang w:val="es-ES" w:eastAsia="ar-SA"/>
        </w:rPr>
        <w:t xml:space="preserve"> </w:t>
      </w:r>
      <w:r w:rsidR="00FF41F3" w:rsidRPr="0013399F">
        <w:rPr>
          <w:rFonts w:ascii="Times New Roman" w:eastAsia="Times New Roman" w:hAnsi="Times New Roman" w:cs="Times New Roman"/>
          <w:sz w:val="24"/>
          <w:szCs w:val="24"/>
          <w:lang w:val="es-ES" w:eastAsia="ar-SA"/>
        </w:rPr>
        <w:t xml:space="preserve">de impugnación </w:t>
      </w:r>
      <w:r w:rsidRPr="0013399F">
        <w:rPr>
          <w:rFonts w:ascii="Times New Roman" w:eastAsia="Times New Roman" w:hAnsi="Times New Roman" w:cs="Times New Roman"/>
          <w:sz w:val="24"/>
          <w:szCs w:val="24"/>
          <w:lang w:val="es-ES" w:eastAsia="ar-SA"/>
        </w:rPr>
        <w:t>presentado el</w:t>
      </w:r>
      <w:r w:rsidR="00B625F2" w:rsidRPr="0013399F">
        <w:rPr>
          <w:rFonts w:ascii="Times New Roman" w:eastAsia="Times New Roman" w:hAnsi="Times New Roman" w:cs="Times New Roman"/>
          <w:sz w:val="24"/>
          <w:szCs w:val="24"/>
          <w:lang w:val="es-ES" w:eastAsia="ar-SA"/>
        </w:rPr>
        <w:t xml:space="preserve"> </w:t>
      </w:r>
      <w:r w:rsidR="00706EB2" w:rsidRPr="0013399F">
        <w:rPr>
          <w:rFonts w:ascii="Times New Roman" w:eastAsia="Times New Roman" w:hAnsi="Times New Roman" w:cs="Times New Roman"/>
          <w:sz w:val="24"/>
          <w:szCs w:val="24"/>
          <w:lang w:val="es-ES" w:eastAsia="ar-SA"/>
        </w:rPr>
        <w:t>26 de diciem</w:t>
      </w:r>
      <w:r w:rsidR="00440BC2" w:rsidRPr="0013399F">
        <w:rPr>
          <w:rFonts w:ascii="Times New Roman" w:eastAsia="Times New Roman" w:hAnsi="Times New Roman" w:cs="Times New Roman"/>
          <w:sz w:val="24"/>
          <w:szCs w:val="24"/>
          <w:lang w:val="es-ES" w:eastAsia="ar-SA"/>
        </w:rPr>
        <w:t>bre</w:t>
      </w:r>
      <w:r w:rsidR="009272D7" w:rsidRPr="0013399F">
        <w:rPr>
          <w:rFonts w:ascii="Times New Roman" w:eastAsia="Times New Roman" w:hAnsi="Times New Roman" w:cs="Times New Roman"/>
          <w:sz w:val="24"/>
          <w:szCs w:val="24"/>
          <w:lang w:val="es-ES" w:eastAsia="ar-SA"/>
        </w:rPr>
        <w:t xml:space="preserve"> </w:t>
      </w:r>
      <w:r w:rsidR="00A25F51" w:rsidRPr="0013399F">
        <w:rPr>
          <w:rFonts w:ascii="Times New Roman" w:eastAsia="Times New Roman" w:hAnsi="Times New Roman" w:cs="Times New Roman"/>
          <w:sz w:val="24"/>
          <w:szCs w:val="24"/>
          <w:lang w:val="es-ES" w:eastAsia="ar-SA"/>
        </w:rPr>
        <w:t>de 201</w:t>
      </w:r>
      <w:r w:rsidR="00784355" w:rsidRPr="0013399F">
        <w:rPr>
          <w:rFonts w:ascii="Times New Roman" w:eastAsia="Times New Roman" w:hAnsi="Times New Roman" w:cs="Times New Roman"/>
          <w:sz w:val="24"/>
          <w:szCs w:val="24"/>
          <w:lang w:val="es-ES" w:eastAsia="ar-SA"/>
        </w:rPr>
        <w:t>9</w:t>
      </w:r>
      <w:r w:rsidRPr="0013399F">
        <w:rPr>
          <w:rFonts w:ascii="Times New Roman" w:eastAsia="Times New Roman" w:hAnsi="Times New Roman" w:cs="Times New Roman"/>
          <w:sz w:val="24"/>
          <w:szCs w:val="24"/>
          <w:lang w:val="es-ES" w:eastAsia="ar-SA"/>
        </w:rPr>
        <w:t xml:space="preserve"> por</w:t>
      </w:r>
      <w:r w:rsidR="00015C22" w:rsidRPr="0013399F">
        <w:rPr>
          <w:rFonts w:ascii="Times New Roman" w:eastAsia="Times New Roman" w:hAnsi="Times New Roman" w:cs="Times New Roman"/>
          <w:sz w:val="24"/>
          <w:szCs w:val="24"/>
          <w:lang w:val="es-ES" w:eastAsia="ar-SA"/>
        </w:rPr>
        <w:t xml:space="preserve"> </w:t>
      </w:r>
      <w:r w:rsidR="006F5817" w:rsidRPr="006F5817">
        <w:rPr>
          <w:rFonts w:ascii="Times New Roman" w:hAnsi="Times New Roman" w:cs="Times New Roman"/>
          <w:sz w:val="24"/>
          <w:szCs w:val="24"/>
        </w:rPr>
        <w:t>..................</w:t>
      </w:r>
      <w:r w:rsidR="006F5817">
        <w:rPr>
          <w:rStyle w:val="normaltextrun"/>
          <w:lang w:val="es-ES"/>
        </w:rPr>
        <w:t xml:space="preserve"> </w:t>
      </w:r>
      <w:r w:rsidR="006F5817">
        <w:rPr>
          <w:rStyle w:val="normaltextrun"/>
          <w:lang w:val="es-ES"/>
        </w:rPr>
        <w:t xml:space="preserve"> </w:t>
      </w:r>
      <w:r w:rsidR="003F1B5F" w:rsidRPr="0013399F">
        <w:rPr>
          <w:rFonts w:ascii="Times New Roman" w:eastAsia="Times New Roman" w:hAnsi="Times New Roman" w:cs="Times New Roman"/>
          <w:sz w:val="24"/>
          <w:szCs w:val="24"/>
          <w:lang w:val="es-ES" w:eastAsia="ar-SA"/>
        </w:rPr>
        <w:t>respecto de la Resolución Nro.</w:t>
      </w:r>
      <w:r w:rsidRPr="0013399F">
        <w:rPr>
          <w:rFonts w:ascii="Times New Roman" w:eastAsia="Times New Roman" w:hAnsi="Times New Roman" w:cs="Times New Roman"/>
          <w:sz w:val="24"/>
          <w:szCs w:val="24"/>
          <w:lang w:val="es-ES" w:eastAsia="ar-SA"/>
        </w:rPr>
        <w:t xml:space="preserve"> </w:t>
      </w:r>
      <w:r w:rsidR="00440BC2" w:rsidRPr="0013399F">
        <w:rPr>
          <w:rFonts w:ascii="Times New Roman" w:eastAsia="Times New Roman" w:hAnsi="Times New Roman" w:cs="Times New Roman"/>
          <w:sz w:val="24"/>
          <w:szCs w:val="24"/>
          <w:lang w:val="es-ES" w:eastAsia="ar-SA"/>
        </w:rPr>
        <w:t>1</w:t>
      </w:r>
      <w:r w:rsidR="00706EB2" w:rsidRPr="0013399F">
        <w:rPr>
          <w:rFonts w:ascii="Times New Roman" w:eastAsia="Times New Roman" w:hAnsi="Times New Roman" w:cs="Times New Roman"/>
          <w:sz w:val="24"/>
          <w:szCs w:val="24"/>
          <w:lang w:val="es-ES" w:eastAsia="ar-SA"/>
        </w:rPr>
        <w:t>55</w:t>
      </w:r>
      <w:r w:rsidR="000B19A0" w:rsidRPr="0013399F">
        <w:rPr>
          <w:rFonts w:ascii="Times New Roman" w:eastAsia="Times New Roman" w:hAnsi="Times New Roman" w:cs="Times New Roman"/>
          <w:sz w:val="24"/>
          <w:szCs w:val="24"/>
          <w:lang w:val="es-ES" w:eastAsia="ar-SA"/>
        </w:rPr>
        <w:t>/</w:t>
      </w:r>
      <w:r w:rsidRPr="0013399F">
        <w:rPr>
          <w:rFonts w:ascii="Times New Roman" w:eastAsia="Times New Roman" w:hAnsi="Times New Roman" w:cs="Times New Roman"/>
          <w:sz w:val="24"/>
          <w:szCs w:val="24"/>
          <w:lang w:val="es-ES" w:eastAsia="ar-SA"/>
        </w:rPr>
        <w:t>1</w:t>
      </w:r>
      <w:r w:rsidR="00440BC2" w:rsidRPr="0013399F">
        <w:rPr>
          <w:rFonts w:ascii="Times New Roman" w:eastAsia="Times New Roman" w:hAnsi="Times New Roman" w:cs="Times New Roman"/>
          <w:sz w:val="24"/>
          <w:szCs w:val="24"/>
          <w:lang w:val="es-ES" w:eastAsia="ar-SA"/>
        </w:rPr>
        <w:t>9</w:t>
      </w:r>
      <w:r w:rsidRPr="0013399F">
        <w:rPr>
          <w:rFonts w:ascii="Times New Roman" w:eastAsia="Times New Roman" w:hAnsi="Times New Roman" w:cs="Times New Roman"/>
          <w:sz w:val="24"/>
          <w:szCs w:val="24"/>
          <w:lang w:val="es-ES" w:eastAsia="ar-SA"/>
        </w:rPr>
        <w:t xml:space="preserve">, de fecha </w:t>
      </w:r>
      <w:r w:rsidR="00706EB2" w:rsidRPr="0013399F">
        <w:rPr>
          <w:rFonts w:ascii="Times New Roman" w:eastAsia="Times New Roman" w:hAnsi="Times New Roman" w:cs="Times New Roman"/>
          <w:sz w:val="24"/>
          <w:szCs w:val="24"/>
          <w:lang w:val="es-ES" w:eastAsia="ar-SA"/>
        </w:rPr>
        <w:t>16</w:t>
      </w:r>
      <w:r w:rsidR="00440BC2" w:rsidRPr="0013399F">
        <w:rPr>
          <w:rFonts w:ascii="Times New Roman" w:eastAsia="Times New Roman" w:hAnsi="Times New Roman" w:cs="Times New Roman"/>
          <w:sz w:val="24"/>
          <w:szCs w:val="24"/>
          <w:lang w:val="es-ES" w:eastAsia="ar-SA"/>
        </w:rPr>
        <w:t xml:space="preserve"> de </w:t>
      </w:r>
      <w:r w:rsidR="00706EB2" w:rsidRPr="0013399F">
        <w:rPr>
          <w:rFonts w:ascii="Times New Roman" w:eastAsia="Times New Roman" w:hAnsi="Times New Roman" w:cs="Times New Roman"/>
          <w:sz w:val="24"/>
          <w:szCs w:val="24"/>
          <w:lang w:val="es-ES" w:eastAsia="ar-SA"/>
        </w:rPr>
        <w:t>dic</w:t>
      </w:r>
      <w:r w:rsidR="00440BC2" w:rsidRPr="0013399F">
        <w:rPr>
          <w:rFonts w:ascii="Times New Roman" w:eastAsia="Times New Roman" w:hAnsi="Times New Roman" w:cs="Times New Roman"/>
          <w:sz w:val="24"/>
          <w:szCs w:val="24"/>
          <w:lang w:val="es-ES" w:eastAsia="ar-SA"/>
        </w:rPr>
        <w:t>iembre</w:t>
      </w:r>
      <w:r w:rsidR="009272D7" w:rsidRPr="0013399F">
        <w:rPr>
          <w:rFonts w:ascii="Times New Roman" w:eastAsia="Times New Roman" w:hAnsi="Times New Roman" w:cs="Times New Roman"/>
          <w:sz w:val="24"/>
          <w:szCs w:val="24"/>
          <w:lang w:val="es-ES" w:eastAsia="ar-SA"/>
        </w:rPr>
        <w:t xml:space="preserve"> </w:t>
      </w:r>
      <w:r w:rsidRPr="0013399F">
        <w:rPr>
          <w:rFonts w:ascii="Times New Roman" w:eastAsia="Times New Roman" w:hAnsi="Times New Roman" w:cs="Times New Roman"/>
          <w:sz w:val="24"/>
          <w:szCs w:val="24"/>
          <w:lang w:val="es-ES" w:eastAsia="ar-SA"/>
        </w:rPr>
        <w:t>de 201</w:t>
      </w:r>
      <w:r w:rsidR="00784355" w:rsidRPr="0013399F">
        <w:rPr>
          <w:rFonts w:ascii="Times New Roman" w:eastAsia="Times New Roman" w:hAnsi="Times New Roman" w:cs="Times New Roman"/>
          <w:sz w:val="24"/>
          <w:szCs w:val="24"/>
          <w:lang w:val="es-ES" w:eastAsia="ar-SA"/>
        </w:rPr>
        <w:t>9</w:t>
      </w:r>
      <w:r w:rsidR="00C72528" w:rsidRPr="0013399F">
        <w:rPr>
          <w:rFonts w:ascii="Times New Roman" w:eastAsia="Times New Roman" w:hAnsi="Times New Roman" w:cs="Times New Roman"/>
          <w:sz w:val="24"/>
          <w:szCs w:val="24"/>
          <w:lang w:val="es-ES" w:eastAsia="ar-SA"/>
        </w:rPr>
        <w:t>,</w:t>
      </w:r>
      <w:r w:rsidRPr="0013399F">
        <w:rPr>
          <w:rFonts w:ascii="Times New Roman" w:eastAsia="Times New Roman" w:hAnsi="Times New Roman" w:cs="Times New Roman"/>
          <w:sz w:val="24"/>
          <w:szCs w:val="24"/>
          <w:lang w:val="es-ES" w:eastAsia="ar-SA"/>
        </w:rPr>
        <w:t xml:space="preserve"> emitida por esta Defensoría del Ase</w:t>
      </w:r>
      <w:r w:rsidR="000B19A0" w:rsidRPr="0013399F">
        <w:rPr>
          <w:rFonts w:ascii="Times New Roman" w:eastAsia="Times New Roman" w:hAnsi="Times New Roman" w:cs="Times New Roman"/>
          <w:sz w:val="24"/>
          <w:szCs w:val="24"/>
          <w:lang w:val="es-ES" w:eastAsia="ar-SA"/>
        </w:rPr>
        <w:t>gurado (DEFASEG), que declaró</w:t>
      </w:r>
      <w:r w:rsidR="00225288" w:rsidRPr="0013399F">
        <w:rPr>
          <w:rFonts w:ascii="Times New Roman" w:eastAsia="Arial Unicode MS" w:hAnsi="Times New Roman" w:cs="Times New Roman"/>
          <w:sz w:val="24"/>
          <w:szCs w:val="24"/>
          <w:lang w:val="es-PE"/>
        </w:rPr>
        <w:t xml:space="preserve"> </w:t>
      </w:r>
      <w:r w:rsidR="00706EB2" w:rsidRPr="0013399F">
        <w:rPr>
          <w:rFonts w:ascii="Times New Roman" w:eastAsia="Arial Unicode MS" w:hAnsi="Times New Roman" w:cs="Times New Roman"/>
          <w:sz w:val="24"/>
          <w:szCs w:val="24"/>
          <w:lang w:val="es-PE"/>
        </w:rPr>
        <w:t>IN</w:t>
      </w:r>
      <w:r w:rsidR="00FF41F3" w:rsidRPr="0013399F">
        <w:rPr>
          <w:rFonts w:ascii="Times New Roman" w:eastAsia="Arial Unicode MS" w:hAnsi="Times New Roman" w:cs="Times New Roman"/>
          <w:sz w:val="24"/>
          <w:szCs w:val="24"/>
          <w:lang w:val="es-PE"/>
        </w:rPr>
        <w:t>FUNDADA</w:t>
      </w:r>
      <w:r w:rsidR="00225288" w:rsidRPr="0013399F">
        <w:rPr>
          <w:rFonts w:ascii="Times New Roman" w:hAnsi="Times New Roman" w:cs="Times New Roman"/>
          <w:sz w:val="24"/>
          <w:szCs w:val="24"/>
          <w:lang w:val="es-PE"/>
        </w:rPr>
        <w:t xml:space="preserve"> </w:t>
      </w:r>
      <w:r w:rsidR="00706EB2" w:rsidRPr="0013399F">
        <w:rPr>
          <w:rFonts w:ascii="Times New Roman" w:eastAsia="Arial Unicode MS" w:hAnsi="Times New Roman" w:cs="Times New Roman"/>
          <w:sz w:val="24"/>
          <w:szCs w:val="24"/>
          <w:lang w:val="es-PE"/>
        </w:rPr>
        <w:t>su</w:t>
      </w:r>
      <w:r w:rsidR="00225288" w:rsidRPr="0013399F">
        <w:rPr>
          <w:rFonts w:ascii="Times New Roman" w:eastAsia="Arial Unicode MS" w:hAnsi="Times New Roman" w:cs="Times New Roman"/>
          <w:sz w:val="24"/>
          <w:szCs w:val="24"/>
          <w:lang w:val="es-PE"/>
        </w:rPr>
        <w:t xml:space="preserve"> reclamación</w:t>
      </w:r>
      <w:r w:rsidR="00567DEC" w:rsidRPr="0013399F">
        <w:rPr>
          <w:rFonts w:ascii="Times New Roman" w:eastAsia="Arial Unicode MS" w:hAnsi="Times New Roman" w:cs="Times New Roman"/>
          <w:sz w:val="24"/>
          <w:szCs w:val="24"/>
          <w:lang w:val="es-PE"/>
        </w:rPr>
        <w:t xml:space="preserve"> interpuesta </w:t>
      </w:r>
      <w:r w:rsidR="00706EB2" w:rsidRPr="0013399F">
        <w:rPr>
          <w:rFonts w:ascii="Times New Roman" w:eastAsia="Arial Unicode MS" w:hAnsi="Times New Roman" w:cs="Times New Roman"/>
          <w:sz w:val="24"/>
          <w:szCs w:val="24"/>
          <w:lang w:val="es-PE"/>
        </w:rPr>
        <w:t xml:space="preserve">contra </w:t>
      </w:r>
      <w:r w:rsidR="006F5817" w:rsidRPr="006F5817">
        <w:rPr>
          <w:rFonts w:ascii="Times New Roman" w:hAnsi="Times New Roman" w:cs="Times New Roman"/>
          <w:sz w:val="24"/>
          <w:szCs w:val="24"/>
        </w:rPr>
        <w:t>..................</w:t>
      </w:r>
      <w:r w:rsidR="00706EB2" w:rsidRPr="0013399F">
        <w:rPr>
          <w:rFonts w:ascii="Times New Roman" w:eastAsia="Arial Unicode MS" w:hAnsi="Times New Roman" w:cs="Times New Roman"/>
          <w:sz w:val="24"/>
          <w:szCs w:val="24"/>
          <w:lang w:val="es-PE"/>
        </w:rPr>
        <w:t xml:space="preserve">, relativa al otorgamiento de cobertura al siniestro representado por la presentación, el 4 de febrero de 2019, del Aviso de Impago de su cliente </w:t>
      </w:r>
      <w:r w:rsidR="006F5817" w:rsidRPr="006F5817">
        <w:rPr>
          <w:rFonts w:ascii="Times New Roman" w:hAnsi="Times New Roman" w:cs="Times New Roman"/>
          <w:sz w:val="24"/>
          <w:szCs w:val="24"/>
        </w:rPr>
        <w:t>..................</w:t>
      </w:r>
      <w:r w:rsidR="00706EB2" w:rsidRPr="0013399F">
        <w:rPr>
          <w:rFonts w:ascii="Times New Roman" w:eastAsia="Arial Unicode MS" w:hAnsi="Times New Roman" w:cs="Times New Roman"/>
          <w:sz w:val="24"/>
          <w:szCs w:val="24"/>
          <w:lang w:val="es-PE"/>
        </w:rPr>
        <w:t xml:space="preserve">, conforme al seguro de crédito doméstico – Póliza Nro. </w:t>
      </w:r>
      <w:r w:rsidR="006F5817" w:rsidRPr="006F5817">
        <w:rPr>
          <w:rFonts w:ascii="Times New Roman" w:hAnsi="Times New Roman" w:cs="Times New Roman"/>
          <w:sz w:val="24"/>
          <w:szCs w:val="24"/>
        </w:rPr>
        <w:t>..................</w:t>
      </w:r>
      <w:r w:rsidR="00706EB2" w:rsidRPr="0013399F">
        <w:rPr>
          <w:rFonts w:ascii="Times New Roman" w:eastAsia="Arial Unicode MS" w:hAnsi="Times New Roman" w:cs="Times New Roman"/>
          <w:sz w:val="24"/>
          <w:szCs w:val="24"/>
          <w:lang w:val="es-PE"/>
        </w:rPr>
        <w:t xml:space="preserve">, Endoso Nro. </w:t>
      </w:r>
      <w:r w:rsidR="006F5817" w:rsidRPr="006F5817">
        <w:rPr>
          <w:rFonts w:ascii="Times New Roman" w:hAnsi="Times New Roman" w:cs="Times New Roman"/>
          <w:sz w:val="24"/>
          <w:szCs w:val="24"/>
        </w:rPr>
        <w:t>..................</w:t>
      </w:r>
      <w:r w:rsidR="00706EB2" w:rsidRPr="0013399F">
        <w:rPr>
          <w:rFonts w:ascii="Times New Roman" w:eastAsia="Arial Unicode MS" w:hAnsi="Times New Roman" w:cs="Times New Roman"/>
          <w:sz w:val="24"/>
          <w:szCs w:val="24"/>
          <w:lang w:val="es-PE"/>
        </w:rPr>
        <w:t>;</w:t>
      </w:r>
    </w:p>
    <w:p w14:paraId="1261B1B4" w14:textId="77777777" w:rsidR="00706EB2" w:rsidRPr="0013399F" w:rsidRDefault="00706EB2" w:rsidP="00706EB2">
      <w:pPr>
        <w:tabs>
          <w:tab w:val="left" w:pos="0"/>
          <w:tab w:val="left" w:pos="708"/>
          <w:tab w:val="left" w:pos="1416"/>
          <w:tab w:val="left" w:pos="2160"/>
          <w:tab w:val="left" w:pos="3540"/>
          <w:tab w:val="left" w:pos="4248"/>
          <w:tab w:val="left" w:pos="4956"/>
          <w:tab w:val="left" w:pos="5664"/>
          <w:tab w:val="left" w:pos="6372"/>
          <w:tab w:val="left" w:pos="7125"/>
        </w:tabs>
        <w:spacing w:after="0" w:line="240" w:lineRule="auto"/>
        <w:jc w:val="both"/>
        <w:rPr>
          <w:rFonts w:ascii="Times New Roman" w:eastAsia="Times New Roman" w:hAnsi="Times New Roman" w:cs="Times New Roman"/>
          <w:sz w:val="24"/>
          <w:szCs w:val="24"/>
          <w:lang w:val="es-ES" w:eastAsia="ar-SA"/>
        </w:rPr>
      </w:pPr>
    </w:p>
    <w:p w14:paraId="2E2599C9" w14:textId="4FDA94FF" w:rsidR="00DB15FD" w:rsidRPr="0013399F" w:rsidRDefault="00707C99" w:rsidP="00C72528">
      <w:pPr>
        <w:suppressAutoHyphens/>
        <w:spacing w:after="0" w:line="240" w:lineRule="auto"/>
        <w:jc w:val="both"/>
        <w:rPr>
          <w:rFonts w:ascii="Times New Roman" w:eastAsia="Times New Roman" w:hAnsi="Times New Roman" w:cs="Times New Roman"/>
          <w:bCs/>
          <w:sz w:val="24"/>
          <w:szCs w:val="24"/>
          <w:lang w:val="es-MX" w:eastAsia="ar-SA"/>
        </w:rPr>
      </w:pPr>
      <w:r w:rsidRPr="0013399F">
        <w:rPr>
          <w:rFonts w:ascii="Times New Roman" w:eastAsia="Times New Roman" w:hAnsi="Times New Roman" w:cs="Times New Roman"/>
          <w:bCs/>
          <w:sz w:val="24"/>
          <w:szCs w:val="24"/>
          <w:lang w:val="es-MX" w:eastAsia="ar-SA"/>
        </w:rPr>
        <w:t xml:space="preserve">Que, </w:t>
      </w:r>
      <w:r w:rsidR="00F16CF9" w:rsidRPr="0013399F">
        <w:rPr>
          <w:rFonts w:ascii="Times New Roman" w:eastAsia="Times New Roman" w:hAnsi="Times New Roman" w:cs="Times New Roman"/>
          <w:bCs/>
          <w:sz w:val="24"/>
          <w:szCs w:val="24"/>
          <w:lang w:val="es-MX" w:eastAsia="ar-SA"/>
        </w:rPr>
        <w:t>a través de</w:t>
      </w:r>
      <w:r w:rsidRPr="0013399F">
        <w:rPr>
          <w:rFonts w:ascii="Times New Roman" w:eastAsia="Times New Roman" w:hAnsi="Times New Roman" w:cs="Times New Roman"/>
          <w:bCs/>
          <w:sz w:val="24"/>
          <w:szCs w:val="24"/>
          <w:lang w:val="es-MX" w:eastAsia="ar-SA"/>
        </w:rPr>
        <w:t>l señalado recurso</w:t>
      </w:r>
      <w:r w:rsidR="003F1B5F" w:rsidRPr="0013399F">
        <w:rPr>
          <w:rFonts w:ascii="Times New Roman" w:eastAsia="Times New Roman" w:hAnsi="Times New Roman" w:cs="Times New Roman"/>
          <w:bCs/>
          <w:sz w:val="24"/>
          <w:szCs w:val="24"/>
          <w:lang w:val="es-MX" w:eastAsia="ar-SA"/>
        </w:rPr>
        <w:t>,</w:t>
      </w:r>
      <w:r w:rsidRPr="0013399F">
        <w:rPr>
          <w:rFonts w:ascii="Times New Roman" w:eastAsia="Times New Roman" w:hAnsi="Times New Roman" w:cs="Times New Roman"/>
          <w:bCs/>
          <w:sz w:val="24"/>
          <w:szCs w:val="24"/>
          <w:lang w:val="es-MX" w:eastAsia="ar-SA"/>
        </w:rPr>
        <w:t xml:space="preserve"> </w:t>
      </w:r>
      <w:r w:rsidR="008916FF" w:rsidRPr="0013399F">
        <w:rPr>
          <w:rFonts w:ascii="Times New Roman" w:eastAsia="Times New Roman" w:hAnsi="Times New Roman" w:cs="Times New Roman"/>
          <w:bCs/>
          <w:sz w:val="24"/>
          <w:szCs w:val="24"/>
          <w:lang w:val="es-MX" w:eastAsia="ar-SA"/>
        </w:rPr>
        <w:t>la</w:t>
      </w:r>
      <w:r w:rsidR="00440BC2" w:rsidRPr="0013399F">
        <w:rPr>
          <w:rFonts w:ascii="Times New Roman" w:eastAsia="Times New Roman" w:hAnsi="Times New Roman" w:cs="Times New Roman"/>
          <w:bCs/>
          <w:sz w:val="24"/>
          <w:szCs w:val="24"/>
          <w:lang w:val="es-MX" w:eastAsia="ar-SA"/>
        </w:rPr>
        <w:t xml:space="preserve"> </w:t>
      </w:r>
      <w:r w:rsidR="00706EB2" w:rsidRPr="0013399F">
        <w:rPr>
          <w:rFonts w:ascii="Times New Roman" w:eastAsia="Times New Roman" w:hAnsi="Times New Roman" w:cs="Times New Roman"/>
          <w:bCs/>
          <w:sz w:val="24"/>
          <w:szCs w:val="24"/>
          <w:lang w:val="es-MX" w:eastAsia="ar-SA"/>
        </w:rPr>
        <w:t>reclamante</w:t>
      </w:r>
      <w:r w:rsidR="00857988" w:rsidRPr="0013399F">
        <w:rPr>
          <w:rFonts w:ascii="Times New Roman" w:eastAsia="Times New Roman" w:hAnsi="Times New Roman" w:cs="Times New Roman"/>
          <w:bCs/>
          <w:sz w:val="24"/>
          <w:szCs w:val="24"/>
          <w:lang w:val="es-MX" w:eastAsia="ar-SA"/>
        </w:rPr>
        <w:t xml:space="preserve"> </w:t>
      </w:r>
      <w:r w:rsidR="009272D7" w:rsidRPr="0013399F">
        <w:rPr>
          <w:rFonts w:ascii="Times New Roman" w:eastAsia="Times New Roman" w:hAnsi="Times New Roman" w:cs="Times New Roman"/>
          <w:bCs/>
          <w:sz w:val="24"/>
          <w:szCs w:val="24"/>
          <w:lang w:val="es-MX" w:eastAsia="ar-SA"/>
        </w:rPr>
        <w:t>impugna l</w:t>
      </w:r>
      <w:r w:rsidR="003F1B5F" w:rsidRPr="0013399F">
        <w:rPr>
          <w:rFonts w:ascii="Times New Roman" w:eastAsia="Times New Roman" w:hAnsi="Times New Roman" w:cs="Times New Roman"/>
          <w:bCs/>
          <w:sz w:val="24"/>
          <w:szCs w:val="24"/>
          <w:lang w:val="es-MX" w:eastAsia="ar-SA"/>
        </w:rPr>
        <w:t>o resuelto por la DEFASEG</w:t>
      </w:r>
      <w:r w:rsidR="00465FB9" w:rsidRPr="0013399F">
        <w:rPr>
          <w:rFonts w:ascii="Times New Roman" w:eastAsia="Times New Roman" w:hAnsi="Times New Roman" w:cs="Times New Roman"/>
          <w:bCs/>
          <w:sz w:val="24"/>
          <w:szCs w:val="24"/>
          <w:lang w:val="es-MX" w:eastAsia="ar-SA"/>
        </w:rPr>
        <w:t>, solicitando</w:t>
      </w:r>
      <w:r w:rsidR="005201E9" w:rsidRPr="0013399F">
        <w:rPr>
          <w:rFonts w:ascii="Times New Roman" w:eastAsia="Times New Roman" w:hAnsi="Times New Roman" w:cs="Times New Roman"/>
          <w:bCs/>
          <w:sz w:val="24"/>
          <w:szCs w:val="24"/>
          <w:lang w:val="es-MX" w:eastAsia="ar-SA"/>
        </w:rPr>
        <w:t xml:space="preserve"> que se revoque la resolución recurrida,</w:t>
      </w:r>
      <w:r w:rsidR="008F1161" w:rsidRPr="0013399F">
        <w:rPr>
          <w:rFonts w:ascii="Times New Roman" w:eastAsia="Times New Roman" w:hAnsi="Times New Roman" w:cs="Times New Roman"/>
          <w:bCs/>
          <w:sz w:val="24"/>
          <w:szCs w:val="24"/>
          <w:lang w:val="es-MX" w:eastAsia="ar-SA"/>
        </w:rPr>
        <w:t xml:space="preserve"> </w:t>
      </w:r>
      <w:r w:rsidR="00364E0F" w:rsidRPr="0013399F">
        <w:rPr>
          <w:rFonts w:ascii="Times New Roman" w:eastAsia="Times New Roman" w:hAnsi="Times New Roman" w:cs="Times New Roman"/>
          <w:bCs/>
          <w:sz w:val="24"/>
          <w:szCs w:val="24"/>
          <w:lang w:val="es-MX" w:eastAsia="ar-SA"/>
        </w:rPr>
        <w:t>e</w:t>
      </w:r>
      <w:r w:rsidR="00440BC2" w:rsidRPr="0013399F">
        <w:rPr>
          <w:rFonts w:ascii="Times New Roman" w:eastAsia="Times New Roman" w:hAnsi="Times New Roman" w:cs="Times New Roman"/>
          <w:bCs/>
          <w:sz w:val="24"/>
          <w:szCs w:val="24"/>
          <w:lang w:val="es-MX" w:eastAsia="ar-SA"/>
        </w:rPr>
        <w:t xml:space="preserve">n atención a </w:t>
      </w:r>
      <w:r w:rsidR="00706EB2" w:rsidRPr="0013399F">
        <w:rPr>
          <w:rFonts w:ascii="Times New Roman" w:eastAsia="Times New Roman" w:hAnsi="Times New Roman" w:cs="Times New Roman"/>
          <w:bCs/>
          <w:sz w:val="24"/>
          <w:szCs w:val="24"/>
          <w:lang w:val="es-MX" w:eastAsia="ar-SA"/>
        </w:rPr>
        <w:t xml:space="preserve">los argumentos enunciados a continuación de manera sucinta: a) </w:t>
      </w:r>
      <w:r w:rsidR="00DB15FD" w:rsidRPr="0013399F">
        <w:rPr>
          <w:rFonts w:ascii="Times New Roman" w:eastAsia="Times New Roman" w:hAnsi="Times New Roman" w:cs="Times New Roman"/>
          <w:bCs/>
          <w:sz w:val="24"/>
          <w:szCs w:val="24"/>
          <w:lang w:val="es-MX" w:eastAsia="ar-SA"/>
        </w:rPr>
        <w:t xml:space="preserve">Estima que la oportunidad del aviso de impago debe realizarse considerando la fecha de vencimiento de las letras de cambio, y no de las facturas, atendiendo a la prórroga automática de créditos prevista en la póliza, b) Sostiene que ello corresponde al procedimiento regular permitido por </w:t>
      </w:r>
      <w:r w:rsidR="006F5817" w:rsidRPr="006F5817">
        <w:rPr>
          <w:rFonts w:ascii="Times New Roman" w:hAnsi="Times New Roman" w:cs="Times New Roman"/>
          <w:sz w:val="24"/>
          <w:szCs w:val="24"/>
        </w:rPr>
        <w:t>..................</w:t>
      </w:r>
      <w:r w:rsidR="00DB15FD" w:rsidRPr="0013399F">
        <w:rPr>
          <w:rFonts w:ascii="Times New Roman" w:eastAsia="Times New Roman" w:hAnsi="Times New Roman" w:cs="Times New Roman"/>
          <w:bCs/>
          <w:sz w:val="24"/>
          <w:szCs w:val="24"/>
          <w:lang w:val="es-MX" w:eastAsia="ar-SA"/>
        </w:rPr>
        <w:t>, para cuyo efecto invoca lo expresado en un correo electrónico del 9 de julio de 2018 que habría sido remitido por el gerente comercial de la aseguradora, procedimiento que no ha sido tomado en cuenta por la DEFASEG,</w:t>
      </w:r>
      <w:r w:rsidR="00943343" w:rsidRPr="0013399F">
        <w:rPr>
          <w:rFonts w:ascii="Times New Roman" w:eastAsia="Times New Roman" w:hAnsi="Times New Roman" w:cs="Times New Roman"/>
          <w:bCs/>
          <w:sz w:val="24"/>
          <w:szCs w:val="24"/>
          <w:lang w:val="es-MX" w:eastAsia="ar-SA"/>
        </w:rPr>
        <w:t xml:space="preserve"> y</w:t>
      </w:r>
      <w:r w:rsidR="00DB15FD" w:rsidRPr="0013399F">
        <w:rPr>
          <w:rFonts w:ascii="Times New Roman" w:eastAsia="Times New Roman" w:hAnsi="Times New Roman" w:cs="Times New Roman"/>
          <w:bCs/>
          <w:sz w:val="24"/>
          <w:szCs w:val="24"/>
          <w:lang w:val="es-MX" w:eastAsia="ar-SA"/>
        </w:rPr>
        <w:t xml:space="preserve"> c)</w:t>
      </w:r>
      <w:r w:rsidR="00943343" w:rsidRPr="0013399F">
        <w:rPr>
          <w:rFonts w:ascii="Times New Roman" w:eastAsia="Times New Roman" w:hAnsi="Times New Roman" w:cs="Times New Roman"/>
          <w:bCs/>
          <w:sz w:val="24"/>
          <w:szCs w:val="24"/>
          <w:lang w:val="es-MX" w:eastAsia="ar-SA"/>
        </w:rPr>
        <w:t xml:space="preserve"> </w:t>
      </w:r>
      <w:r w:rsidR="008D6DDF" w:rsidRPr="0013399F">
        <w:rPr>
          <w:rFonts w:ascii="Times New Roman" w:eastAsia="Times New Roman" w:hAnsi="Times New Roman" w:cs="Times New Roman"/>
          <w:bCs/>
          <w:sz w:val="24"/>
          <w:szCs w:val="24"/>
          <w:lang w:val="es-MX" w:eastAsia="ar-SA"/>
        </w:rPr>
        <w:t>E</w:t>
      </w:r>
      <w:r w:rsidR="00943343" w:rsidRPr="0013399F">
        <w:rPr>
          <w:rFonts w:ascii="Times New Roman" w:eastAsia="Times New Roman" w:hAnsi="Times New Roman" w:cs="Times New Roman"/>
          <w:bCs/>
          <w:sz w:val="24"/>
          <w:szCs w:val="24"/>
          <w:lang w:val="es-MX" w:eastAsia="ar-SA"/>
        </w:rPr>
        <w:t>n cuanto la oportunidad de entrega del poder de cobranza,</w:t>
      </w:r>
      <w:r w:rsidR="00DB15FD" w:rsidRPr="0013399F">
        <w:rPr>
          <w:rFonts w:ascii="Times New Roman" w:eastAsia="Times New Roman" w:hAnsi="Times New Roman" w:cs="Times New Roman"/>
          <w:bCs/>
          <w:sz w:val="24"/>
          <w:szCs w:val="24"/>
          <w:lang w:val="es-MX" w:eastAsia="ar-SA"/>
        </w:rPr>
        <w:t xml:space="preserve"> </w:t>
      </w:r>
      <w:r w:rsidR="00943343" w:rsidRPr="0013399F">
        <w:rPr>
          <w:rFonts w:ascii="Times New Roman" w:eastAsia="Times New Roman" w:hAnsi="Times New Roman" w:cs="Times New Roman"/>
          <w:bCs/>
          <w:sz w:val="24"/>
          <w:szCs w:val="24"/>
          <w:lang w:val="es-MX" w:eastAsia="ar-SA"/>
        </w:rPr>
        <w:t>la falta de entrega oportuna fue por motivos registrales, siendo que a la fecha ello ya se ha regularizado, siendo que en el contrato no se ha contemplado, en ninguna cláusula general ni particular, que la falta de presentación derive en la improcedencia de cobertura, conforme esto último es reconocido en un caso anterior seguido ante la DEFASEG, Resolución 066/18, transcribiendo el texto que estima pertinente;</w:t>
      </w:r>
    </w:p>
    <w:p w14:paraId="65B79A0D" w14:textId="77777777" w:rsidR="00706EB2" w:rsidRPr="0013399F" w:rsidRDefault="00706EB2" w:rsidP="00C72528">
      <w:pPr>
        <w:suppressAutoHyphens/>
        <w:spacing w:after="0" w:line="240" w:lineRule="auto"/>
        <w:jc w:val="both"/>
        <w:rPr>
          <w:rFonts w:ascii="Times New Roman" w:eastAsia="Times New Roman" w:hAnsi="Times New Roman" w:cs="Times New Roman"/>
          <w:bCs/>
          <w:sz w:val="24"/>
          <w:szCs w:val="24"/>
          <w:lang w:val="es-MX" w:eastAsia="ar-SA"/>
        </w:rPr>
      </w:pPr>
    </w:p>
    <w:p w14:paraId="657AC74D" w14:textId="0F9A963C" w:rsidR="00E53BC5" w:rsidRPr="0013399F" w:rsidRDefault="00707C99" w:rsidP="00D73109">
      <w:pPr>
        <w:suppressAutoHyphens/>
        <w:spacing w:after="0" w:line="240" w:lineRule="auto"/>
        <w:jc w:val="both"/>
        <w:rPr>
          <w:rFonts w:ascii="Times New Roman" w:eastAsia="Times New Roman" w:hAnsi="Times New Roman" w:cs="Times New Roman"/>
          <w:bCs/>
          <w:sz w:val="24"/>
          <w:szCs w:val="24"/>
          <w:lang w:val="es-MX" w:eastAsia="ar-SA"/>
        </w:rPr>
      </w:pPr>
      <w:r w:rsidRPr="0013399F">
        <w:rPr>
          <w:rFonts w:ascii="Times New Roman" w:eastAsia="Times New Roman" w:hAnsi="Times New Roman" w:cs="Times New Roman"/>
          <w:bCs/>
          <w:sz w:val="24"/>
          <w:szCs w:val="24"/>
          <w:lang w:val="es-MX" w:eastAsia="ar-SA"/>
        </w:rPr>
        <w:t xml:space="preserve">Que, </w:t>
      </w:r>
      <w:r w:rsidR="001A008A" w:rsidRPr="0013399F">
        <w:rPr>
          <w:rFonts w:ascii="Times New Roman" w:eastAsia="Times New Roman" w:hAnsi="Times New Roman" w:cs="Times New Roman"/>
          <w:bCs/>
          <w:sz w:val="24"/>
          <w:szCs w:val="24"/>
          <w:lang w:val="es-MX" w:eastAsia="ar-SA"/>
        </w:rPr>
        <w:t>el señalado</w:t>
      </w:r>
      <w:r w:rsidR="00974D2D" w:rsidRPr="0013399F">
        <w:rPr>
          <w:rFonts w:ascii="Times New Roman" w:eastAsia="Times New Roman" w:hAnsi="Times New Roman" w:cs="Times New Roman"/>
          <w:bCs/>
          <w:sz w:val="24"/>
          <w:szCs w:val="24"/>
          <w:lang w:val="es-MX" w:eastAsia="ar-SA"/>
        </w:rPr>
        <w:t xml:space="preserve"> recurso </w:t>
      </w:r>
      <w:r w:rsidR="001A008A" w:rsidRPr="0013399F">
        <w:rPr>
          <w:rFonts w:ascii="Times New Roman" w:eastAsia="Times New Roman" w:hAnsi="Times New Roman" w:cs="Times New Roman"/>
          <w:bCs/>
          <w:sz w:val="24"/>
          <w:szCs w:val="24"/>
          <w:lang w:val="es-MX" w:eastAsia="ar-SA"/>
        </w:rPr>
        <w:t xml:space="preserve">impugnativo </w:t>
      </w:r>
      <w:r w:rsidR="00974D2D" w:rsidRPr="0013399F">
        <w:rPr>
          <w:rFonts w:ascii="Times New Roman" w:eastAsia="Times New Roman" w:hAnsi="Times New Roman" w:cs="Times New Roman"/>
          <w:bCs/>
          <w:sz w:val="24"/>
          <w:szCs w:val="24"/>
          <w:lang w:val="es-MX" w:eastAsia="ar-SA"/>
        </w:rPr>
        <w:t>fue</w:t>
      </w:r>
      <w:r w:rsidR="00083F50" w:rsidRPr="0013399F">
        <w:rPr>
          <w:rFonts w:ascii="Times New Roman" w:eastAsia="Times New Roman" w:hAnsi="Times New Roman" w:cs="Times New Roman"/>
          <w:bCs/>
          <w:sz w:val="24"/>
          <w:szCs w:val="24"/>
          <w:lang w:val="es-MX" w:eastAsia="ar-SA"/>
        </w:rPr>
        <w:t xml:space="preserve"> objeto de</w:t>
      </w:r>
      <w:r w:rsidR="00974D2D" w:rsidRPr="0013399F">
        <w:rPr>
          <w:rFonts w:ascii="Times New Roman" w:eastAsia="Times New Roman" w:hAnsi="Times New Roman" w:cs="Times New Roman"/>
          <w:bCs/>
          <w:sz w:val="24"/>
          <w:szCs w:val="24"/>
          <w:lang w:val="es-MX" w:eastAsia="ar-SA"/>
        </w:rPr>
        <w:t xml:space="preserve"> </w:t>
      </w:r>
      <w:r w:rsidR="00083F50" w:rsidRPr="0013399F">
        <w:rPr>
          <w:rFonts w:ascii="Times New Roman" w:eastAsia="Times New Roman" w:hAnsi="Times New Roman" w:cs="Times New Roman"/>
          <w:bCs/>
          <w:sz w:val="24"/>
          <w:szCs w:val="24"/>
          <w:lang w:val="es-MX" w:eastAsia="ar-SA"/>
        </w:rPr>
        <w:t>traslad</w:t>
      </w:r>
      <w:r w:rsidRPr="0013399F">
        <w:rPr>
          <w:rFonts w:ascii="Times New Roman" w:eastAsia="Times New Roman" w:hAnsi="Times New Roman" w:cs="Times New Roman"/>
          <w:bCs/>
          <w:sz w:val="24"/>
          <w:szCs w:val="24"/>
          <w:lang w:val="es-MX" w:eastAsia="ar-SA"/>
        </w:rPr>
        <w:t>o a</w:t>
      </w:r>
      <w:r w:rsidR="008D6DDF" w:rsidRPr="0013399F">
        <w:rPr>
          <w:rFonts w:ascii="Times New Roman" w:eastAsia="Times New Roman" w:hAnsi="Times New Roman" w:cs="Times New Roman"/>
          <w:bCs/>
          <w:sz w:val="24"/>
          <w:szCs w:val="24"/>
          <w:lang w:val="es-MX" w:eastAsia="ar-SA"/>
        </w:rPr>
        <w:t xml:space="preserve"> </w:t>
      </w:r>
      <w:r w:rsidR="006F5817" w:rsidRPr="006F5817">
        <w:rPr>
          <w:rFonts w:ascii="Times New Roman" w:hAnsi="Times New Roman" w:cs="Times New Roman"/>
          <w:sz w:val="24"/>
          <w:szCs w:val="24"/>
        </w:rPr>
        <w:t>..................</w:t>
      </w:r>
      <w:r w:rsidR="007D7213" w:rsidRPr="0013399F">
        <w:rPr>
          <w:rFonts w:ascii="Times New Roman" w:eastAsia="Times New Roman" w:hAnsi="Times New Roman" w:cs="Times New Roman"/>
          <w:bCs/>
          <w:sz w:val="24"/>
          <w:szCs w:val="24"/>
          <w:lang w:val="es-MX" w:eastAsia="ar-SA"/>
        </w:rPr>
        <w:t xml:space="preserve"> el 10 de </w:t>
      </w:r>
      <w:r w:rsidR="008D6DDF" w:rsidRPr="0013399F">
        <w:rPr>
          <w:rFonts w:ascii="Times New Roman" w:eastAsia="Times New Roman" w:hAnsi="Times New Roman" w:cs="Times New Roman"/>
          <w:bCs/>
          <w:sz w:val="24"/>
          <w:szCs w:val="24"/>
          <w:lang w:val="es-MX" w:eastAsia="ar-SA"/>
        </w:rPr>
        <w:t>enero</w:t>
      </w:r>
      <w:r w:rsidR="007D7213" w:rsidRPr="0013399F">
        <w:rPr>
          <w:rFonts w:ascii="Times New Roman" w:eastAsia="Times New Roman" w:hAnsi="Times New Roman" w:cs="Times New Roman"/>
          <w:bCs/>
          <w:sz w:val="24"/>
          <w:szCs w:val="24"/>
          <w:lang w:val="es-MX" w:eastAsia="ar-SA"/>
        </w:rPr>
        <w:t xml:space="preserve"> de 20</w:t>
      </w:r>
      <w:r w:rsidR="008D6DDF" w:rsidRPr="0013399F">
        <w:rPr>
          <w:rFonts w:ascii="Times New Roman" w:eastAsia="Times New Roman" w:hAnsi="Times New Roman" w:cs="Times New Roman"/>
          <w:bCs/>
          <w:sz w:val="24"/>
          <w:szCs w:val="24"/>
          <w:lang w:val="es-MX" w:eastAsia="ar-SA"/>
        </w:rPr>
        <w:t>20</w:t>
      </w:r>
      <w:r w:rsidR="007D7213" w:rsidRPr="0013399F">
        <w:rPr>
          <w:rFonts w:ascii="Times New Roman" w:eastAsia="Times New Roman" w:hAnsi="Times New Roman" w:cs="Times New Roman"/>
          <w:bCs/>
          <w:sz w:val="24"/>
          <w:szCs w:val="24"/>
          <w:lang w:val="es-MX" w:eastAsia="ar-SA"/>
        </w:rPr>
        <w:t xml:space="preserve">, </w:t>
      </w:r>
      <w:r w:rsidR="008D6DDF" w:rsidRPr="0013399F">
        <w:rPr>
          <w:rFonts w:ascii="Times New Roman" w:eastAsia="Times New Roman" w:hAnsi="Times New Roman" w:cs="Times New Roman"/>
          <w:bCs/>
          <w:sz w:val="24"/>
          <w:szCs w:val="24"/>
          <w:lang w:val="es-MX" w:eastAsia="ar-SA"/>
        </w:rPr>
        <w:t>la que expresó resumidamente lo siguiente: a) La apelación repite argumentos expuestos en la reclamación, omitiendo un conjunto de detalles de los antecedentes, los mismos que están acreditados (en el expediente correspondiente), entre ellos que, para la estimación de los plazos a cumplir para fines de la cobertura, la póliza se refiere constantemente a la factura, vencimiento o plazo original</w:t>
      </w:r>
      <w:r w:rsidR="00D810EC" w:rsidRPr="0013399F">
        <w:rPr>
          <w:rFonts w:ascii="Times New Roman" w:eastAsia="Times New Roman" w:hAnsi="Times New Roman" w:cs="Times New Roman"/>
          <w:bCs/>
          <w:sz w:val="24"/>
          <w:szCs w:val="24"/>
          <w:lang w:val="es-MX" w:eastAsia="ar-SA"/>
        </w:rPr>
        <w:t>, que no ha sido acreditada causa ajena que justifique la presentación del poder de cobranza luego de 5 meses de la oportunidad correspondiente, lo cual es una obligación esencial, cuya falta de observancia oportuna causa perjuicio de la aseguradora, máxime cuando el cliente de la reclamante ya tenía documentos protestados no aclarados por US$ 128,303, y b) Se destaca finalmente que cualquiera de las causales invocadas para el rechazo permite justificarlo, por lo que solicita que se declare infundada la apelación</w:t>
      </w:r>
      <w:r w:rsidR="00F63F49" w:rsidRPr="0013399F">
        <w:rPr>
          <w:rFonts w:ascii="Times New Roman" w:eastAsia="Times New Roman" w:hAnsi="Times New Roman" w:cs="Times New Roman"/>
          <w:bCs/>
          <w:sz w:val="24"/>
          <w:szCs w:val="24"/>
          <w:lang w:val="es-MX" w:eastAsia="ar-SA"/>
        </w:rPr>
        <w:t>;</w:t>
      </w:r>
    </w:p>
    <w:p w14:paraId="64B61F31" w14:textId="77777777" w:rsidR="0013399F" w:rsidRPr="0013399F" w:rsidRDefault="0013399F" w:rsidP="00D73109">
      <w:pPr>
        <w:suppressAutoHyphens/>
        <w:spacing w:after="0" w:line="240" w:lineRule="auto"/>
        <w:jc w:val="both"/>
        <w:rPr>
          <w:rFonts w:ascii="Times New Roman" w:eastAsia="Times New Roman" w:hAnsi="Times New Roman" w:cs="Times New Roman"/>
          <w:bCs/>
          <w:sz w:val="24"/>
          <w:szCs w:val="24"/>
          <w:lang w:val="es-MX" w:eastAsia="ar-SA"/>
        </w:rPr>
      </w:pPr>
    </w:p>
    <w:p w14:paraId="23E98690" w14:textId="7937F068" w:rsidR="0013399F" w:rsidRPr="0013399F" w:rsidRDefault="0013399F" w:rsidP="0013399F">
      <w:pPr>
        <w:suppressAutoHyphens/>
        <w:spacing w:after="0" w:line="240" w:lineRule="auto"/>
        <w:jc w:val="both"/>
        <w:rPr>
          <w:rFonts w:ascii="Times New Roman" w:eastAsia="Times New Roman" w:hAnsi="Times New Roman" w:cs="Times New Roman"/>
          <w:bCs/>
          <w:sz w:val="24"/>
          <w:szCs w:val="24"/>
          <w:lang w:val="es-MX" w:eastAsia="ar-SA"/>
        </w:rPr>
      </w:pPr>
      <w:r w:rsidRPr="0013399F">
        <w:rPr>
          <w:rFonts w:ascii="Times New Roman" w:eastAsia="Times New Roman" w:hAnsi="Times New Roman" w:cs="Times New Roman"/>
          <w:bCs/>
          <w:sz w:val="24"/>
          <w:szCs w:val="24"/>
          <w:lang w:val="es-MX" w:eastAsia="ar-SA"/>
        </w:rPr>
        <w:t xml:space="preserve">Que, el 24 de enero de 2020, </w:t>
      </w:r>
      <w:r w:rsidR="006F5817" w:rsidRPr="006F5817">
        <w:rPr>
          <w:rFonts w:ascii="Times New Roman" w:hAnsi="Times New Roman" w:cs="Times New Roman"/>
          <w:sz w:val="24"/>
          <w:szCs w:val="24"/>
        </w:rPr>
        <w:t>..................</w:t>
      </w:r>
      <w:r w:rsidRPr="0013399F">
        <w:rPr>
          <w:rFonts w:ascii="Times New Roman" w:eastAsia="Times New Roman" w:hAnsi="Times New Roman" w:cs="Times New Roman"/>
          <w:bCs/>
          <w:sz w:val="24"/>
          <w:szCs w:val="24"/>
          <w:lang w:val="es-MX" w:eastAsia="ar-SA"/>
        </w:rPr>
        <w:t xml:space="preserve"> presentó un escrito respecto al escrito de absolución por parte de </w:t>
      </w:r>
      <w:r w:rsidR="006F5817" w:rsidRPr="006F5817">
        <w:rPr>
          <w:rFonts w:ascii="Times New Roman" w:hAnsi="Times New Roman" w:cs="Times New Roman"/>
          <w:sz w:val="24"/>
          <w:szCs w:val="24"/>
        </w:rPr>
        <w:t>..................</w:t>
      </w:r>
      <w:r w:rsidRPr="0013399F">
        <w:rPr>
          <w:rFonts w:ascii="Times New Roman" w:eastAsia="Times New Roman" w:hAnsi="Times New Roman" w:cs="Times New Roman"/>
          <w:bCs/>
          <w:sz w:val="24"/>
          <w:szCs w:val="24"/>
          <w:lang w:val="es-MX" w:eastAsia="ar-SA"/>
        </w:rPr>
        <w:t xml:space="preserve"> del traslado del recurso impugnativo presentado;</w:t>
      </w:r>
    </w:p>
    <w:p w14:paraId="1905370E" w14:textId="781DDA11" w:rsidR="00F63F49" w:rsidRPr="0013399F" w:rsidRDefault="00F63F49" w:rsidP="00D73109">
      <w:pPr>
        <w:suppressAutoHyphens/>
        <w:spacing w:after="0" w:line="240" w:lineRule="auto"/>
        <w:jc w:val="both"/>
        <w:rPr>
          <w:rFonts w:ascii="Times New Roman" w:eastAsia="Times New Roman" w:hAnsi="Times New Roman" w:cs="Times New Roman"/>
          <w:bCs/>
          <w:sz w:val="24"/>
          <w:szCs w:val="24"/>
          <w:lang w:val="es-MX" w:eastAsia="ar-SA"/>
        </w:rPr>
      </w:pPr>
    </w:p>
    <w:p w14:paraId="2C43B10B" w14:textId="3D8032D7" w:rsidR="00F63F49" w:rsidRPr="0013399F" w:rsidRDefault="00F63F49" w:rsidP="00D73109">
      <w:pPr>
        <w:suppressAutoHyphens/>
        <w:spacing w:after="0" w:line="240" w:lineRule="auto"/>
        <w:jc w:val="both"/>
        <w:rPr>
          <w:rFonts w:ascii="Times New Roman" w:eastAsia="Times New Roman" w:hAnsi="Times New Roman" w:cs="Times New Roman"/>
          <w:bCs/>
          <w:sz w:val="24"/>
          <w:szCs w:val="24"/>
          <w:lang w:val="es-MX" w:eastAsia="ar-SA"/>
        </w:rPr>
      </w:pPr>
      <w:r w:rsidRPr="0013399F">
        <w:rPr>
          <w:rFonts w:ascii="Times New Roman" w:eastAsia="Times New Roman" w:hAnsi="Times New Roman" w:cs="Times New Roman"/>
          <w:bCs/>
          <w:sz w:val="24"/>
          <w:szCs w:val="24"/>
          <w:lang w:val="es-MX" w:eastAsia="ar-SA"/>
        </w:rPr>
        <w:t xml:space="preserve">Que, el 30 de diciembre de 2019, </w:t>
      </w:r>
      <w:r w:rsidR="006F5817" w:rsidRPr="006F5817">
        <w:rPr>
          <w:rFonts w:ascii="Times New Roman" w:hAnsi="Times New Roman" w:cs="Times New Roman"/>
          <w:sz w:val="24"/>
          <w:szCs w:val="24"/>
        </w:rPr>
        <w:t>..................</w:t>
      </w:r>
      <w:r w:rsidRPr="0013399F">
        <w:rPr>
          <w:rFonts w:ascii="Times New Roman" w:eastAsia="Times New Roman" w:hAnsi="Times New Roman" w:cs="Times New Roman"/>
          <w:bCs/>
          <w:sz w:val="24"/>
          <w:szCs w:val="24"/>
          <w:lang w:val="es-MX" w:eastAsia="ar-SA"/>
        </w:rPr>
        <w:t xml:space="preserve"> </w:t>
      </w:r>
      <w:r w:rsidR="00EA4C4B" w:rsidRPr="0013399F">
        <w:rPr>
          <w:rFonts w:ascii="Times New Roman" w:eastAsia="Times New Roman" w:hAnsi="Times New Roman" w:cs="Times New Roman"/>
          <w:bCs/>
          <w:sz w:val="24"/>
          <w:szCs w:val="24"/>
          <w:lang w:val="es-MX" w:eastAsia="ar-SA"/>
        </w:rPr>
        <w:t xml:space="preserve">presentó una </w:t>
      </w:r>
      <w:r w:rsidRPr="0013399F">
        <w:rPr>
          <w:rFonts w:ascii="Times New Roman" w:eastAsia="Times New Roman" w:hAnsi="Times New Roman" w:cs="Times New Roman"/>
          <w:bCs/>
          <w:sz w:val="24"/>
          <w:szCs w:val="24"/>
          <w:lang w:val="es-MX" w:eastAsia="ar-SA"/>
        </w:rPr>
        <w:t>solicit</w:t>
      </w:r>
      <w:r w:rsidR="00EA4C4B" w:rsidRPr="0013399F">
        <w:rPr>
          <w:rFonts w:ascii="Times New Roman" w:eastAsia="Times New Roman" w:hAnsi="Times New Roman" w:cs="Times New Roman"/>
          <w:bCs/>
          <w:sz w:val="24"/>
          <w:szCs w:val="24"/>
          <w:lang w:val="es-MX" w:eastAsia="ar-SA"/>
        </w:rPr>
        <w:t>ud de</w:t>
      </w:r>
      <w:r w:rsidRPr="0013399F">
        <w:rPr>
          <w:rFonts w:ascii="Times New Roman" w:eastAsia="Times New Roman" w:hAnsi="Times New Roman" w:cs="Times New Roman"/>
          <w:bCs/>
          <w:sz w:val="24"/>
          <w:szCs w:val="24"/>
          <w:lang w:val="es-MX" w:eastAsia="ar-SA"/>
        </w:rPr>
        <w:t xml:space="preserve"> rectificación o corrección de un error material en el numeral 6.2 de la parte considerativa de la </w:t>
      </w:r>
      <w:r w:rsidRPr="0013399F">
        <w:rPr>
          <w:rFonts w:ascii="Times New Roman" w:eastAsia="Times New Roman" w:hAnsi="Times New Roman" w:cs="Times New Roman"/>
          <w:sz w:val="24"/>
          <w:szCs w:val="24"/>
          <w:lang w:val="es-ES" w:eastAsia="ar-SA"/>
        </w:rPr>
        <w:t>Resolución Nro. 155/19, de fecha 16 de diciembre de 2019;</w:t>
      </w:r>
    </w:p>
    <w:p w14:paraId="159C9FB5" w14:textId="77777777" w:rsidR="00AB1C66" w:rsidRPr="0013399F" w:rsidRDefault="00AB1C66" w:rsidP="00B8028F">
      <w:pPr>
        <w:suppressAutoHyphens/>
        <w:spacing w:after="0" w:line="240" w:lineRule="auto"/>
        <w:jc w:val="both"/>
        <w:rPr>
          <w:rFonts w:ascii="Times New Roman" w:eastAsia="Times New Roman" w:hAnsi="Times New Roman" w:cs="Times New Roman"/>
          <w:bCs/>
          <w:sz w:val="24"/>
          <w:szCs w:val="24"/>
          <w:lang w:val="es-MX" w:eastAsia="ar-SA"/>
        </w:rPr>
      </w:pPr>
    </w:p>
    <w:p w14:paraId="18019E73" w14:textId="77777777" w:rsidR="00707C99" w:rsidRPr="0013399F" w:rsidRDefault="00707C99" w:rsidP="00B8028F">
      <w:pPr>
        <w:suppressAutoHyphens/>
        <w:spacing w:after="0" w:line="240" w:lineRule="auto"/>
        <w:jc w:val="both"/>
        <w:rPr>
          <w:rFonts w:ascii="Times New Roman" w:eastAsia="Times New Roman" w:hAnsi="Times New Roman" w:cs="Times New Roman"/>
          <w:bCs/>
          <w:sz w:val="24"/>
          <w:szCs w:val="24"/>
          <w:lang w:val="es-MX" w:eastAsia="ar-SA"/>
        </w:rPr>
      </w:pPr>
      <w:r w:rsidRPr="0013399F">
        <w:rPr>
          <w:rFonts w:ascii="Times New Roman" w:eastAsia="Times New Roman" w:hAnsi="Times New Roman" w:cs="Times New Roman"/>
          <w:b/>
          <w:bCs/>
          <w:sz w:val="24"/>
          <w:szCs w:val="24"/>
          <w:lang w:val="es-MX" w:eastAsia="ar-SA"/>
        </w:rPr>
        <w:t>Considerando:</w:t>
      </w:r>
    </w:p>
    <w:p w14:paraId="11287361" w14:textId="77777777" w:rsidR="00707C99" w:rsidRPr="0013399F" w:rsidRDefault="00707C99" w:rsidP="00B8028F">
      <w:pPr>
        <w:suppressAutoHyphens/>
        <w:spacing w:after="0" w:line="240" w:lineRule="auto"/>
        <w:jc w:val="both"/>
        <w:rPr>
          <w:rFonts w:ascii="Times New Roman" w:eastAsia="Times New Roman" w:hAnsi="Times New Roman" w:cs="Times New Roman"/>
          <w:sz w:val="24"/>
          <w:szCs w:val="24"/>
          <w:lang w:val="es-ES" w:eastAsia="ar-SA"/>
        </w:rPr>
      </w:pPr>
    </w:p>
    <w:p w14:paraId="6D94CE30" w14:textId="7B54A30B" w:rsidR="007261FD" w:rsidRPr="0013399F" w:rsidRDefault="00BD797F" w:rsidP="00B8028F">
      <w:pPr>
        <w:spacing w:after="0" w:line="240" w:lineRule="auto"/>
        <w:jc w:val="both"/>
        <w:rPr>
          <w:rFonts w:ascii="Times New Roman" w:hAnsi="Times New Roman" w:cs="Times New Roman"/>
          <w:sz w:val="24"/>
          <w:szCs w:val="24"/>
          <w:lang w:val="es-PE"/>
        </w:rPr>
      </w:pPr>
      <w:r w:rsidRPr="0013399F">
        <w:rPr>
          <w:rFonts w:ascii="Times New Roman" w:hAnsi="Times New Roman" w:cs="Times New Roman"/>
          <w:b/>
          <w:sz w:val="24"/>
          <w:szCs w:val="24"/>
          <w:u w:val="single"/>
          <w:lang w:val="es-PE"/>
        </w:rPr>
        <w:lastRenderedPageBreak/>
        <w:t>Primero</w:t>
      </w:r>
      <w:r w:rsidRPr="0013399F">
        <w:rPr>
          <w:rFonts w:ascii="Times New Roman" w:hAnsi="Times New Roman" w:cs="Times New Roman"/>
          <w:b/>
          <w:sz w:val="24"/>
          <w:szCs w:val="24"/>
          <w:lang w:val="es-PE"/>
        </w:rPr>
        <w:t>:</w:t>
      </w:r>
      <w:r w:rsidRPr="0013399F">
        <w:rPr>
          <w:rFonts w:ascii="Times New Roman" w:hAnsi="Times New Roman" w:cs="Times New Roman"/>
          <w:sz w:val="24"/>
          <w:szCs w:val="24"/>
          <w:lang w:val="es-PE"/>
        </w:rPr>
        <w:t xml:space="preserve"> </w:t>
      </w:r>
      <w:r w:rsidR="00201C0D" w:rsidRPr="0013399F">
        <w:rPr>
          <w:rFonts w:ascii="Times New Roman" w:hAnsi="Times New Roman" w:cs="Times New Roman"/>
          <w:sz w:val="24"/>
          <w:szCs w:val="24"/>
          <w:lang w:val="es-PE"/>
        </w:rPr>
        <w:t xml:space="preserve">El Reglamento de la DEFASEG </w:t>
      </w:r>
      <w:r w:rsidR="00201C0D" w:rsidRPr="0013399F">
        <w:rPr>
          <w:rFonts w:ascii="Times New Roman" w:eastAsia="Arial Unicode MS" w:hAnsi="Times New Roman" w:cs="Times New Roman"/>
          <w:sz w:val="24"/>
          <w:szCs w:val="24"/>
          <w:lang w:val="es-PE"/>
        </w:rPr>
        <w:t>(http://ww</w:t>
      </w:r>
      <w:r w:rsidR="00A16942" w:rsidRPr="0013399F">
        <w:rPr>
          <w:rFonts w:ascii="Times New Roman" w:eastAsia="Arial Unicode MS" w:hAnsi="Times New Roman" w:cs="Times New Roman"/>
          <w:sz w:val="24"/>
          <w:szCs w:val="24"/>
          <w:lang w:val="es-PE"/>
        </w:rPr>
        <w:t>w.defaseg.com.pe/reglamento</w:t>
      </w:r>
      <w:r w:rsidR="00201C0D" w:rsidRPr="0013399F">
        <w:rPr>
          <w:rFonts w:ascii="Times New Roman" w:eastAsia="Arial Unicode MS" w:hAnsi="Times New Roman" w:cs="Times New Roman"/>
          <w:sz w:val="24"/>
          <w:szCs w:val="24"/>
          <w:lang w:val="es-PE"/>
        </w:rPr>
        <w:t xml:space="preserve">), en su artículo 10, </w:t>
      </w:r>
      <w:r w:rsidR="00201C0D" w:rsidRPr="0013399F">
        <w:rPr>
          <w:rFonts w:ascii="Times New Roman" w:hAnsi="Times New Roman" w:cs="Times New Roman"/>
          <w:sz w:val="24"/>
          <w:szCs w:val="24"/>
          <w:lang w:val="es-PE"/>
        </w:rPr>
        <w:t xml:space="preserve">establece que la parte que no se encuentre de acuerdo con lo resuelto </w:t>
      </w:r>
      <w:r w:rsidR="000010A4" w:rsidRPr="0013399F">
        <w:rPr>
          <w:rFonts w:ascii="Times New Roman" w:hAnsi="Times New Roman" w:cs="Times New Roman"/>
          <w:sz w:val="24"/>
          <w:szCs w:val="24"/>
          <w:lang w:val="es-PE"/>
        </w:rPr>
        <w:t>en su oportunidad</w:t>
      </w:r>
      <w:r w:rsidR="00201C0D" w:rsidRPr="0013399F">
        <w:rPr>
          <w:rFonts w:ascii="Times New Roman" w:hAnsi="Times New Roman" w:cs="Times New Roman"/>
          <w:sz w:val="24"/>
          <w:szCs w:val="24"/>
          <w:lang w:val="es-PE"/>
        </w:rPr>
        <w:t xml:space="preserve"> podrá impugnarlo, interponiendo el correspondiente recurso. De manera complementaria, el artículo 11 del indicado reglamento dispone que, el </w:t>
      </w:r>
      <w:r w:rsidR="00201C0D" w:rsidRPr="0013399F">
        <w:rPr>
          <w:rFonts w:ascii="Times New Roman" w:hAnsi="Times New Roman" w:cs="Times New Roman"/>
          <w:sz w:val="24"/>
          <w:szCs w:val="24"/>
          <w:lang w:val="es-ES"/>
        </w:rPr>
        <w:t>usuario de seguro recurre en forma voluntaria a la Defensoría, siendo que la presentación de una reclamación n</w:t>
      </w:r>
      <w:r w:rsidR="00201C0D" w:rsidRPr="0013399F">
        <w:rPr>
          <w:rFonts w:ascii="Times New Roman" w:hAnsi="Times New Roman" w:cs="Times New Roman"/>
          <w:sz w:val="24"/>
          <w:szCs w:val="24"/>
          <w:lang w:val="es-PE"/>
        </w:rPr>
        <w:t>o limita su derecho a recurrir posteriormente ante el órgano administrativo o jurisdiccional que considere pertinente.  Conforme a lo anterior,</w:t>
      </w:r>
      <w:r w:rsidR="00D22DC3" w:rsidRPr="0013399F">
        <w:rPr>
          <w:rFonts w:ascii="Times New Roman" w:hAnsi="Times New Roman" w:cs="Times New Roman"/>
          <w:sz w:val="24"/>
          <w:szCs w:val="24"/>
          <w:lang w:val="es-PE"/>
        </w:rPr>
        <w:t xml:space="preserve"> </w:t>
      </w:r>
      <w:r w:rsidR="00201C0D" w:rsidRPr="0013399F">
        <w:rPr>
          <w:rFonts w:ascii="Times New Roman" w:hAnsi="Times New Roman" w:cs="Times New Roman"/>
          <w:sz w:val="24"/>
          <w:szCs w:val="24"/>
          <w:lang w:val="es-PE"/>
        </w:rPr>
        <w:t>si el asegurado no se encuentra conforme con lo que sea finalmente resuelto, la respectiva resolución no lo compromete ni le restringe la posibilidad de poder recurrir a las instancias correspondientes, a diferencia de la aseguradora que sí queda comprometida con lo resuelto</w:t>
      </w:r>
      <w:r w:rsidR="00A16942" w:rsidRPr="0013399F">
        <w:rPr>
          <w:rFonts w:ascii="Times New Roman" w:hAnsi="Times New Roman" w:cs="Times New Roman"/>
          <w:sz w:val="24"/>
          <w:szCs w:val="24"/>
          <w:lang w:val="es-PE"/>
        </w:rPr>
        <w:t xml:space="preserve"> por la DEFASEG</w:t>
      </w:r>
      <w:r w:rsidR="00201C0D" w:rsidRPr="0013399F">
        <w:rPr>
          <w:rFonts w:ascii="Times New Roman" w:hAnsi="Times New Roman" w:cs="Times New Roman"/>
          <w:sz w:val="24"/>
          <w:szCs w:val="24"/>
          <w:lang w:val="es-PE"/>
        </w:rPr>
        <w:t>.</w:t>
      </w:r>
    </w:p>
    <w:p w14:paraId="79AEFDFF" w14:textId="77777777" w:rsidR="00857988" w:rsidRPr="0013399F" w:rsidRDefault="00857988" w:rsidP="00B8028F">
      <w:pPr>
        <w:spacing w:after="0" w:line="240" w:lineRule="auto"/>
        <w:jc w:val="both"/>
        <w:rPr>
          <w:rFonts w:ascii="Times New Roman" w:hAnsi="Times New Roman" w:cs="Times New Roman"/>
          <w:sz w:val="24"/>
          <w:szCs w:val="24"/>
          <w:lang w:val="es-PE"/>
        </w:rPr>
      </w:pPr>
    </w:p>
    <w:p w14:paraId="66477B6A" w14:textId="686AFBCA" w:rsidR="00EA4C4B" w:rsidRPr="0013399F" w:rsidRDefault="001D0EED" w:rsidP="006C6261">
      <w:pPr>
        <w:spacing w:after="0" w:line="240" w:lineRule="auto"/>
        <w:jc w:val="both"/>
        <w:rPr>
          <w:rFonts w:ascii="Times New Roman" w:eastAsia="Times New Roman" w:hAnsi="Times New Roman" w:cs="Times New Roman"/>
          <w:bCs/>
          <w:sz w:val="24"/>
          <w:szCs w:val="24"/>
          <w:lang w:val="es-MX" w:eastAsia="ar-SA"/>
        </w:rPr>
      </w:pPr>
      <w:r w:rsidRPr="0013399F">
        <w:rPr>
          <w:rFonts w:ascii="Times New Roman" w:hAnsi="Times New Roman" w:cs="Times New Roman"/>
          <w:b/>
          <w:sz w:val="24"/>
          <w:szCs w:val="24"/>
          <w:u w:val="single"/>
          <w:lang w:val="es-PE"/>
        </w:rPr>
        <w:t>Segundo</w:t>
      </w:r>
      <w:r w:rsidR="00BD797F" w:rsidRPr="0013399F">
        <w:rPr>
          <w:rFonts w:ascii="Times New Roman" w:hAnsi="Times New Roman" w:cs="Times New Roman"/>
          <w:b/>
          <w:sz w:val="24"/>
          <w:szCs w:val="24"/>
          <w:lang w:val="es-PE"/>
        </w:rPr>
        <w:t>:</w:t>
      </w:r>
      <w:r w:rsidR="00BD797F" w:rsidRPr="0013399F">
        <w:rPr>
          <w:rFonts w:ascii="Times New Roman" w:hAnsi="Times New Roman" w:cs="Times New Roman"/>
          <w:sz w:val="24"/>
          <w:szCs w:val="24"/>
          <w:lang w:val="es-PE"/>
        </w:rPr>
        <w:t xml:space="preserve"> De la lectura de</w:t>
      </w:r>
      <w:r w:rsidR="006D397E" w:rsidRPr="0013399F">
        <w:rPr>
          <w:rFonts w:ascii="Times New Roman" w:hAnsi="Times New Roman" w:cs="Times New Roman"/>
          <w:sz w:val="24"/>
          <w:szCs w:val="24"/>
          <w:lang w:val="es-PE"/>
        </w:rPr>
        <w:t xml:space="preserve">l recurso </w:t>
      </w:r>
      <w:r w:rsidR="00EA4C4B" w:rsidRPr="0013399F">
        <w:rPr>
          <w:rFonts w:ascii="Times New Roman" w:hAnsi="Times New Roman" w:cs="Times New Roman"/>
          <w:sz w:val="24"/>
          <w:szCs w:val="24"/>
          <w:lang w:val="es-PE"/>
        </w:rPr>
        <w:t xml:space="preserve">impugnativo </w:t>
      </w:r>
      <w:r w:rsidR="006D397E" w:rsidRPr="0013399F">
        <w:rPr>
          <w:rFonts w:ascii="Times New Roman" w:hAnsi="Times New Roman" w:cs="Times New Roman"/>
          <w:sz w:val="24"/>
          <w:szCs w:val="24"/>
          <w:lang w:val="es-PE"/>
        </w:rPr>
        <w:t xml:space="preserve">de vistos </w:t>
      </w:r>
      <w:r w:rsidR="00BD797F" w:rsidRPr="0013399F">
        <w:rPr>
          <w:rFonts w:ascii="Times New Roman" w:hAnsi="Times New Roman" w:cs="Times New Roman"/>
          <w:sz w:val="24"/>
          <w:szCs w:val="24"/>
          <w:lang w:val="es-PE"/>
        </w:rPr>
        <w:t xml:space="preserve">se aprecia que </w:t>
      </w:r>
      <w:r w:rsidR="007D7213" w:rsidRPr="0013399F">
        <w:rPr>
          <w:rFonts w:ascii="Times New Roman" w:hAnsi="Times New Roman" w:cs="Times New Roman"/>
          <w:sz w:val="24"/>
          <w:szCs w:val="24"/>
          <w:lang w:val="es-PE"/>
        </w:rPr>
        <w:t xml:space="preserve">la </w:t>
      </w:r>
      <w:r w:rsidR="00EA4C4B" w:rsidRPr="0013399F">
        <w:rPr>
          <w:rFonts w:ascii="Times New Roman" w:hAnsi="Times New Roman" w:cs="Times New Roman"/>
          <w:sz w:val="24"/>
          <w:szCs w:val="24"/>
          <w:lang w:val="es-PE"/>
        </w:rPr>
        <w:t xml:space="preserve">reclamante </w:t>
      </w:r>
      <w:r w:rsidR="001D59D9" w:rsidRPr="0013399F">
        <w:rPr>
          <w:rFonts w:ascii="Times New Roman" w:hAnsi="Times New Roman" w:cs="Times New Roman"/>
          <w:sz w:val="24"/>
          <w:szCs w:val="24"/>
          <w:lang w:val="es-PE"/>
        </w:rPr>
        <w:t>impugna l</w:t>
      </w:r>
      <w:r w:rsidR="00A3714C" w:rsidRPr="0013399F">
        <w:rPr>
          <w:rFonts w:ascii="Times New Roman" w:hAnsi="Times New Roman" w:cs="Times New Roman"/>
          <w:sz w:val="24"/>
          <w:szCs w:val="24"/>
          <w:lang w:val="es-PE"/>
        </w:rPr>
        <w:t xml:space="preserve">o resuelto </w:t>
      </w:r>
      <w:r w:rsidR="00EA4C4B" w:rsidRPr="0013399F">
        <w:rPr>
          <w:rFonts w:ascii="Times New Roman" w:hAnsi="Times New Roman" w:cs="Times New Roman"/>
          <w:sz w:val="24"/>
          <w:szCs w:val="24"/>
          <w:lang w:val="es-PE"/>
        </w:rPr>
        <w:t xml:space="preserve">en su oportunidad </w:t>
      </w:r>
      <w:r w:rsidR="00A3714C" w:rsidRPr="0013399F">
        <w:rPr>
          <w:rFonts w:ascii="Times New Roman" w:hAnsi="Times New Roman" w:cs="Times New Roman"/>
          <w:sz w:val="24"/>
          <w:szCs w:val="24"/>
          <w:lang w:val="es-PE"/>
        </w:rPr>
        <w:t>po</w:t>
      </w:r>
      <w:r w:rsidR="00EA4C4B" w:rsidRPr="0013399F">
        <w:rPr>
          <w:rFonts w:ascii="Times New Roman" w:hAnsi="Times New Roman" w:cs="Times New Roman"/>
          <w:sz w:val="24"/>
          <w:szCs w:val="24"/>
          <w:lang w:val="es-PE"/>
        </w:rPr>
        <w:t xml:space="preserve">r la </w:t>
      </w:r>
      <w:r w:rsidR="00A3714C" w:rsidRPr="0013399F">
        <w:rPr>
          <w:rFonts w:ascii="Times New Roman" w:hAnsi="Times New Roman" w:cs="Times New Roman"/>
          <w:sz w:val="24"/>
          <w:szCs w:val="24"/>
          <w:lang w:val="es-PE"/>
        </w:rPr>
        <w:t>DEFASEG</w:t>
      </w:r>
      <w:r w:rsidR="00B00552" w:rsidRPr="0013399F">
        <w:rPr>
          <w:rFonts w:ascii="Times New Roman" w:hAnsi="Times New Roman" w:cs="Times New Roman"/>
          <w:sz w:val="24"/>
          <w:szCs w:val="24"/>
          <w:lang w:val="es-PE"/>
        </w:rPr>
        <w:t xml:space="preserve"> </w:t>
      </w:r>
      <w:r w:rsidR="00EA4C4B" w:rsidRPr="0013399F">
        <w:rPr>
          <w:rFonts w:ascii="Times New Roman" w:hAnsi="Times New Roman" w:cs="Times New Roman"/>
          <w:sz w:val="24"/>
          <w:szCs w:val="24"/>
          <w:lang w:val="es-PE"/>
        </w:rPr>
        <w:t>invocando los mismos argumentos que ya han sido objeto de análisis y calificación, evidenciando simplemente que su interpretación es distinta a la asumida unánimemente por los miembros de este colegiado.  En efecto, los numerales 6.1, 6.2 y 6.3. de la resolución recurrida, refieren y desarrollan lo pertinente, descartando absolutamente la tesis de la reclamante</w:t>
      </w:r>
      <w:r w:rsidR="002F09CA" w:rsidRPr="0013399F">
        <w:rPr>
          <w:rFonts w:ascii="Times New Roman" w:hAnsi="Times New Roman" w:cs="Times New Roman"/>
          <w:sz w:val="24"/>
          <w:szCs w:val="24"/>
          <w:lang w:val="es-PE"/>
        </w:rPr>
        <w:t xml:space="preserve"> sobre </w:t>
      </w:r>
      <w:r w:rsidR="002F09CA" w:rsidRPr="0013399F">
        <w:rPr>
          <w:rFonts w:ascii="Times New Roman" w:eastAsia="Times New Roman" w:hAnsi="Times New Roman" w:cs="Times New Roman"/>
          <w:bCs/>
          <w:sz w:val="24"/>
          <w:szCs w:val="24"/>
          <w:lang w:val="es-MX" w:eastAsia="ar-SA"/>
        </w:rPr>
        <w:t>la estimación de los plazos a cumplir para fines de la cobertura, los mismos que se ratifican al no haber argumento ni prueba aportada que los desautorice.  Es más, de la lectura del correo electrónico referido en la apelación, debe destacarse que no contiene precisamente lo que se afirma, porque el hecho que se haya indicado que, conjuntamente con el señalamiento del número y fecha de emisión de la factura (inicial), debe también señalarse lo relativo a las letras, siendo que la fecha de vencimiento de éstas en ningún caso debe superar al de las facturas, evidencia que es la fecha de vencimiento de las facturas lo que tiene prevalencia.  Y en cuanto a la referencia a determinado considerando de la Resolución 066/18, el texto invocado no corresponde a lo que estima o concluye este colegiado, porque se trata de una referencia al argumento desarrollado por la reclamante, esto es, es una mención al argumento de la reclamación, no es el fundamento de lo resuelto.  En dicho sentido, se reitera en particular lo expresado por este colegiado en el segundo párrafo el numeral 6.3. de la resolución recurrida, en cuanto las consecuencias legales de la inobservancia, que se presume imputable, de las cargas contractuales</w:t>
      </w:r>
      <w:r w:rsidR="00F06498" w:rsidRPr="0013399F">
        <w:rPr>
          <w:rFonts w:ascii="Times New Roman" w:eastAsia="Times New Roman" w:hAnsi="Times New Roman" w:cs="Times New Roman"/>
          <w:bCs/>
          <w:sz w:val="24"/>
          <w:szCs w:val="24"/>
          <w:lang w:val="es-MX" w:eastAsia="ar-SA"/>
        </w:rPr>
        <w:t xml:space="preserve">, siendo que no se ha probado que una causa ajena al control de </w:t>
      </w:r>
      <w:r w:rsidR="006F5817" w:rsidRPr="006F5817">
        <w:rPr>
          <w:rFonts w:ascii="Times New Roman" w:hAnsi="Times New Roman" w:cs="Times New Roman"/>
          <w:sz w:val="24"/>
          <w:szCs w:val="24"/>
        </w:rPr>
        <w:t>..................</w:t>
      </w:r>
      <w:r w:rsidR="00F06498" w:rsidRPr="0013399F">
        <w:rPr>
          <w:rFonts w:ascii="Times New Roman" w:eastAsia="Times New Roman" w:hAnsi="Times New Roman" w:cs="Times New Roman"/>
          <w:bCs/>
          <w:sz w:val="24"/>
          <w:szCs w:val="24"/>
          <w:lang w:val="es-MX" w:eastAsia="ar-SA"/>
        </w:rPr>
        <w:t xml:space="preserve"> haya impedido gestionar oportunamente la obtención del certificado registral del poder de cobranza.</w:t>
      </w:r>
    </w:p>
    <w:p w14:paraId="70A8C3FB" w14:textId="77777777" w:rsidR="002F09CA" w:rsidRPr="0013399F" w:rsidRDefault="002F09CA" w:rsidP="006C6261">
      <w:pPr>
        <w:spacing w:after="0" w:line="240" w:lineRule="auto"/>
        <w:jc w:val="both"/>
        <w:rPr>
          <w:rFonts w:ascii="Times New Roman" w:hAnsi="Times New Roman" w:cs="Times New Roman"/>
          <w:sz w:val="24"/>
          <w:szCs w:val="24"/>
          <w:lang w:val="es-MX"/>
        </w:rPr>
      </w:pPr>
    </w:p>
    <w:p w14:paraId="7C9DD1B4" w14:textId="209B84DC" w:rsidR="00EE1C4A" w:rsidRPr="0013399F" w:rsidRDefault="00EA4C4B" w:rsidP="00EE1C4A">
      <w:pPr>
        <w:spacing w:after="0" w:line="240" w:lineRule="auto"/>
        <w:jc w:val="both"/>
        <w:rPr>
          <w:rFonts w:ascii="Times New Roman" w:eastAsia="Arial Unicode MS" w:hAnsi="Times New Roman" w:cs="Times New Roman"/>
          <w:bCs/>
          <w:sz w:val="24"/>
          <w:szCs w:val="24"/>
          <w:lang w:val="es-ES"/>
        </w:rPr>
      </w:pPr>
      <w:r w:rsidRPr="0013399F">
        <w:rPr>
          <w:rFonts w:ascii="Times New Roman" w:hAnsi="Times New Roman" w:cs="Times New Roman"/>
          <w:b/>
          <w:sz w:val="24"/>
          <w:szCs w:val="24"/>
          <w:u w:val="single"/>
          <w:lang w:val="es-PE"/>
        </w:rPr>
        <w:t>Tercero</w:t>
      </w:r>
      <w:r w:rsidRPr="0013399F">
        <w:rPr>
          <w:rFonts w:ascii="Times New Roman" w:hAnsi="Times New Roman" w:cs="Times New Roman"/>
          <w:b/>
          <w:sz w:val="24"/>
          <w:szCs w:val="24"/>
          <w:lang w:val="es-PE"/>
        </w:rPr>
        <w:t>:</w:t>
      </w:r>
      <w:r w:rsidRPr="0013399F">
        <w:rPr>
          <w:rFonts w:ascii="Times New Roman" w:hAnsi="Times New Roman" w:cs="Times New Roman"/>
          <w:sz w:val="24"/>
          <w:szCs w:val="24"/>
          <w:lang w:val="es-PE"/>
        </w:rPr>
        <w:t xml:space="preserve"> </w:t>
      </w:r>
      <w:r w:rsidR="00083D69" w:rsidRPr="0013399F">
        <w:rPr>
          <w:rFonts w:ascii="Times New Roman" w:hAnsi="Times New Roman" w:cs="Times New Roman"/>
          <w:sz w:val="24"/>
          <w:szCs w:val="24"/>
          <w:lang w:val="es-PE"/>
        </w:rPr>
        <w:t>Por las consideraciones expuestas</w:t>
      </w:r>
      <w:r w:rsidR="00083D69" w:rsidRPr="0013399F">
        <w:rPr>
          <w:rFonts w:ascii="Times New Roman" w:eastAsia="Calibri" w:hAnsi="Times New Roman" w:cs="Times New Roman"/>
          <w:sz w:val="24"/>
          <w:szCs w:val="24"/>
          <w:lang w:val="es-ES"/>
        </w:rPr>
        <w:t xml:space="preserve">, se concluye que el recurso impugnativo es finalmente un pedido de revisión general, reiterativo de lo que fue invocado por </w:t>
      </w:r>
      <w:r w:rsidR="006F5817" w:rsidRPr="006F5817">
        <w:rPr>
          <w:rFonts w:ascii="Times New Roman" w:hAnsi="Times New Roman" w:cs="Times New Roman"/>
          <w:sz w:val="24"/>
          <w:szCs w:val="24"/>
        </w:rPr>
        <w:t>..................</w:t>
      </w:r>
      <w:r w:rsidR="00083D69" w:rsidRPr="0013399F">
        <w:rPr>
          <w:rFonts w:ascii="Times New Roman" w:eastAsia="Calibri" w:hAnsi="Times New Roman" w:cs="Times New Roman"/>
          <w:sz w:val="24"/>
          <w:szCs w:val="24"/>
          <w:lang w:val="es-ES"/>
        </w:rPr>
        <w:t xml:space="preserve">en su oportunidad, que no enerva los fundamentos de la resolución recurrida, por lo que corresponde ser desestimado, confirmándose </w:t>
      </w:r>
      <w:r w:rsidR="00083D69" w:rsidRPr="0013399F">
        <w:rPr>
          <w:rFonts w:ascii="Times New Roman" w:hAnsi="Times New Roman" w:cs="Times New Roman"/>
          <w:sz w:val="24"/>
          <w:szCs w:val="24"/>
          <w:lang w:val="es-ES"/>
        </w:rPr>
        <w:t>la resolución de vista.</w:t>
      </w:r>
    </w:p>
    <w:p w14:paraId="59EB6BFC" w14:textId="77777777" w:rsidR="00EE1C4A" w:rsidRPr="0013399F" w:rsidRDefault="00EE1C4A" w:rsidP="00EE1C4A">
      <w:pPr>
        <w:spacing w:after="0" w:line="240" w:lineRule="auto"/>
        <w:jc w:val="both"/>
        <w:rPr>
          <w:rFonts w:ascii="Times New Roman" w:eastAsia="Times New Roman" w:hAnsi="Times New Roman" w:cs="Times New Roman"/>
          <w:bCs/>
          <w:sz w:val="24"/>
          <w:szCs w:val="24"/>
          <w:lang w:val="es-ES" w:eastAsia="ar-SA"/>
        </w:rPr>
      </w:pPr>
    </w:p>
    <w:p w14:paraId="408DD618" w14:textId="190679E8" w:rsidR="00EA4C4B" w:rsidRPr="0013399F" w:rsidRDefault="00F06498" w:rsidP="00EA4C4B">
      <w:pPr>
        <w:spacing w:after="0" w:line="240" w:lineRule="auto"/>
        <w:jc w:val="both"/>
        <w:rPr>
          <w:rFonts w:ascii="Times New Roman" w:eastAsia="Calibri" w:hAnsi="Times New Roman" w:cs="Times New Roman"/>
          <w:sz w:val="24"/>
          <w:szCs w:val="24"/>
          <w:lang w:val="es-ES"/>
        </w:rPr>
      </w:pPr>
      <w:r w:rsidRPr="0013399F">
        <w:rPr>
          <w:rFonts w:ascii="Times New Roman" w:hAnsi="Times New Roman" w:cs="Times New Roman"/>
          <w:b/>
          <w:bCs/>
          <w:sz w:val="24"/>
          <w:szCs w:val="24"/>
          <w:u w:val="single"/>
          <w:lang w:val="es-PE"/>
        </w:rPr>
        <w:t>Cuarto</w:t>
      </w:r>
      <w:r w:rsidRPr="0013399F">
        <w:rPr>
          <w:rFonts w:ascii="Times New Roman" w:hAnsi="Times New Roman" w:cs="Times New Roman"/>
          <w:b/>
          <w:bCs/>
          <w:sz w:val="24"/>
          <w:szCs w:val="24"/>
          <w:lang w:val="es-PE"/>
        </w:rPr>
        <w:t>:</w:t>
      </w:r>
      <w:r w:rsidR="00EA4C4B" w:rsidRPr="0013399F">
        <w:rPr>
          <w:rFonts w:ascii="Times New Roman" w:hAnsi="Times New Roman" w:cs="Times New Roman"/>
          <w:b/>
          <w:bCs/>
          <w:sz w:val="24"/>
          <w:szCs w:val="24"/>
          <w:lang w:val="es-PE"/>
        </w:rPr>
        <w:t xml:space="preserve"> </w:t>
      </w:r>
      <w:r w:rsidR="00083D69" w:rsidRPr="0013399F">
        <w:rPr>
          <w:rFonts w:ascii="Times New Roman" w:hAnsi="Times New Roman" w:cs="Times New Roman"/>
          <w:sz w:val="24"/>
          <w:szCs w:val="24"/>
          <w:lang w:val="es-PE"/>
        </w:rPr>
        <w:t xml:space="preserve">Por último, de la lectura de la solicitud presentada por </w:t>
      </w:r>
      <w:r w:rsidR="006F5817" w:rsidRPr="006F5817">
        <w:rPr>
          <w:rFonts w:ascii="Times New Roman" w:hAnsi="Times New Roman" w:cs="Times New Roman"/>
          <w:sz w:val="24"/>
          <w:szCs w:val="24"/>
        </w:rPr>
        <w:t>..................</w:t>
      </w:r>
      <w:r w:rsidR="00083D69" w:rsidRPr="0013399F">
        <w:rPr>
          <w:rFonts w:ascii="Times New Roman" w:hAnsi="Times New Roman" w:cs="Times New Roman"/>
          <w:sz w:val="24"/>
          <w:szCs w:val="24"/>
          <w:lang w:val="es-PE"/>
        </w:rPr>
        <w:t xml:space="preserve"> se aprecia y concluye en que, efectivamente, en el </w:t>
      </w:r>
      <w:r w:rsidR="00083D69" w:rsidRPr="0013399F">
        <w:rPr>
          <w:rFonts w:ascii="Times New Roman" w:eastAsia="Arial Unicode MS" w:hAnsi="Times New Roman" w:cs="Times New Roman"/>
          <w:bCs/>
          <w:sz w:val="24"/>
          <w:szCs w:val="24"/>
          <w:lang w:val="es-ES"/>
        </w:rPr>
        <w:t xml:space="preserve">numeral 6.2 de la parte considerativa de la Resolución Nro.155/19 existe un error material en la identificación del responsable por la falta de presentación oportuna del poder de cobranza, lo que corresponde ser corregido, indicándose que dicha falta de presentación es imputable a quien estaba sujeto a dicha obligación, esto es, </w:t>
      </w:r>
      <w:r w:rsidR="006F5817" w:rsidRPr="006F5817">
        <w:rPr>
          <w:rFonts w:ascii="Times New Roman" w:hAnsi="Times New Roman" w:cs="Times New Roman"/>
          <w:sz w:val="24"/>
          <w:szCs w:val="24"/>
        </w:rPr>
        <w:t>..................</w:t>
      </w:r>
      <w:r w:rsidR="00083D69" w:rsidRPr="0013399F">
        <w:rPr>
          <w:rFonts w:ascii="Times New Roman" w:eastAsia="Arial Unicode MS" w:hAnsi="Times New Roman" w:cs="Times New Roman"/>
          <w:bCs/>
          <w:sz w:val="24"/>
          <w:szCs w:val="24"/>
          <w:lang w:val="es-ES"/>
        </w:rPr>
        <w:t xml:space="preserve">, no </w:t>
      </w:r>
      <w:r w:rsidR="006F5817" w:rsidRPr="006F5817">
        <w:rPr>
          <w:rFonts w:ascii="Times New Roman" w:hAnsi="Times New Roman" w:cs="Times New Roman"/>
          <w:sz w:val="24"/>
          <w:szCs w:val="24"/>
        </w:rPr>
        <w:t>..................</w:t>
      </w:r>
      <w:r w:rsidR="00083D69" w:rsidRPr="0013399F">
        <w:rPr>
          <w:rFonts w:ascii="Times New Roman" w:eastAsia="Arial Unicode MS" w:hAnsi="Times New Roman" w:cs="Times New Roman"/>
          <w:bCs/>
          <w:sz w:val="24"/>
          <w:szCs w:val="24"/>
          <w:lang w:val="es-ES"/>
        </w:rPr>
        <w:t>.</w:t>
      </w:r>
    </w:p>
    <w:p w14:paraId="57871D3D" w14:textId="77777777" w:rsidR="009F2EEB" w:rsidRPr="0013399F" w:rsidRDefault="009F2EEB" w:rsidP="00B00552">
      <w:pPr>
        <w:spacing w:after="0" w:line="240" w:lineRule="auto"/>
        <w:jc w:val="both"/>
        <w:rPr>
          <w:rFonts w:ascii="Times New Roman" w:hAnsi="Times New Roman" w:cs="Times New Roman"/>
          <w:sz w:val="24"/>
          <w:szCs w:val="24"/>
          <w:lang w:val="es-ES"/>
        </w:rPr>
      </w:pPr>
    </w:p>
    <w:p w14:paraId="3AC2A441" w14:textId="627FE7D2" w:rsidR="00BF1421" w:rsidRPr="0013399F" w:rsidRDefault="00BF1421" w:rsidP="00B8028F">
      <w:pPr>
        <w:spacing w:after="0" w:line="240" w:lineRule="auto"/>
        <w:jc w:val="both"/>
        <w:rPr>
          <w:rFonts w:ascii="Times New Roman" w:hAnsi="Times New Roman" w:cs="Times New Roman"/>
          <w:b/>
          <w:sz w:val="24"/>
          <w:szCs w:val="24"/>
          <w:lang w:val="es-PE"/>
        </w:rPr>
      </w:pPr>
      <w:r w:rsidRPr="0013399F">
        <w:rPr>
          <w:rFonts w:ascii="Times New Roman" w:hAnsi="Times New Roman" w:cs="Times New Roman"/>
          <w:b/>
          <w:sz w:val="24"/>
          <w:szCs w:val="24"/>
          <w:lang w:val="es-PE"/>
        </w:rPr>
        <w:t>Atendiendo a lo expresado, conforme a su Reglamento, este colegiado resuelve:</w:t>
      </w:r>
    </w:p>
    <w:p w14:paraId="7847A8E8" w14:textId="77777777" w:rsidR="00DB58EC" w:rsidRPr="0013399F" w:rsidRDefault="00DB58EC" w:rsidP="00B8028F">
      <w:pPr>
        <w:spacing w:after="0" w:line="240" w:lineRule="auto"/>
        <w:jc w:val="both"/>
        <w:rPr>
          <w:rFonts w:ascii="Times New Roman" w:eastAsia="Arial Unicode MS" w:hAnsi="Times New Roman" w:cs="Times New Roman"/>
          <w:b/>
          <w:sz w:val="24"/>
          <w:szCs w:val="24"/>
          <w:lang w:val="es-PE"/>
        </w:rPr>
      </w:pPr>
    </w:p>
    <w:p w14:paraId="7C99CBD7" w14:textId="78C50C96" w:rsidR="006C6261" w:rsidRPr="0013399F" w:rsidRDefault="00BF1421" w:rsidP="00F06498">
      <w:pPr>
        <w:pStyle w:val="Prrafodelista"/>
        <w:numPr>
          <w:ilvl w:val="0"/>
          <w:numId w:val="4"/>
        </w:numPr>
        <w:suppressAutoHyphens/>
        <w:spacing w:after="0" w:line="240" w:lineRule="auto"/>
        <w:ind w:hanging="720"/>
        <w:jc w:val="both"/>
        <w:rPr>
          <w:rFonts w:ascii="Times New Roman" w:eastAsia="Times New Roman" w:hAnsi="Times New Roman" w:cs="Times New Roman"/>
          <w:sz w:val="24"/>
          <w:szCs w:val="24"/>
          <w:lang w:val="es-ES" w:eastAsia="ar-SA"/>
        </w:rPr>
      </w:pPr>
      <w:r w:rsidRPr="0013399F">
        <w:rPr>
          <w:rFonts w:ascii="Times New Roman" w:eastAsia="Arial Unicode MS" w:hAnsi="Times New Roman" w:cs="Times New Roman"/>
          <w:b/>
          <w:sz w:val="24"/>
          <w:szCs w:val="24"/>
          <w:lang w:val="es-PE"/>
        </w:rPr>
        <w:lastRenderedPageBreak/>
        <w:t xml:space="preserve">Declarar </w:t>
      </w:r>
      <w:r w:rsidR="007D5BB1" w:rsidRPr="0013399F">
        <w:rPr>
          <w:rFonts w:ascii="Times New Roman" w:eastAsia="Arial Unicode MS" w:hAnsi="Times New Roman" w:cs="Times New Roman"/>
          <w:b/>
          <w:sz w:val="24"/>
          <w:szCs w:val="24"/>
          <w:lang w:val="es-PE"/>
        </w:rPr>
        <w:t>IN</w:t>
      </w:r>
      <w:r w:rsidRPr="0013399F">
        <w:rPr>
          <w:rFonts w:ascii="Times New Roman" w:eastAsia="Arial Unicode MS" w:hAnsi="Times New Roman" w:cs="Times New Roman"/>
          <w:b/>
          <w:sz w:val="24"/>
          <w:szCs w:val="24"/>
          <w:lang w:val="es-PE"/>
        </w:rPr>
        <w:t xml:space="preserve">FUNDADO el recurso impugnativo </w:t>
      </w:r>
      <w:r w:rsidR="00623204" w:rsidRPr="0013399F">
        <w:rPr>
          <w:rFonts w:ascii="Times New Roman" w:eastAsia="Arial Unicode MS" w:hAnsi="Times New Roman" w:cs="Times New Roman"/>
          <w:sz w:val="24"/>
          <w:szCs w:val="24"/>
          <w:lang w:val="es-PE"/>
        </w:rPr>
        <w:t>interpuesto por</w:t>
      </w:r>
      <w:r w:rsidR="00B56649" w:rsidRPr="0013399F">
        <w:rPr>
          <w:rFonts w:ascii="Times New Roman" w:eastAsia="Arial Unicode MS" w:hAnsi="Times New Roman" w:cs="Times New Roman"/>
          <w:sz w:val="24"/>
          <w:szCs w:val="24"/>
          <w:lang w:val="es-PE"/>
        </w:rPr>
        <w:t xml:space="preserve"> </w:t>
      </w:r>
      <w:r w:rsidR="006F5817" w:rsidRPr="006F5817">
        <w:rPr>
          <w:rFonts w:ascii="Times New Roman" w:hAnsi="Times New Roman" w:cs="Times New Roman"/>
          <w:sz w:val="24"/>
          <w:szCs w:val="24"/>
        </w:rPr>
        <w:t>..................</w:t>
      </w:r>
      <w:r w:rsidR="006C6261" w:rsidRPr="0013399F">
        <w:rPr>
          <w:rFonts w:ascii="Times New Roman" w:hAnsi="Times New Roman" w:cs="Times New Roman"/>
          <w:sz w:val="24"/>
          <w:szCs w:val="24"/>
          <w:lang w:val="es-PE"/>
        </w:rPr>
        <w:t xml:space="preserve"> </w:t>
      </w:r>
      <w:r w:rsidR="006C6261" w:rsidRPr="0013399F">
        <w:rPr>
          <w:rFonts w:ascii="Times New Roman" w:hAnsi="Times New Roman" w:cs="Times New Roman"/>
          <w:sz w:val="24"/>
          <w:szCs w:val="24"/>
          <w:lang w:val="es-ES"/>
        </w:rPr>
        <w:t xml:space="preserve">y, por consiguiente, </w:t>
      </w:r>
      <w:r w:rsidR="006C6261" w:rsidRPr="0013399F">
        <w:rPr>
          <w:rFonts w:ascii="Times New Roman" w:hAnsi="Times New Roman" w:cs="Times New Roman"/>
          <w:b/>
          <w:sz w:val="24"/>
          <w:szCs w:val="24"/>
          <w:lang w:val="es-ES"/>
        </w:rPr>
        <w:t>CONFIRMAR la Resolución Nro.</w:t>
      </w:r>
      <w:r w:rsidR="006C6261" w:rsidRPr="0013399F">
        <w:rPr>
          <w:rFonts w:ascii="Times New Roman" w:eastAsia="Times New Roman" w:hAnsi="Times New Roman" w:cs="Times New Roman"/>
          <w:b/>
          <w:sz w:val="24"/>
          <w:szCs w:val="24"/>
          <w:lang w:val="es-ES" w:eastAsia="ar-SA"/>
        </w:rPr>
        <w:t xml:space="preserve"> 1</w:t>
      </w:r>
      <w:r w:rsidR="00F06498" w:rsidRPr="0013399F">
        <w:rPr>
          <w:rFonts w:ascii="Times New Roman" w:eastAsia="Times New Roman" w:hAnsi="Times New Roman" w:cs="Times New Roman"/>
          <w:b/>
          <w:sz w:val="24"/>
          <w:szCs w:val="24"/>
          <w:lang w:val="es-ES" w:eastAsia="ar-SA"/>
        </w:rPr>
        <w:t>55</w:t>
      </w:r>
      <w:r w:rsidR="006C6261" w:rsidRPr="0013399F">
        <w:rPr>
          <w:rFonts w:ascii="Times New Roman" w:eastAsia="Times New Roman" w:hAnsi="Times New Roman" w:cs="Times New Roman"/>
          <w:b/>
          <w:sz w:val="24"/>
          <w:szCs w:val="24"/>
          <w:lang w:val="es-ES" w:eastAsia="ar-SA"/>
        </w:rPr>
        <w:t>/19</w:t>
      </w:r>
      <w:r w:rsidR="006C6261" w:rsidRPr="0013399F">
        <w:rPr>
          <w:rFonts w:ascii="Times New Roman" w:eastAsia="Times New Roman" w:hAnsi="Times New Roman" w:cs="Times New Roman"/>
          <w:sz w:val="24"/>
          <w:szCs w:val="24"/>
          <w:lang w:val="es-ES" w:eastAsia="ar-SA"/>
        </w:rPr>
        <w:t xml:space="preserve">, del </w:t>
      </w:r>
      <w:r w:rsidR="00F06498" w:rsidRPr="0013399F">
        <w:rPr>
          <w:rFonts w:ascii="Times New Roman" w:eastAsia="Times New Roman" w:hAnsi="Times New Roman" w:cs="Times New Roman"/>
          <w:sz w:val="24"/>
          <w:szCs w:val="24"/>
          <w:lang w:val="es-ES" w:eastAsia="ar-SA"/>
        </w:rPr>
        <w:t>16</w:t>
      </w:r>
      <w:r w:rsidR="006C6261" w:rsidRPr="0013399F">
        <w:rPr>
          <w:rFonts w:ascii="Times New Roman" w:eastAsia="Times New Roman" w:hAnsi="Times New Roman" w:cs="Times New Roman"/>
          <w:sz w:val="24"/>
          <w:szCs w:val="24"/>
          <w:lang w:val="es-ES" w:eastAsia="ar-SA"/>
        </w:rPr>
        <w:t xml:space="preserve"> de </w:t>
      </w:r>
      <w:r w:rsidR="00F06498" w:rsidRPr="0013399F">
        <w:rPr>
          <w:rFonts w:ascii="Times New Roman" w:eastAsia="Times New Roman" w:hAnsi="Times New Roman" w:cs="Times New Roman"/>
          <w:sz w:val="24"/>
          <w:szCs w:val="24"/>
          <w:lang w:val="es-ES" w:eastAsia="ar-SA"/>
        </w:rPr>
        <w:t>dic</w:t>
      </w:r>
      <w:r w:rsidR="006C6261" w:rsidRPr="0013399F">
        <w:rPr>
          <w:rFonts w:ascii="Times New Roman" w:eastAsia="Times New Roman" w:hAnsi="Times New Roman" w:cs="Times New Roman"/>
          <w:sz w:val="24"/>
          <w:szCs w:val="24"/>
          <w:lang w:val="es-ES" w:eastAsia="ar-SA"/>
        </w:rPr>
        <w:t>iembre de 2019, que declaró</w:t>
      </w:r>
      <w:r w:rsidR="006C6261" w:rsidRPr="0013399F">
        <w:rPr>
          <w:rFonts w:ascii="Times New Roman" w:eastAsia="Arial Unicode MS" w:hAnsi="Times New Roman" w:cs="Times New Roman"/>
          <w:sz w:val="24"/>
          <w:szCs w:val="24"/>
          <w:lang w:val="es-PE"/>
        </w:rPr>
        <w:t xml:space="preserve"> </w:t>
      </w:r>
      <w:r w:rsidR="00F06498" w:rsidRPr="0013399F">
        <w:rPr>
          <w:rFonts w:ascii="Times New Roman" w:eastAsia="Arial Unicode MS" w:hAnsi="Times New Roman" w:cs="Times New Roman"/>
          <w:sz w:val="24"/>
          <w:szCs w:val="24"/>
          <w:lang w:val="es-PE"/>
        </w:rPr>
        <w:t>IN</w:t>
      </w:r>
      <w:r w:rsidR="006C6261" w:rsidRPr="0013399F">
        <w:rPr>
          <w:rFonts w:ascii="Times New Roman" w:eastAsia="Arial Unicode MS" w:hAnsi="Times New Roman" w:cs="Times New Roman"/>
          <w:sz w:val="24"/>
          <w:szCs w:val="24"/>
          <w:lang w:val="es-PE"/>
        </w:rPr>
        <w:t>FUNDAD</w:t>
      </w:r>
      <w:r w:rsidR="006C6261" w:rsidRPr="0013399F">
        <w:rPr>
          <w:rFonts w:ascii="Times New Roman" w:eastAsia="Times New Roman" w:hAnsi="Times New Roman" w:cs="Times New Roman"/>
          <w:bCs/>
          <w:sz w:val="24"/>
          <w:szCs w:val="24"/>
          <w:lang w:val="es-ES" w:eastAsia="ar-SA"/>
        </w:rPr>
        <w:t xml:space="preserve">A la reclamación interpuesta </w:t>
      </w:r>
      <w:r w:rsidR="00F06498" w:rsidRPr="0013399F">
        <w:rPr>
          <w:rFonts w:ascii="Times New Roman" w:eastAsia="Times New Roman" w:hAnsi="Times New Roman" w:cs="Times New Roman"/>
          <w:bCs/>
          <w:sz w:val="24"/>
          <w:szCs w:val="24"/>
          <w:lang w:val="es-ES" w:eastAsia="ar-SA"/>
        </w:rPr>
        <w:t xml:space="preserve">contra </w:t>
      </w:r>
      <w:r w:rsidR="006F5817" w:rsidRPr="006F5817">
        <w:rPr>
          <w:rFonts w:ascii="Times New Roman" w:hAnsi="Times New Roman" w:cs="Times New Roman"/>
          <w:sz w:val="24"/>
          <w:szCs w:val="24"/>
        </w:rPr>
        <w:t>..................</w:t>
      </w:r>
      <w:r w:rsidR="00605902" w:rsidRPr="0013399F">
        <w:rPr>
          <w:rFonts w:ascii="Times New Roman" w:hAnsi="Times New Roman" w:cs="Times New Roman"/>
          <w:sz w:val="24"/>
          <w:szCs w:val="24"/>
          <w:lang w:val="es-PE"/>
        </w:rPr>
        <w:t>.</w:t>
      </w:r>
    </w:p>
    <w:p w14:paraId="6B71BAAF" w14:textId="53E58046" w:rsidR="00F06498" w:rsidRPr="0013399F" w:rsidRDefault="00F06498" w:rsidP="00F06498">
      <w:pPr>
        <w:pStyle w:val="Prrafodelista"/>
        <w:numPr>
          <w:ilvl w:val="0"/>
          <w:numId w:val="4"/>
        </w:numPr>
        <w:suppressAutoHyphens/>
        <w:spacing w:after="0" w:line="240" w:lineRule="auto"/>
        <w:ind w:hanging="720"/>
        <w:jc w:val="both"/>
        <w:rPr>
          <w:rFonts w:ascii="Times New Roman" w:eastAsia="Times New Roman" w:hAnsi="Times New Roman" w:cs="Times New Roman"/>
          <w:bCs/>
          <w:sz w:val="24"/>
          <w:szCs w:val="24"/>
          <w:lang w:val="es-ES" w:eastAsia="ar-SA"/>
        </w:rPr>
      </w:pPr>
      <w:r w:rsidRPr="0013399F">
        <w:rPr>
          <w:rFonts w:ascii="Times New Roman" w:eastAsia="Arial Unicode MS" w:hAnsi="Times New Roman" w:cs="Times New Roman"/>
          <w:b/>
          <w:sz w:val="24"/>
          <w:szCs w:val="24"/>
          <w:lang w:val="es-ES"/>
        </w:rPr>
        <w:t xml:space="preserve">Rectificar el error material </w:t>
      </w:r>
      <w:r w:rsidRPr="0013399F">
        <w:rPr>
          <w:rFonts w:ascii="Times New Roman" w:eastAsia="Arial Unicode MS" w:hAnsi="Times New Roman" w:cs="Times New Roman"/>
          <w:bCs/>
          <w:sz w:val="24"/>
          <w:szCs w:val="24"/>
          <w:lang w:val="es-ES"/>
        </w:rPr>
        <w:t>contenido en el numeral 6.2 de la parte considerativa de la Resolución Nro.155/19, conforme a lo siguiente:</w:t>
      </w:r>
    </w:p>
    <w:p w14:paraId="2676F11F" w14:textId="2E261346" w:rsidR="00F06498" w:rsidRPr="0013399F" w:rsidRDefault="00F06498" w:rsidP="00F06498">
      <w:pPr>
        <w:suppressAutoHyphens/>
        <w:spacing w:after="0" w:line="240" w:lineRule="auto"/>
        <w:jc w:val="both"/>
        <w:rPr>
          <w:rFonts w:ascii="Times New Roman" w:eastAsia="Times New Roman" w:hAnsi="Times New Roman" w:cs="Times New Roman"/>
          <w:bCs/>
          <w:sz w:val="24"/>
          <w:szCs w:val="24"/>
          <w:lang w:val="es-ES" w:eastAsia="ar-SA"/>
        </w:rPr>
      </w:pPr>
    </w:p>
    <w:p w14:paraId="05BE2B8A" w14:textId="77E50895" w:rsidR="00F06498" w:rsidRPr="0013399F" w:rsidRDefault="00F06498" w:rsidP="00F06498">
      <w:pPr>
        <w:suppressAutoHyphens/>
        <w:spacing w:after="0" w:line="240" w:lineRule="auto"/>
        <w:ind w:left="2160" w:hanging="1440"/>
        <w:jc w:val="both"/>
        <w:rPr>
          <w:rFonts w:ascii="Times New Roman" w:eastAsia="Times New Roman" w:hAnsi="Times New Roman" w:cs="Times New Roman"/>
          <w:bCs/>
          <w:sz w:val="24"/>
          <w:szCs w:val="24"/>
          <w:lang w:val="es-ES" w:eastAsia="ar-SA"/>
        </w:rPr>
      </w:pPr>
      <w:r w:rsidRPr="0013399F">
        <w:rPr>
          <w:rFonts w:ascii="Times New Roman" w:eastAsia="Times New Roman" w:hAnsi="Times New Roman" w:cs="Times New Roman"/>
          <w:bCs/>
          <w:sz w:val="24"/>
          <w:szCs w:val="24"/>
          <w:lang w:val="es-ES" w:eastAsia="ar-SA"/>
        </w:rPr>
        <w:t>Dice:</w:t>
      </w:r>
      <w:r w:rsidRPr="0013399F">
        <w:rPr>
          <w:rFonts w:ascii="Times New Roman" w:eastAsia="Times New Roman" w:hAnsi="Times New Roman" w:cs="Times New Roman"/>
          <w:bCs/>
          <w:sz w:val="24"/>
          <w:szCs w:val="24"/>
          <w:lang w:val="es-ES" w:eastAsia="ar-SA"/>
        </w:rPr>
        <w:tab/>
        <w:t xml:space="preserve">“(…). Dicha presentación extemporánea, imputable a </w:t>
      </w:r>
      <w:r w:rsidR="006F5817" w:rsidRPr="006F5817">
        <w:rPr>
          <w:rFonts w:ascii="Times New Roman" w:hAnsi="Times New Roman" w:cs="Times New Roman"/>
          <w:sz w:val="24"/>
          <w:szCs w:val="24"/>
        </w:rPr>
        <w:t>..................</w:t>
      </w:r>
      <w:r w:rsidRPr="0013399F">
        <w:rPr>
          <w:rFonts w:ascii="Times New Roman" w:eastAsia="Times New Roman" w:hAnsi="Times New Roman" w:cs="Times New Roman"/>
          <w:bCs/>
          <w:sz w:val="24"/>
          <w:szCs w:val="24"/>
          <w:lang w:val="es-ES" w:eastAsia="ar-SA"/>
        </w:rPr>
        <w:t>, la que no ha podido demostrar causa ajena, contraviene (…)”.</w:t>
      </w:r>
    </w:p>
    <w:p w14:paraId="17E84019" w14:textId="67087BDD" w:rsidR="00F06498" w:rsidRPr="0013399F" w:rsidRDefault="00F06498" w:rsidP="00F06498">
      <w:pPr>
        <w:suppressAutoHyphens/>
        <w:spacing w:after="0" w:line="240" w:lineRule="auto"/>
        <w:ind w:left="2160" w:hanging="1440"/>
        <w:jc w:val="both"/>
        <w:rPr>
          <w:rFonts w:ascii="Times New Roman" w:eastAsia="Times New Roman" w:hAnsi="Times New Roman" w:cs="Times New Roman"/>
          <w:bCs/>
          <w:sz w:val="24"/>
          <w:szCs w:val="24"/>
          <w:lang w:val="es-ES" w:eastAsia="ar-SA"/>
        </w:rPr>
      </w:pPr>
      <w:r w:rsidRPr="0013399F">
        <w:rPr>
          <w:rFonts w:ascii="Times New Roman" w:eastAsia="Times New Roman" w:hAnsi="Times New Roman" w:cs="Times New Roman"/>
          <w:bCs/>
          <w:sz w:val="24"/>
          <w:szCs w:val="24"/>
          <w:lang w:val="es-ES" w:eastAsia="ar-SA"/>
        </w:rPr>
        <w:t>Debe decir:</w:t>
      </w:r>
      <w:r w:rsidRPr="0013399F">
        <w:rPr>
          <w:rFonts w:ascii="Times New Roman" w:eastAsia="Times New Roman" w:hAnsi="Times New Roman" w:cs="Times New Roman"/>
          <w:bCs/>
          <w:sz w:val="24"/>
          <w:szCs w:val="24"/>
          <w:lang w:val="es-ES" w:eastAsia="ar-SA"/>
        </w:rPr>
        <w:tab/>
        <w:t xml:space="preserve">“(…). Dicha presentación extemporánea, imputable a </w:t>
      </w:r>
      <w:r w:rsidR="006F5817" w:rsidRPr="006F5817">
        <w:rPr>
          <w:rFonts w:ascii="Times New Roman" w:hAnsi="Times New Roman" w:cs="Times New Roman"/>
          <w:sz w:val="24"/>
          <w:szCs w:val="24"/>
        </w:rPr>
        <w:t>..................</w:t>
      </w:r>
      <w:r w:rsidRPr="0013399F">
        <w:rPr>
          <w:rFonts w:ascii="Times New Roman" w:eastAsia="Times New Roman" w:hAnsi="Times New Roman" w:cs="Times New Roman"/>
          <w:bCs/>
          <w:sz w:val="24"/>
          <w:szCs w:val="24"/>
          <w:lang w:val="es-ES" w:eastAsia="ar-SA"/>
        </w:rPr>
        <w:t>, la que no ha podido demostrar causa ajena, contraviene (…)”.</w:t>
      </w:r>
    </w:p>
    <w:p w14:paraId="39BAC841" w14:textId="43EFB1E2" w:rsidR="00F06498" w:rsidRPr="0013399F" w:rsidRDefault="00F06498" w:rsidP="00F06498">
      <w:pPr>
        <w:suppressAutoHyphens/>
        <w:spacing w:after="0" w:line="240" w:lineRule="auto"/>
        <w:ind w:left="720"/>
        <w:jc w:val="both"/>
        <w:rPr>
          <w:rFonts w:ascii="Times New Roman" w:eastAsia="Times New Roman" w:hAnsi="Times New Roman" w:cs="Times New Roman"/>
          <w:bCs/>
          <w:sz w:val="24"/>
          <w:szCs w:val="24"/>
          <w:lang w:val="es-ES" w:eastAsia="ar-SA"/>
        </w:rPr>
      </w:pPr>
    </w:p>
    <w:p w14:paraId="0BC77DE7" w14:textId="77777777" w:rsidR="00A16942" w:rsidRPr="0013399F" w:rsidRDefault="00A16942" w:rsidP="00B8028F">
      <w:pPr>
        <w:suppressAutoHyphens/>
        <w:spacing w:after="0" w:line="240" w:lineRule="auto"/>
        <w:jc w:val="right"/>
        <w:outlineLvl w:val="0"/>
        <w:rPr>
          <w:rFonts w:ascii="Times New Roman" w:eastAsia="Arial Unicode MS" w:hAnsi="Times New Roman" w:cs="Times New Roman"/>
          <w:sz w:val="24"/>
          <w:szCs w:val="24"/>
          <w:lang w:val="es-ES" w:eastAsia="ar-SA"/>
        </w:rPr>
      </w:pPr>
    </w:p>
    <w:p w14:paraId="78A39B5B" w14:textId="4D0A0D5F" w:rsidR="00517989" w:rsidRDefault="0091528B" w:rsidP="00A837A0">
      <w:pPr>
        <w:suppressAutoHyphens/>
        <w:spacing w:after="0" w:line="240" w:lineRule="auto"/>
        <w:jc w:val="right"/>
        <w:outlineLvl w:val="0"/>
        <w:rPr>
          <w:rFonts w:ascii="Times New Roman" w:eastAsia="Times New Roman" w:hAnsi="Times New Roman" w:cs="Times New Roman"/>
          <w:sz w:val="24"/>
          <w:szCs w:val="24"/>
          <w:lang w:val="es-MX" w:eastAsia="ar-SA"/>
        </w:rPr>
      </w:pPr>
      <w:r w:rsidRPr="0013399F">
        <w:rPr>
          <w:rFonts w:ascii="Times New Roman" w:eastAsia="Arial Unicode MS" w:hAnsi="Times New Roman" w:cs="Times New Roman"/>
          <w:sz w:val="24"/>
          <w:szCs w:val="24"/>
          <w:lang w:val="es-ES" w:eastAsia="ar-SA"/>
        </w:rPr>
        <w:t xml:space="preserve">Lima, </w:t>
      </w:r>
      <w:r w:rsidR="0013399F">
        <w:rPr>
          <w:rFonts w:ascii="Times New Roman" w:eastAsia="Arial Unicode MS" w:hAnsi="Times New Roman" w:cs="Times New Roman"/>
          <w:sz w:val="24"/>
          <w:szCs w:val="24"/>
          <w:lang w:val="es-ES" w:eastAsia="ar-SA"/>
        </w:rPr>
        <w:t>03</w:t>
      </w:r>
      <w:r w:rsidR="00707C99" w:rsidRPr="0013399F">
        <w:rPr>
          <w:rFonts w:ascii="Times New Roman" w:eastAsia="Arial Unicode MS" w:hAnsi="Times New Roman" w:cs="Times New Roman"/>
          <w:sz w:val="24"/>
          <w:szCs w:val="24"/>
          <w:lang w:val="es-ES" w:eastAsia="ar-SA"/>
        </w:rPr>
        <w:t xml:space="preserve"> de </w:t>
      </w:r>
      <w:r w:rsidR="0013399F">
        <w:rPr>
          <w:rFonts w:ascii="Times New Roman" w:eastAsia="Arial Unicode MS" w:hAnsi="Times New Roman" w:cs="Times New Roman"/>
          <w:sz w:val="24"/>
          <w:szCs w:val="24"/>
          <w:lang w:val="es-ES" w:eastAsia="ar-SA"/>
        </w:rPr>
        <w:t xml:space="preserve">febrero </w:t>
      </w:r>
      <w:r w:rsidR="00F06498" w:rsidRPr="0013399F">
        <w:rPr>
          <w:rFonts w:ascii="Times New Roman" w:eastAsia="Arial Unicode MS" w:hAnsi="Times New Roman" w:cs="Times New Roman"/>
          <w:sz w:val="24"/>
          <w:szCs w:val="24"/>
          <w:lang w:val="es-ES" w:eastAsia="ar-SA"/>
        </w:rPr>
        <w:t>de 2020</w:t>
      </w:r>
    </w:p>
    <w:p w14:paraId="15AFD679" w14:textId="15C39516" w:rsidR="0013399F" w:rsidRDefault="0013399F" w:rsidP="0013399F">
      <w:pPr>
        <w:suppressAutoHyphens/>
        <w:spacing w:after="0" w:line="240" w:lineRule="auto"/>
        <w:outlineLvl w:val="0"/>
        <w:rPr>
          <w:rFonts w:ascii="Times New Roman" w:eastAsia="Times New Roman" w:hAnsi="Times New Roman" w:cs="Times New Roman"/>
          <w:sz w:val="24"/>
          <w:szCs w:val="24"/>
          <w:lang w:val="es-MX" w:eastAsia="ar-SA"/>
        </w:rPr>
      </w:pPr>
    </w:p>
    <w:p w14:paraId="0B3B1828" w14:textId="751A5B9E" w:rsidR="0013399F" w:rsidRDefault="0013399F" w:rsidP="0013399F">
      <w:pPr>
        <w:suppressAutoHyphens/>
        <w:spacing w:after="0" w:line="240" w:lineRule="auto"/>
        <w:outlineLvl w:val="0"/>
        <w:rPr>
          <w:rFonts w:ascii="Times New Roman" w:eastAsia="Times New Roman" w:hAnsi="Times New Roman" w:cs="Times New Roman"/>
          <w:sz w:val="24"/>
          <w:szCs w:val="24"/>
          <w:lang w:val="es-MX" w:eastAsia="ar-SA"/>
        </w:rPr>
      </w:pPr>
    </w:p>
    <w:p w14:paraId="0F39B93B" w14:textId="3483D796" w:rsidR="0013399F" w:rsidRDefault="0013399F" w:rsidP="0013399F">
      <w:pPr>
        <w:suppressAutoHyphens/>
        <w:spacing w:after="0" w:line="240" w:lineRule="auto"/>
        <w:outlineLvl w:val="0"/>
        <w:rPr>
          <w:rFonts w:ascii="Times New Roman" w:eastAsia="Times New Roman" w:hAnsi="Times New Roman" w:cs="Times New Roman"/>
          <w:sz w:val="24"/>
          <w:szCs w:val="24"/>
          <w:lang w:val="es-MX" w:eastAsia="ar-SA"/>
        </w:rPr>
      </w:pPr>
    </w:p>
    <w:p w14:paraId="40F27673" w14:textId="30B6F544" w:rsidR="0013399F" w:rsidRDefault="0013399F" w:rsidP="0013399F">
      <w:pPr>
        <w:suppressAutoHyphens/>
        <w:spacing w:after="0" w:line="240" w:lineRule="auto"/>
        <w:outlineLvl w:val="0"/>
        <w:rPr>
          <w:rFonts w:ascii="Times New Roman" w:eastAsia="Times New Roman" w:hAnsi="Times New Roman" w:cs="Times New Roman"/>
          <w:sz w:val="24"/>
          <w:szCs w:val="24"/>
          <w:lang w:val="es-MX" w:eastAsia="ar-SA"/>
        </w:rPr>
      </w:pPr>
    </w:p>
    <w:p w14:paraId="7A33B338" w14:textId="77777777" w:rsidR="0013399F" w:rsidRDefault="0013399F" w:rsidP="0013399F">
      <w:pPr>
        <w:spacing w:after="0" w:line="240" w:lineRule="auto"/>
        <w:rPr>
          <w:rFonts w:ascii="Times New Roman" w:hAnsi="Times New Roman" w:cs="Times New Roman"/>
          <w:sz w:val="24"/>
          <w:szCs w:val="24"/>
        </w:rPr>
      </w:pPr>
    </w:p>
    <w:p w14:paraId="2C6F6794" w14:textId="77777777" w:rsidR="0013399F" w:rsidRPr="00A31110" w:rsidRDefault="0013399F" w:rsidP="0013399F">
      <w:pPr>
        <w:spacing w:after="0" w:line="240" w:lineRule="auto"/>
        <w:rPr>
          <w:rFonts w:ascii="Times New Roman" w:hAnsi="Times New Roman" w:cs="Times New Roman"/>
          <w:sz w:val="23"/>
          <w:szCs w:val="23"/>
        </w:rPr>
      </w:pPr>
    </w:p>
    <w:p w14:paraId="48E55289" w14:textId="77777777" w:rsidR="0013399F" w:rsidRPr="00AD119D" w:rsidRDefault="0013399F" w:rsidP="0013399F">
      <w:pPr>
        <w:spacing w:after="0" w:line="240" w:lineRule="auto"/>
        <w:rPr>
          <w:rFonts w:ascii="Times New Roman" w:hAnsi="Times New Roman" w:cs="Times New Roman"/>
          <w:sz w:val="24"/>
          <w:szCs w:val="24"/>
        </w:rPr>
      </w:pPr>
    </w:p>
    <w:p w14:paraId="209C2D56" w14:textId="5E7BCB76" w:rsidR="0013399F" w:rsidRPr="00AD119D" w:rsidRDefault="0013399F" w:rsidP="0013399F">
      <w:pPr>
        <w:spacing w:after="0" w:line="240" w:lineRule="auto"/>
        <w:ind w:firstLine="720"/>
        <w:rPr>
          <w:rFonts w:ascii="Times New Roman" w:hAnsi="Times New Roman" w:cs="Times New Roman"/>
          <w:sz w:val="24"/>
          <w:szCs w:val="24"/>
        </w:rPr>
      </w:pPr>
      <w:r w:rsidRPr="00AD119D">
        <w:rPr>
          <w:rFonts w:ascii="Times New Roman" w:hAnsi="Times New Roman" w:cs="Times New Roman"/>
          <w:sz w:val="24"/>
          <w:szCs w:val="24"/>
        </w:rPr>
        <w:t xml:space="preserve">María Eugenia Valdez Fernández Baca </w:t>
      </w:r>
      <w:r w:rsidRPr="00AD119D">
        <w:rPr>
          <w:rFonts w:ascii="Times New Roman" w:hAnsi="Times New Roman" w:cs="Times New Roman"/>
          <w:sz w:val="24"/>
          <w:szCs w:val="24"/>
        </w:rPr>
        <w:tab/>
      </w:r>
      <w:r w:rsidRPr="00AD119D">
        <w:rPr>
          <w:rFonts w:ascii="Times New Roman" w:hAnsi="Times New Roman" w:cs="Times New Roman"/>
          <w:sz w:val="24"/>
          <w:szCs w:val="24"/>
        </w:rPr>
        <w:tab/>
        <w:t>Marco Antonio Ortega Piana</w:t>
      </w:r>
      <w:r w:rsidRPr="00AD119D">
        <w:rPr>
          <w:rFonts w:ascii="Times New Roman" w:hAnsi="Times New Roman" w:cs="Times New Roman"/>
          <w:sz w:val="24"/>
          <w:szCs w:val="24"/>
        </w:rPr>
        <w:tab/>
        <w:t xml:space="preserve">                   </w:t>
      </w:r>
      <w:r w:rsidRPr="00AD119D">
        <w:rPr>
          <w:rFonts w:ascii="Times New Roman" w:hAnsi="Times New Roman" w:cs="Times New Roman"/>
          <w:sz w:val="24"/>
          <w:szCs w:val="24"/>
        </w:rPr>
        <w:tab/>
        <w:t xml:space="preserve">      </w:t>
      </w:r>
      <w:r w:rsidRPr="00AD119D">
        <w:rPr>
          <w:rFonts w:ascii="Times New Roman" w:hAnsi="Times New Roman" w:cs="Times New Roman"/>
          <w:sz w:val="24"/>
          <w:szCs w:val="24"/>
        </w:rPr>
        <w:tab/>
        <w:t xml:space="preserve">         </w:t>
      </w:r>
      <w:proofErr w:type="spellStart"/>
      <w:r w:rsidRPr="00AD119D">
        <w:rPr>
          <w:rFonts w:ascii="Times New Roman" w:hAnsi="Times New Roman" w:cs="Times New Roman"/>
          <w:sz w:val="24"/>
          <w:szCs w:val="24"/>
        </w:rPr>
        <w:t>Presidente</w:t>
      </w:r>
      <w:proofErr w:type="spellEnd"/>
      <w:r w:rsidRPr="00AD119D">
        <w:rPr>
          <w:rFonts w:ascii="Times New Roman" w:hAnsi="Times New Roman" w:cs="Times New Roman"/>
          <w:sz w:val="24"/>
          <w:szCs w:val="24"/>
        </w:rPr>
        <w:tab/>
      </w:r>
      <w:r w:rsidRPr="00AD119D">
        <w:rPr>
          <w:rFonts w:ascii="Times New Roman" w:hAnsi="Times New Roman" w:cs="Times New Roman"/>
          <w:sz w:val="24"/>
          <w:szCs w:val="24"/>
        </w:rPr>
        <w:tab/>
      </w:r>
      <w:r w:rsidRPr="00AD119D">
        <w:rPr>
          <w:rFonts w:ascii="Times New Roman" w:hAnsi="Times New Roman" w:cs="Times New Roman"/>
          <w:sz w:val="24"/>
          <w:szCs w:val="24"/>
        </w:rPr>
        <w:tab/>
      </w:r>
      <w:r w:rsidRPr="00AD119D">
        <w:rPr>
          <w:rFonts w:ascii="Times New Roman" w:hAnsi="Times New Roman" w:cs="Times New Roman"/>
          <w:sz w:val="24"/>
          <w:szCs w:val="24"/>
        </w:rPr>
        <w:tab/>
      </w:r>
      <w:r w:rsidRPr="00AD119D">
        <w:rPr>
          <w:rFonts w:ascii="Times New Roman" w:hAnsi="Times New Roman" w:cs="Times New Roman"/>
          <w:sz w:val="24"/>
          <w:szCs w:val="24"/>
        </w:rPr>
        <w:tab/>
        <w:t xml:space="preserve">     Vocal                                   </w:t>
      </w:r>
    </w:p>
    <w:p w14:paraId="2283EE5F" w14:textId="77777777" w:rsidR="0013399F" w:rsidRPr="00AD119D" w:rsidRDefault="0013399F" w:rsidP="0013399F">
      <w:pPr>
        <w:spacing w:after="0" w:line="240" w:lineRule="auto"/>
        <w:rPr>
          <w:rFonts w:ascii="Times New Roman" w:hAnsi="Times New Roman" w:cs="Times New Roman"/>
          <w:sz w:val="24"/>
          <w:szCs w:val="24"/>
        </w:rPr>
      </w:pPr>
    </w:p>
    <w:p w14:paraId="3A5C79D8" w14:textId="77777777" w:rsidR="0013399F" w:rsidRPr="00AD119D" w:rsidRDefault="0013399F" w:rsidP="0013399F">
      <w:pPr>
        <w:spacing w:after="0" w:line="240" w:lineRule="auto"/>
        <w:rPr>
          <w:rFonts w:ascii="Times New Roman" w:hAnsi="Times New Roman" w:cs="Times New Roman"/>
          <w:sz w:val="24"/>
          <w:szCs w:val="24"/>
        </w:rPr>
      </w:pPr>
    </w:p>
    <w:p w14:paraId="08BB2A50" w14:textId="77777777" w:rsidR="0013399F" w:rsidRPr="00AD119D" w:rsidRDefault="0013399F" w:rsidP="0013399F">
      <w:pPr>
        <w:spacing w:after="0" w:line="240" w:lineRule="auto"/>
        <w:rPr>
          <w:rFonts w:ascii="Times New Roman" w:hAnsi="Times New Roman" w:cs="Times New Roman"/>
          <w:sz w:val="24"/>
          <w:szCs w:val="24"/>
        </w:rPr>
      </w:pPr>
    </w:p>
    <w:p w14:paraId="0F53068C" w14:textId="6CFDD31F" w:rsidR="0013399F" w:rsidRPr="00AD119D" w:rsidRDefault="0013399F" w:rsidP="0013399F">
      <w:pPr>
        <w:spacing w:after="0" w:line="240" w:lineRule="auto"/>
        <w:rPr>
          <w:rFonts w:ascii="Times New Roman" w:hAnsi="Times New Roman" w:cs="Times New Roman"/>
          <w:sz w:val="24"/>
          <w:szCs w:val="24"/>
        </w:rPr>
      </w:pPr>
    </w:p>
    <w:p w14:paraId="60994532" w14:textId="73006F98" w:rsidR="0013399F" w:rsidRPr="00AD119D" w:rsidRDefault="0013399F" w:rsidP="0013399F">
      <w:pPr>
        <w:spacing w:after="0" w:line="240" w:lineRule="auto"/>
        <w:rPr>
          <w:rFonts w:ascii="Times New Roman" w:hAnsi="Times New Roman" w:cs="Times New Roman"/>
          <w:sz w:val="24"/>
          <w:szCs w:val="24"/>
        </w:rPr>
      </w:pPr>
    </w:p>
    <w:p w14:paraId="72C611A7" w14:textId="77777777" w:rsidR="0013399F" w:rsidRPr="00AD119D" w:rsidRDefault="0013399F" w:rsidP="0013399F">
      <w:pPr>
        <w:spacing w:after="0" w:line="240" w:lineRule="auto"/>
        <w:rPr>
          <w:rFonts w:ascii="Times New Roman" w:hAnsi="Times New Roman" w:cs="Times New Roman"/>
          <w:sz w:val="24"/>
          <w:szCs w:val="24"/>
        </w:rPr>
      </w:pPr>
    </w:p>
    <w:p w14:paraId="7F2EE745" w14:textId="77777777" w:rsidR="0013399F" w:rsidRPr="00AD119D" w:rsidRDefault="0013399F" w:rsidP="0013399F">
      <w:pPr>
        <w:spacing w:after="0" w:line="240" w:lineRule="auto"/>
        <w:rPr>
          <w:rFonts w:ascii="Times New Roman" w:hAnsi="Times New Roman" w:cs="Times New Roman"/>
          <w:sz w:val="24"/>
          <w:szCs w:val="24"/>
        </w:rPr>
      </w:pPr>
    </w:p>
    <w:p w14:paraId="456B4E08" w14:textId="77777777" w:rsidR="0013399F" w:rsidRPr="00AD119D" w:rsidRDefault="0013399F" w:rsidP="0013399F">
      <w:pPr>
        <w:spacing w:after="0" w:line="240" w:lineRule="auto"/>
        <w:ind w:firstLine="720"/>
        <w:rPr>
          <w:rFonts w:ascii="Times New Roman" w:hAnsi="Times New Roman" w:cs="Times New Roman"/>
          <w:sz w:val="24"/>
          <w:szCs w:val="24"/>
        </w:rPr>
      </w:pPr>
      <w:r w:rsidRPr="00AD119D">
        <w:rPr>
          <w:rFonts w:ascii="Times New Roman" w:hAnsi="Times New Roman" w:cs="Times New Roman"/>
          <w:sz w:val="24"/>
          <w:szCs w:val="24"/>
        </w:rPr>
        <w:t xml:space="preserve">Rolando Eyzaguirre </w:t>
      </w:r>
      <w:proofErr w:type="spellStart"/>
      <w:r w:rsidRPr="00AD119D">
        <w:rPr>
          <w:rFonts w:ascii="Times New Roman" w:hAnsi="Times New Roman" w:cs="Times New Roman"/>
          <w:sz w:val="24"/>
          <w:szCs w:val="24"/>
        </w:rPr>
        <w:t>Maccan</w:t>
      </w:r>
      <w:proofErr w:type="spellEnd"/>
      <w:r w:rsidRPr="00AD119D">
        <w:rPr>
          <w:rFonts w:ascii="Times New Roman" w:hAnsi="Times New Roman" w:cs="Times New Roman"/>
          <w:sz w:val="24"/>
          <w:szCs w:val="24"/>
        </w:rPr>
        <w:t xml:space="preserve"> </w:t>
      </w:r>
      <w:r w:rsidRPr="00AD119D">
        <w:rPr>
          <w:rFonts w:ascii="Times New Roman" w:hAnsi="Times New Roman" w:cs="Times New Roman"/>
          <w:sz w:val="24"/>
          <w:szCs w:val="24"/>
        </w:rPr>
        <w:tab/>
      </w:r>
      <w:r w:rsidRPr="00AD119D">
        <w:rPr>
          <w:rFonts w:ascii="Times New Roman" w:hAnsi="Times New Roman" w:cs="Times New Roman"/>
          <w:sz w:val="24"/>
          <w:szCs w:val="24"/>
        </w:rPr>
        <w:tab/>
      </w:r>
      <w:r w:rsidRPr="00AD119D">
        <w:rPr>
          <w:rFonts w:ascii="Times New Roman" w:hAnsi="Times New Roman" w:cs="Times New Roman"/>
          <w:sz w:val="24"/>
          <w:szCs w:val="24"/>
        </w:rPr>
        <w:tab/>
      </w:r>
      <w:r w:rsidRPr="00AD119D">
        <w:rPr>
          <w:rFonts w:ascii="Times New Roman" w:hAnsi="Times New Roman" w:cs="Times New Roman"/>
          <w:sz w:val="24"/>
          <w:szCs w:val="24"/>
        </w:rPr>
        <w:tab/>
        <w:t xml:space="preserve">   Gonzalo Abad del Busto</w:t>
      </w:r>
    </w:p>
    <w:p w14:paraId="409D6E6F" w14:textId="5234CF4A" w:rsidR="0013399F" w:rsidRPr="00AD119D" w:rsidRDefault="0013399F" w:rsidP="0013399F">
      <w:pPr>
        <w:spacing w:after="0" w:line="240" w:lineRule="auto"/>
        <w:rPr>
          <w:rFonts w:ascii="Times New Roman" w:hAnsi="Times New Roman" w:cs="Times New Roman"/>
          <w:sz w:val="24"/>
          <w:szCs w:val="24"/>
        </w:rPr>
      </w:pPr>
      <w:r w:rsidRPr="00AD119D">
        <w:rPr>
          <w:rFonts w:ascii="Times New Roman" w:hAnsi="Times New Roman" w:cs="Times New Roman"/>
          <w:sz w:val="24"/>
          <w:szCs w:val="24"/>
        </w:rPr>
        <w:t xml:space="preserve">               </w:t>
      </w:r>
      <w:r w:rsidRPr="00AD119D">
        <w:rPr>
          <w:rFonts w:ascii="Times New Roman" w:hAnsi="Times New Roman" w:cs="Times New Roman"/>
          <w:sz w:val="24"/>
          <w:szCs w:val="24"/>
        </w:rPr>
        <w:tab/>
        <w:t xml:space="preserve">   Vocal</w:t>
      </w:r>
      <w:r w:rsidRPr="00AD119D">
        <w:rPr>
          <w:rFonts w:ascii="Times New Roman" w:hAnsi="Times New Roman" w:cs="Times New Roman"/>
          <w:sz w:val="24"/>
          <w:szCs w:val="24"/>
        </w:rPr>
        <w:tab/>
        <w:t xml:space="preserve">                                                                    </w:t>
      </w:r>
      <w:proofErr w:type="spellStart"/>
      <w:r w:rsidRPr="00AD119D">
        <w:rPr>
          <w:rFonts w:ascii="Times New Roman" w:hAnsi="Times New Roman" w:cs="Times New Roman"/>
          <w:sz w:val="24"/>
          <w:szCs w:val="24"/>
        </w:rPr>
        <w:t>Vocal</w:t>
      </w:r>
      <w:proofErr w:type="spellEnd"/>
    </w:p>
    <w:p w14:paraId="75EC0339" w14:textId="77777777" w:rsidR="0013399F" w:rsidRPr="00AD119D" w:rsidRDefault="0013399F" w:rsidP="0013399F">
      <w:pPr>
        <w:suppressAutoHyphens/>
        <w:spacing w:after="0" w:line="240" w:lineRule="auto"/>
        <w:outlineLvl w:val="0"/>
        <w:rPr>
          <w:rFonts w:ascii="Times New Roman" w:eastAsia="Arial Unicode MS" w:hAnsi="Times New Roman" w:cs="Times New Roman"/>
          <w:sz w:val="24"/>
          <w:szCs w:val="24"/>
          <w:lang w:val="es-ES" w:eastAsia="ar-SA"/>
        </w:rPr>
      </w:pPr>
    </w:p>
    <w:sectPr w:rsidR="0013399F" w:rsidRPr="00AD119D" w:rsidSect="00265AF9">
      <w:footerReference w:type="default" r:id="rId7"/>
      <w:pgSz w:w="11906" w:h="16838"/>
      <w:pgMar w:top="1700" w:right="1420" w:bottom="1400" w:left="14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24B58" w14:textId="77777777" w:rsidR="00E3020A" w:rsidRDefault="00E3020A" w:rsidP="00784355">
      <w:pPr>
        <w:spacing w:after="0" w:line="240" w:lineRule="auto"/>
      </w:pPr>
      <w:r>
        <w:separator/>
      </w:r>
    </w:p>
  </w:endnote>
  <w:endnote w:type="continuationSeparator" w:id="0">
    <w:p w14:paraId="306F9212" w14:textId="77777777" w:rsidR="00E3020A" w:rsidRDefault="00E3020A" w:rsidP="00784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0972786"/>
      <w:docPartObj>
        <w:docPartGallery w:val="Page Numbers (Bottom of Page)"/>
        <w:docPartUnique/>
      </w:docPartObj>
    </w:sdtPr>
    <w:sdtContent>
      <w:sdt>
        <w:sdtPr>
          <w:id w:val="-1769616900"/>
          <w:docPartObj>
            <w:docPartGallery w:val="Page Numbers (Top of Page)"/>
            <w:docPartUnique/>
          </w:docPartObj>
        </w:sdtPr>
        <w:sdtContent>
          <w:p w14:paraId="6B604FC5" w14:textId="1E7D66AB" w:rsidR="006F5817" w:rsidRDefault="006F5817">
            <w:pPr>
              <w:pStyle w:val="Piedepgina"/>
              <w:jc w:val="right"/>
            </w:pPr>
            <w:r w:rsidRPr="006F5817">
              <w:rPr>
                <w:rFonts w:ascii="Times New Roman" w:hAnsi="Times New Roman" w:cs="Times New Roman"/>
                <w:sz w:val="18"/>
                <w:szCs w:val="18"/>
                <w:lang w:val="es-ES"/>
              </w:rPr>
              <w:t xml:space="preserve">Página </w:t>
            </w:r>
            <w:r w:rsidRPr="006F5817">
              <w:rPr>
                <w:rFonts w:ascii="Times New Roman" w:hAnsi="Times New Roman" w:cs="Times New Roman"/>
                <w:b/>
                <w:bCs/>
                <w:sz w:val="18"/>
                <w:szCs w:val="18"/>
              </w:rPr>
              <w:fldChar w:fldCharType="begin"/>
            </w:r>
            <w:r w:rsidRPr="006F5817">
              <w:rPr>
                <w:rFonts w:ascii="Times New Roman" w:hAnsi="Times New Roman" w:cs="Times New Roman"/>
                <w:b/>
                <w:bCs/>
                <w:sz w:val="18"/>
                <w:szCs w:val="18"/>
              </w:rPr>
              <w:instrText>PAGE</w:instrText>
            </w:r>
            <w:r w:rsidRPr="006F5817">
              <w:rPr>
                <w:rFonts w:ascii="Times New Roman" w:hAnsi="Times New Roman" w:cs="Times New Roman"/>
                <w:b/>
                <w:bCs/>
                <w:sz w:val="18"/>
                <w:szCs w:val="18"/>
              </w:rPr>
              <w:fldChar w:fldCharType="separate"/>
            </w:r>
            <w:r w:rsidRPr="006F5817">
              <w:rPr>
                <w:rFonts w:ascii="Times New Roman" w:hAnsi="Times New Roman" w:cs="Times New Roman"/>
                <w:b/>
                <w:bCs/>
                <w:sz w:val="18"/>
                <w:szCs w:val="18"/>
                <w:lang w:val="es-ES"/>
              </w:rPr>
              <w:t>2</w:t>
            </w:r>
            <w:r w:rsidRPr="006F5817">
              <w:rPr>
                <w:rFonts w:ascii="Times New Roman" w:hAnsi="Times New Roman" w:cs="Times New Roman"/>
                <w:b/>
                <w:bCs/>
                <w:sz w:val="18"/>
                <w:szCs w:val="18"/>
              </w:rPr>
              <w:fldChar w:fldCharType="end"/>
            </w:r>
            <w:r w:rsidRPr="006F5817">
              <w:rPr>
                <w:rFonts w:ascii="Times New Roman" w:hAnsi="Times New Roman" w:cs="Times New Roman"/>
                <w:sz w:val="18"/>
                <w:szCs w:val="18"/>
                <w:lang w:val="es-ES"/>
              </w:rPr>
              <w:t xml:space="preserve"> de </w:t>
            </w:r>
            <w:r w:rsidRPr="006F5817">
              <w:rPr>
                <w:rFonts w:ascii="Times New Roman" w:hAnsi="Times New Roman" w:cs="Times New Roman"/>
                <w:b/>
                <w:bCs/>
                <w:sz w:val="18"/>
                <w:szCs w:val="18"/>
              </w:rPr>
              <w:fldChar w:fldCharType="begin"/>
            </w:r>
            <w:r w:rsidRPr="006F5817">
              <w:rPr>
                <w:rFonts w:ascii="Times New Roman" w:hAnsi="Times New Roman" w:cs="Times New Roman"/>
                <w:b/>
                <w:bCs/>
                <w:sz w:val="18"/>
                <w:szCs w:val="18"/>
              </w:rPr>
              <w:instrText>NUMPAGES</w:instrText>
            </w:r>
            <w:r w:rsidRPr="006F5817">
              <w:rPr>
                <w:rFonts w:ascii="Times New Roman" w:hAnsi="Times New Roman" w:cs="Times New Roman"/>
                <w:b/>
                <w:bCs/>
                <w:sz w:val="18"/>
                <w:szCs w:val="18"/>
              </w:rPr>
              <w:fldChar w:fldCharType="separate"/>
            </w:r>
            <w:r w:rsidRPr="006F5817">
              <w:rPr>
                <w:rFonts w:ascii="Times New Roman" w:hAnsi="Times New Roman" w:cs="Times New Roman"/>
                <w:b/>
                <w:bCs/>
                <w:sz w:val="18"/>
                <w:szCs w:val="18"/>
                <w:lang w:val="es-ES"/>
              </w:rPr>
              <w:t>2</w:t>
            </w:r>
            <w:r w:rsidRPr="006F5817">
              <w:rPr>
                <w:rFonts w:ascii="Times New Roman" w:hAnsi="Times New Roman" w:cs="Times New Roman"/>
                <w:b/>
                <w:bCs/>
                <w:sz w:val="18"/>
                <w:szCs w:val="18"/>
              </w:rPr>
              <w:fldChar w:fldCharType="end"/>
            </w:r>
          </w:p>
        </w:sdtContent>
      </w:sdt>
    </w:sdtContent>
  </w:sdt>
  <w:p w14:paraId="3BA05C52" w14:textId="77777777" w:rsidR="00784355" w:rsidRDefault="007843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68818" w14:textId="77777777" w:rsidR="00E3020A" w:rsidRDefault="00E3020A" w:rsidP="00784355">
      <w:pPr>
        <w:spacing w:after="0" w:line="240" w:lineRule="auto"/>
      </w:pPr>
      <w:r>
        <w:separator/>
      </w:r>
    </w:p>
  </w:footnote>
  <w:footnote w:type="continuationSeparator" w:id="0">
    <w:p w14:paraId="7D5C0207" w14:textId="77777777" w:rsidR="00E3020A" w:rsidRDefault="00E3020A" w:rsidP="00784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E5EF4"/>
    <w:multiLevelType w:val="multilevel"/>
    <w:tmpl w:val="EC0C25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56C0ACA"/>
    <w:multiLevelType w:val="hybridMultilevel"/>
    <w:tmpl w:val="486244DC"/>
    <w:lvl w:ilvl="0" w:tplc="377608F0">
      <w:start w:val="1"/>
      <w:numFmt w:val="decimal"/>
      <w:lvlText w:val="%1."/>
      <w:lvlJc w:val="left"/>
      <w:pPr>
        <w:ind w:left="720" w:hanging="360"/>
      </w:pPr>
      <w:rPr>
        <w:rFonts w:eastAsia="Arial Unicode M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5E05C8C"/>
    <w:multiLevelType w:val="hybridMultilevel"/>
    <w:tmpl w:val="91D4F5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3520A4"/>
    <w:multiLevelType w:val="hybridMultilevel"/>
    <w:tmpl w:val="D6DC67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99"/>
    <w:rsid w:val="000010A4"/>
    <w:rsid w:val="00005B96"/>
    <w:rsid w:val="000159CC"/>
    <w:rsid w:val="00015C22"/>
    <w:rsid w:val="000167E0"/>
    <w:rsid w:val="000235E9"/>
    <w:rsid w:val="00027978"/>
    <w:rsid w:val="0004480C"/>
    <w:rsid w:val="00056D9F"/>
    <w:rsid w:val="00063183"/>
    <w:rsid w:val="0006548C"/>
    <w:rsid w:val="00071A25"/>
    <w:rsid w:val="00083D69"/>
    <w:rsid w:val="00083F50"/>
    <w:rsid w:val="000A5666"/>
    <w:rsid w:val="000A5CAA"/>
    <w:rsid w:val="000B19A0"/>
    <w:rsid w:val="000F6340"/>
    <w:rsid w:val="001320DF"/>
    <w:rsid w:val="0013399F"/>
    <w:rsid w:val="00136E12"/>
    <w:rsid w:val="001377EF"/>
    <w:rsid w:val="001529FE"/>
    <w:rsid w:val="001703D8"/>
    <w:rsid w:val="00170E39"/>
    <w:rsid w:val="00174DA5"/>
    <w:rsid w:val="00181908"/>
    <w:rsid w:val="00181DCE"/>
    <w:rsid w:val="001A008A"/>
    <w:rsid w:val="001A3395"/>
    <w:rsid w:val="001B1E59"/>
    <w:rsid w:val="001B58A3"/>
    <w:rsid w:val="001D0EED"/>
    <w:rsid w:val="001D59D9"/>
    <w:rsid w:val="00201C0D"/>
    <w:rsid w:val="00204407"/>
    <w:rsid w:val="0020749F"/>
    <w:rsid w:val="002130B0"/>
    <w:rsid w:val="0021627D"/>
    <w:rsid w:val="00225288"/>
    <w:rsid w:val="00227D02"/>
    <w:rsid w:val="002331C3"/>
    <w:rsid w:val="00241719"/>
    <w:rsid w:val="00243F6B"/>
    <w:rsid w:val="00272F4F"/>
    <w:rsid w:val="00274985"/>
    <w:rsid w:val="00277667"/>
    <w:rsid w:val="002A7E2E"/>
    <w:rsid w:val="002B6842"/>
    <w:rsid w:val="002B726E"/>
    <w:rsid w:val="002C2A0F"/>
    <w:rsid w:val="002E17F9"/>
    <w:rsid w:val="002F09CA"/>
    <w:rsid w:val="002F35F0"/>
    <w:rsid w:val="00301321"/>
    <w:rsid w:val="0032132E"/>
    <w:rsid w:val="00340E4B"/>
    <w:rsid w:val="00345F7F"/>
    <w:rsid w:val="00347D7E"/>
    <w:rsid w:val="00357D70"/>
    <w:rsid w:val="00362449"/>
    <w:rsid w:val="00364E0F"/>
    <w:rsid w:val="00391F72"/>
    <w:rsid w:val="003B798E"/>
    <w:rsid w:val="003D09A9"/>
    <w:rsid w:val="003D4684"/>
    <w:rsid w:val="003D4687"/>
    <w:rsid w:val="003E450C"/>
    <w:rsid w:val="003F1B5F"/>
    <w:rsid w:val="00403814"/>
    <w:rsid w:val="00417E23"/>
    <w:rsid w:val="00425F75"/>
    <w:rsid w:val="00440BC2"/>
    <w:rsid w:val="00444232"/>
    <w:rsid w:val="00465FB9"/>
    <w:rsid w:val="00466302"/>
    <w:rsid w:val="0047370C"/>
    <w:rsid w:val="0047522D"/>
    <w:rsid w:val="004A3E25"/>
    <w:rsid w:val="004B51ED"/>
    <w:rsid w:val="004C51EC"/>
    <w:rsid w:val="004F549E"/>
    <w:rsid w:val="005201E9"/>
    <w:rsid w:val="00521B4C"/>
    <w:rsid w:val="005265A5"/>
    <w:rsid w:val="005316B2"/>
    <w:rsid w:val="00531BEE"/>
    <w:rsid w:val="005323A2"/>
    <w:rsid w:val="0053470F"/>
    <w:rsid w:val="00537DBF"/>
    <w:rsid w:val="00540F01"/>
    <w:rsid w:val="00544BFC"/>
    <w:rsid w:val="00547EE5"/>
    <w:rsid w:val="00567DEC"/>
    <w:rsid w:val="0057035B"/>
    <w:rsid w:val="0058358B"/>
    <w:rsid w:val="005948EF"/>
    <w:rsid w:val="00597430"/>
    <w:rsid w:val="005A782D"/>
    <w:rsid w:val="005B2924"/>
    <w:rsid w:val="005E0EC2"/>
    <w:rsid w:val="005E2CBE"/>
    <w:rsid w:val="005F4C97"/>
    <w:rsid w:val="00605902"/>
    <w:rsid w:val="00606105"/>
    <w:rsid w:val="00622ABC"/>
    <w:rsid w:val="00623204"/>
    <w:rsid w:val="006442E0"/>
    <w:rsid w:val="00652672"/>
    <w:rsid w:val="0065594D"/>
    <w:rsid w:val="00657AD2"/>
    <w:rsid w:val="00686BB2"/>
    <w:rsid w:val="006878E1"/>
    <w:rsid w:val="0069304A"/>
    <w:rsid w:val="006B5CAE"/>
    <w:rsid w:val="006C29A7"/>
    <w:rsid w:val="006C6261"/>
    <w:rsid w:val="006D2BA9"/>
    <w:rsid w:val="006D397E"/>
    <w:rsid w:val="006F36EF"/>
    <w:rsid w:val="006F4986"/>
    <w:rsid w:val="006F5817"/>
    <w:rsid w:val="0070030F"/>
    <w:rsid w:val="00701598"/>
    <w:rsid w:val="00701893"/>
    <w:rsid w:val="00703430"/>
    <w:rsid w:val="00706EB2"/>
    <w:rsid w:val="00707C99"/>
    <w:rsid w:val="0072050F"/>
    <w:rsid w:val="0072240A"/>
    <w:rsid w:val="007261FD"/>
    <w:rsid w:val="007300C4"/>
    <w:rsid w:val="007708AB"/>
    <w:rsid w:val="00784355"/>
    <w:rsid w:val="007906AF"/>
    <w:rsid w:val="00794424"/>
    <w:rsid w:val="007950DD"/>
    <w:rsid w:val="007965C0"/>
    <w:rsid w:val="007A09BB"/>
    <w:rsid w:val="007A4108"/>
    <w:rsid w:val="007B1018"/>
    <w:rsid w:val="007C14D0"/>
    <w:rsid w:val="007C213D"/>
    <w:rsid w:val="007D13E3"/>
    <w:rsid w:val="007D39D3"/>
    <w:rsid w:val="007D5BB1"/>
    <w:rsid w:val="007D7213"/>
    <w:rsid w:val="007E5917"/>
    <w:rsid w:val="008010D0"/>
    <w:rsid w:val="008020A1"/>
    <w:rsid w:val="00816B3F"/>
    <w:rsid w:val="00836831"/>
    <w:rsid w:val="00837DDE"/>
    <w:rsid w:val="008523F5"/>
    <w:rsid w:val="00857988"/>
    <w:rsid w:val="00883121"/>
    <w:rsid w:val="00884426"/>
    <w:rsid w:val="00886D60"/>
    <w:rsid w:val="008916FF"/>
    <w:rsid w:val="00891DB3"/>
    <w:rsid w:val="00895A85"/>
    <w:rsid w:val="008A1D12"/>
    <w:rsid w:val="008A3A47"/>
    <w:rsid w:val="008D6DDF"/>
    <w:rsid w:val="008F1161"/>
    <w:rsid w:val="008F479E"/>
    <w:rsid w:val="009011F1"/>
    <w:rsid w:val="0091528B"/>
    <w:rsid w:val="009157B1"/>
    <w:rsid w:val="00917CAF"/>
    <w:rsid w:val="009272D7"/>
    <w:rsid w:val="00943343"/>
    <w:rsid w:val="00951B99"/>
    <w:rsid w:val="00964237"/>
    <w:rsid w:val="0097301B"/>
    <w:rsid w:val="00974D2D"/>
    <w:rsid w:val="00997863"/>
    <w:rsid w:val="009A5B27"/>
    <w:rsid w:val="009A6404"/>
    <w:rsid w:val="009A701F"/>
    <w:rsid w:val="009B29C9"/>
    <w:rsid w:val="009C1066"/>
    <w:rsid w:val="009C1372"/>
    <w:rsid w:val="009C5373"/>
    <w:rsid w:val="009C6404"/>
    <w:rsid w:val="009E5F11"/>
    <w:rsid w:val="009E7994"/>
    <w:rsid w:val="009F2EEB"/>
    <w:rsid w:val="00A02270"/>
    <w:rsid w:val="00A16942"/>
    <w:rsid w:val="00A17A72"/>
    <w:rsid w:val="00A25F51"/>
    <w:rsid w:val="00A3714C"/>
    <w:rsid w:val="00A427D6"/>
    <w:rsid w:val="00A46E96"/>
    <w:rsid w:val="00A62BEC"/>
    <w:rsid w:val="00A658C1"/>
    <w:rsid w:val="00A734AD"/>
    <w:rsid w:val="00A837A0"/>
    <w:rsid w:val="00A90926"/>
    <w:rsid w:val="00A97287"/>
    <w:rsid w:val="00AA2DED"/>
    <w:rsid w:val="00AB1C66"/>
    <w:rsid w:val="00AD119D"/>
    <w:rsid w:val="00AD1FEC"/>
    <w:rsid w:val="00AD2DF1"/>
    <w:rsid w:val="00B00552"/>
    <w:rsid w:val="00B02BEE"/>
    <w:rsid w:val="00B11C1C"/>
    <w:rsid w:val="00B17BD8"/>
    <w:rsid w:val="00B30B53"/>
    <w:rsid w:val="00B32325"/>
    <w:rsid w:val="00B45C2D"/>
    <w:rsid w:val="00B56649"/>
    <w:rsid w:val="00B625F2"/>
    <w:rsid w:val="00B710D8"/>
    <w:rsid w:val="00B779BD"/>
    <w:rsid w:val="00B8021E"/>
    <w:rsid w:val="00B8028F"/>
    <w:rsid w:val="00B833BE"/>
    <w:rsid w:val="00B956C4"/>
    <w:rsid w:val="00BB2BE0"/>
    <w:rsid w:val="00BC29D0"/>
    <w:rsid w:val="00BD797F"/>
    <w:rsid w:val="00BE7C72"/>
    <w:rsid w:val="00BF1421"/>
    <w:rsid w:val="00BF414E"/>
    <w:rsid w:val="00BF78BF"/>
    <w:rsid w:val="00C00BBF"/>
    <w:rsid w:val="00C05445"/>
    <w:rsid w:val="00C12CBD"/>
    <w:rsid w:val="00C25B78"/>
    <w:rsid w:val="00C33FEF"/>
    <w:rsid w:val="00C41F24"/>
    <w:rsid w:val="00C47619"/>
    <w:rsid w:val="00C52848"/>
    <w:rsid w:val="00C72528"/>
    <w:rsid w:val="00C748FF"/>
    <w:rsid w:val="00C74DA7"/>
    <w:rsid w:val="00C767DA"/>
    <w:rsid w:val="00C805FB"/>
    <w:rsid w:val="00C8675B"/>
    <w:rsid w:val="00C86CD7"/>
    <w:rsid w:val="00C9376B"/>
    <w:rsid w:val="00C9581A"/>
    <w:rsid w:val="00CB44BB"/>
    <w:rsid w:val="00CC4AEF"/>
    <w:rsid w:val="00CD4BE8"/>
    <w:rsid w:val="00CF55D6"/>
    <w:rsid w:val="00CF78D3"/>
    <w:rsid w:val="00D12CFF"/>
    <w:rsid w:val="00D156AF"/>
    <w:rsid w:val="00D16367"/>
    <w:rsid w:val="00D22DC3"/>
    <w:rsid w:val="00D27042"/>
    <w:rsid w:val="00D57228"/>
    <w:rsid w:val="00D64034"/>
    <w:rsid w:val="00D73109"/>
    <w:rsid w:val="00D76C43"/>
    <w:rsid w:val="00D810EC"/>
    <w:rsid w:val="00DA4030"/>
    <w:rsid w:val="00DB15FD"/>
    <w:rsid w:val="00DB58EC"/>
    <w:rsid w:val="00DC399B"/>
    <w:rsid w:val="00E1216B"/>
    <w:rsid w:val="00E16C63"/>
    <w:rsid w:val="00E25D54"/>
    <w:rsid w:val="00E3020A"/>
    <w:rsid w:val="00E30E76"/>
    <w:rsid w:val="00E341F5"/>
    <w:rsid w:val="00E43D94"/>
    <w:rsid w:val="00E531B9"/>
    <w:rsid w:val="00E53BC5"/>
    <w:rsid w:val="00E57869"/>
    <w:rsid w:val="00E64057"/>
    <w:rsid w:val="00E6771C"/>
    <w:rsid w:val="00E70381"/>
    <w:rsid w:val="00E70F8F"/>
    <w:rsid w:val="00E73DEF"/>
    <w:rsid w:val="00E80D65"/>
    <w:rsid w:val="00EA4C4B"/>
    <w:rsid w:val="00EC19C1"/>
    <w:rsid w:val="00EC7271"/>
    <w:rsid w:val="00ED38AF"/>
    <w:rsid w:val="00EE1C4A"/>
    <w:rsid w:val="00EE6D21"/>
    <w:rsid w:val="00F01B55"/>
    <w:rsid w:val="00F06498"/>
    <w:rsid w:val="00F11E0A"/>
    <w:rsid w:val="00F14F22"/>
    <w:rsid w:val="00F16CF9"/>
    <w:rsid w:val="00F20B09"/>
    <w:rsid w:val="00F3335E"/>
    <w:rsid w:val="00F349E0"/>
    <w:rsid w:val="00F52E75"/>
    <w:rsid w:val="00F63F49"/>
    <w:rsid w:val="00F65837"/>
    <w:rsid w:val="00F81150"/>
    <w:rsid w:val="00F833B7"/>
    <w:rsid w:val="00F83A22"/>
    <w:rsid w:val="00F84CF9"/>
    <w:rsid w:val="00F87E38"/>
    <w:rsid w:val="00F97EA2"/>
    <w:rsid w:val="00FB4B0C"/>
    <w:rsid w:val="00FC0D10"/>
    <w:rsid w:val="00FC1934"/>
    <w:rsid w:val="00FE43A9"/>
    <w:rsid w:val="00FF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CB09"/>
  <w15:docId w15:val="{C5A45202-D180-4E9E-8F68-9A85AD56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7A72"/>
    <w:pPr>
      <w:ind w:left="720"/>
      <w:contextualSpacing/>
    </w:pPr>
  </w:style>
  <w:style w:type="paragraph" w:styleId="Textoindependiente">
    <w:name w:val="Body Text"/>
    <w:basedOn w:val="Normal"/>
    <w:link w:val="TextoindependienteCar"/>
    <w:rsid w:val="00BD797F"/>
    <w:pPr>
      <w:suppressAutoHyphens/>
      <w:spacing w:after="0" w:line="240" w:lineRule="auto"/>
      <w:jc w:val="both"/>
    </w:pPr>
    <w:rPr>
      <w:rFonts w:ascii="Times New Roman" w:eastAsia="Times New Roman" w:hAnsi="Times New Roman" w:cs="Times New Roman"/>
      <w:bCs/>
      <w:sz w:val="24"/>
      <w:szCs w:val="24"/>
      <w:lang w:val="es-MX" w:eastAsia="ar-SA"/>
    </w:rPr>
  </w:style>
  <w:style w:type="character" w:customStyle="1" w:styleId="TextoindependienteCar">
    <w:name w:val="Texto independiente Car"/>
    <w:basedOn w:val="Fuentedeprrafopredeter"/>
    <w:link w:val="Textoindependiente"/>
    <w:rsid w:val="00BD797F"/>
    <w:rPr>
      <w:rFonts w:ascii="Times New Roman" w:eastAsia="Times New Roman" w:hAnsi="Times New Roman" w:cs="Times New Roman"/>
      <w:bCs/>
      <w:sz w:val="24"/>
      <w:szCs w:val="24"/>
      <w:lang w:val="es-MX" w:eastAsia="ar-SA"/>
    </w:rPr>
  </w:style>
  <w:style w:type="character" w:styleId="Hipervnculo">
    <w:name w:val="Hyperlink"/>
    <w:basedOn w:val="Fuentedeprrafopredeter"/>
    <w:uiPriority w:val="99"/>
    <w:unhideWhenUsed/>
    <w:rsid w:val="00201C0D"/>
    <w:rPr>
      <w:color w:val="0563C1" w:themeColor="hyperlink"/>
      <w:u w:val="single"/>
    </w:rPr>
  </w:style>
  <w:style w:type="character" w:customStyle="1" w:styleId="Mencionar1">
    <w:name w:val="Mencionar1"/>
    <w:basedOn w:val="Fuentedeprrafopredeter"/>
    <w:uiPriority w:val="99"/>
    <w:semiHidden/>
    <w:unhideWhenUsed/>
    <w:rsid w:val="00201C0D"/>
    <w:rPr>
      <w:color w:val="2B579A"/>
      <w:shd w:val="clear" w:color="auto" w:fill="E6E6E6"/>
    </w:rPr>
  </w:style>
  <w:style w:type="character" w:styleId="Hipervnculovisitado">
    <w:name w:val="FollowedHyperlink"/>
    <w:basedOn w:val="Fuentedeprrafopredeter"/>
    <w:uiPriority w:val="99"/>
    <w:semiHidden/>
    <w:unhideWhenUsed/>
    <w:rsid w:val="00201C0D"/>
    <w:rPr>
      <w:color w:val="954F72" w:themeColor="followedHyperlink"/>
      <w:u w:val="single"/>
    </w:rPr>
  </w:style>
  <w:style w:type="character" w:customStyle="1" w:styleId="Mencinsinresolver1">
    <w:name w:val="Mención sin resolver1"/>
    <w:basedOn w:val="Fuentedeprrafopredeter"/>
    <w:uiPriority w:val="99"/>
    <w:semiHidden/>
    <w:unhideWhenUsed/>
    <w:rsid w:val="00B45C2D"/>
    <w:rPr>
      <w:color w:val="808080"/>
      <w:shd w:val="clear" w:color="auto" w:fill="E6E6E6"/>
    </w:rPr>
  </w:style>
  <w:style w:type="paragraph" w:styleId="Sangradetextonormal">
    <w:name w:val="Body Text Indent"/>
    <w:basedOn w:val="Normal"/>
    <w:link w:val="SangradetextonormalCar"/>
    <w:uiPriority w:val="99"/>
    <w:unhideWhenUsed/>
    <w:rsid w:val="00D22DC3"/>
    <w:pPr>
      <w:spacing w:after="120" w:line="276" w:lineRule="auto"/>
      <w:ind w:left="283"/>
    </w:pPr>
    <w:rPr>
      <w:rFonts w:ascii="Calibri" w:eastAsia="Calibri" w:hAnsi="Calibri" w:cs="Times New Roman"/>
      <w:lang w:val="es-PE"/>
    </w:rPr>
  </w:style>
  <w:style w:type="character" w:customStyle="1" w:styleId="SangradetextonormalCar">
    <w:name w:val="Sangría de texto normal Car"/>
    <w:basedOn w:val="Fuentedeprrafopredeter"/>
    <w:link w:val="Sangradetextonormal"/>
    <w:uiPriority w:val="99"/>
    <w:rsid w:val="00D22DC3"/>
    <w:rPr>
      <w:rFonts w:ascii="Calibri" w:eastAsia="Calibri" w:hAnsi="Calibri" w:cs="Times New Roman"/>
      <w:lang w:val="es-PE"/>
    </w:rPr>
  </w:style>
  <w:style w:type="paragraph" w:styleId="Encabezado">
    <w:name w:val="header"/>
    <w:basedOn w:val="Normal"/>
    <w:link w:val="EncabezadoCar"/>
    <w:uiPriority w:val="99"/>
    <w:unhideWhenUsed/>
    <w:rsid w:val="007843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4355"/>
  </w:style>
  <w:style w:type="paragraph" w:styleId="Piedepgina">
    <w:name w:val="footer"/>
    <w:basedOn w:val="Normal"/>
    <w:link w:val="PiedepginaCar"/>
    <w:uiPriority w:val="99"/>
    <w:unhideWhenUsed/>
    <w:rsid w:val="007843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4355"/>
  </w:style>
  <w:style w:type="paragraph" w:styleId="Textodeglobo">
    <w:name w:val="Balloon Text"/>
    <w:basedOn w:val="Normal"/>
    <w:link w:val="TextodegloboCar"/>
    <w:uiPriority w:val="99"/>
    <w:semiHidden/>
    <w:unhideWhenUsed/>
    <w:rsid w:val="001339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399F"/>
    <w:rPr>
      <w:rFonts w:ascii="Segoe UI" w:hAnsi="Segoe UI" w:cs="Segoe UI"/>
      <w:sz w:val="18"/>
      <w:szCs w:val="18"/>
    </w:rPr>
  </w:style>
  <w:style w:type="character" w:customStyle="1" w:styleId="normaltextrun">
    <w:name w:val="normaltextrun"/>
    <w:basedOn w:val="Fuentedeprrafopredeter"/>
    <w:rsid w:val="006F5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1236</Words>
  <Characters>6799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vaio</dc:creator>
  <cp:lastModifiedBy>Aló Seguros</cp:lastModifiedBy>
  <cp:revision>6</cp:revision>
  <cp:lastPrinted>2020-02-03T19:16:00Z</cp:lastPrinted>
  <dcterms:created xsi:type="dcterms:W3CDTF">2020-02-03T19:15:00Z</dcterms:created>
  <dcterms:modified xsi:type="dcterms:W3CDTF">2021-02-21T19:24:00Z</dcterms:modified>
</cp:coreProperties>
</file>