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EE30" w14:textId="77777777" w:rsidR="00E64F28" w:rsidRPr="00EF3F2F" w:rsidRDefault="00E64F28" w:rsidP="00122E03">
      <w:pPr>
        <w:pStyle w:val="Puesto"/>
        <w:outlineLvl w:val="0"/>
      </w:pPr>
      <w:r w:rsidRPr="00EF3F2F">
        <w:t xml:space="preserve">RESOLUCIÓN DE RECURSO DE </w:t>
      </w:r>
      <w:r w:rsidR="00F05CB6" w:rsidRPr="00EF3F2F">
        <w:t>IMPUGNACIÓN</w:t>
      </w:r>
      <w:r w:rsidRPr="00EF3F2F">
        <w:t xml:space="preserve"> N</w:t>
      </w:r>
      <w:r w:rsidR="00122E03" w:rsidRPr="00EF3F2F">
        <w:t>° 006/20</w:t>
      </w:r>
    </w:p>
    <w:p w14:paraId="20F780D4" w14:textId="77777777" w:rsidR="00E64F28" w:rsidRPr="00EF3F2F" w:rsidRDefault="00E64F28" w:rsidP="00122E03">
      <w:pPr>
        <w:rPr>
          <w:b/>
          <w:bCs/>
          <w:lang w:val="es-MX"/>
        </w:rPr>
      </w:pPr>
    </w:p>
    <w:p w14:paraId="5216133D" w14:textId="77777777" w:rsidR="00E64F28" w:rsidRPr="00EF3F2F" w:rsidRDefault="00E64F28" w:rsidP="00122E03">
      <w:pPr>
        <w:rPr>
          <w:b/>
          <w:bCs/>
          <w:lang w:val="es-MX"/>
        </w:rPr>
      </w:pPr>
    </w:p>
    <w:p w14:paraId="33ECFD47" w14:textId="77777777" w:rsidR="00E64F28" w:rsidRPr="00EF3F2F" w:rsidRDefault="00F05CB6" w:rsidP="00122E03">
      <w:pPr>
        <w:jc w:val="both"/>
        <w:outlineLvl w:val="0"/>
        <w:rPr>
          <w:b/>
          <w:bCs/>
          <w:lang w:val="es-MX"/>
        </w:rPr>
      </w:pPr>
      <w:r w:rsidRPr="00EF3F2F">
        <w:rPr>
          <w:b/>
          <w:bCs/>
          <w:lang w:val="es-MX"/>
        </w:rPr>
        <w:t>VISTOS:</w:t>
      </w:r>
    </w:p>
    <w:p w14:paraId="25BD58C6" w14:textId="77777777" w:rsidR="00E64F28" w:rsidRPr="00EF3F2F" w:rsidRDefault="00E64F28" w:rsidP="00122E03">
      <w:pPr>
        <w:jc w:val="both"/>
        <w:rPr>
          <w:b/>
          <w:bCs/>
          <w:lang w:val="es-MX"/>
        </w:rPr>
      </w:pPr>
    </w:p>
    <w:p w14:paraId="6C035E72" w14:textId="77777777" w:rsidR="00F60108" w:rsidRPr="00EF3F2F" w:rsidRDefault="00E64F28" w:rsidP="00122E03">
      <w:pPr>
        <w:jc w:val="both"/>
      </w:pPr>
      <w:r w:rsidRPr="00EF3F2F">
        <w:t>El recurso de</w:t>
      </w:r>
      <w:r w:rsidR="00191416" w:rsidRPr="00EF3F2F">
        <w:t xml:space="preserve"> </w:t>
      </w:r>
      <w:r w:rsidR="00F05CB6" w:rsidRPr="00EF3F2F">
        <w:t>impugnación</w:t>
      </w:r>
      <w:r w:rsidR="00191416" w:rsidRPr="00EF3F2F">
        <w:t xml:space="preserve"> presentado</w:t>
      </w:r>
      <w:r w:rsidR="00A921BD" w:rsidRPr="00EF3F2F">
        <w:t xml:space="preserve"> </w:t>
      </w:r>
      <w:r w:rsidRPr="00EF3F2F">
        <w:t>por</w:t>
      </w:r>
      <w:r w:rsidR="009366A4" w:rsidRPr="00EF3F2F">
        <w:t xml:space="preserve"> </w:t>
      </w:r>
      <w:r w:rsidR="00F8170A">
        <w:t xml:space="preserve">.................. </w:t>
      </w:r>
      <w:r w:rsidR="00C76449" w:rsidRPr="00EF3F2F">
        <w:rPr>
          <w:b/>
          <w:bCs/>
          <w:lang w:val="es-MX"/>
        </w:rPr>
        <w:t xml:space="preserve"> </w:t>
      </w:r>
      <w:r w:rsidRPr="00EF3F2F">
        <w:t>re</w:t>
      </w:r>
      <w:r w:rsidR="000149BA" w:rsidRPr="00EF3F2F">
        <w:t>specto de la Resolución Nro.</w:t>
      </w:r>
      <w:r w:rsidR="00C56C62" w:rsidRPr="00EF3F2F">
        <w:t xml:space="preserve"> </w:t>
      </w:r>
      <w:r w:rsidR="00FB7059" w:rsidRPr="00EF3F2F">
        <w:t>113</w:t>
      </w:r>
      <w:r w:rsidR="00A01D42" w:rsidRPr="00EF3F2F">
        <w:t>/</w:t>
      </w:r>
      <w:r w:rsidR="00970C13" w:rsidRPr="00EF3F2F">
        <w:t>20</w:t>
      </w:r>
      <w:r w:rsidR="00A01D42" w:rsidRPr="00EF3F2F">
        <w:t>1</w:t>
      </w:r>
      <w:r w:rsidR="00183F2E" w:rsidRPr="00EF3F2F">
        <w:t>9</w:t>
      </w:r>
      <w:r w:rsidR="00EC5F7C" w:rsidRPr="00EF3F2F">
        <w:t>,</w:t>
      </w:r>
      <w:r w:rsidR="000F1FEA" w:rsidRPr="00EF3F2F">
        <w:t xml:space="preserve"> </w:t>
      </w:r>
      <w:r w:rsidR="000E19F5" w:rsidRPr="00EF3F2F">
        <w:t>expedida por esta Defensoría del Asegurado y</w:t>
      </w:r>
      <w:r w:rsidR="00BF5EDD" w:rsidRPr="00EF3F2F">
        <w:t>,</w:t>
      </w:r>
      <w:r w:rsidRPr="00EF3F2F">
        <w:t xml:space="preserve"> conforme a l</w:t>
      </w:r>
      <w:r w:rsidR="00A667CA" w:rsidRPr="00EF3F2F">
        <w:t>a cual se declaró</w:t>
      </w:r>
      <w:r w:rsidR="00D92993" w:rsidRPr="00EF3F2F">
        <w:t xml:space="preserve"> </w:t>
      </w:r>
      <w:r w:rsidR="00DD5BC9" w:rsidRPr="00EF3F2F">
        <w:t>IN</w:t>
      </w:r>
      <w:r w:rsidR="00D102AA" w:rsidRPr="00EF3F2F">
        <w:t xml:space="preserve">FUNDADA </w:t>
      </w:r>
      <w:r w:rsidR="00191416" w:rsidRPr="00EF3F2F">
        <w:t>l</w:t>
      </w:r>
      <w:r w:rsidR="00D102AA" w:rsidRPr="00EF3F2F">
        <w:t>a</w:t>
      </w:r>
      <w:r w:rsidRPr="00EF3F2F">
        <w:t xml:space="preserve"> reclam</w:t>
      </w:r>
      <w:r w:rsidR="00D102AA" w:rsidRPr="00EF3F2F">
        <w:t>ación</w:t>
      </w:r>
      <w:r w:rsidR="00D2462D" w:rsidRPr="00EF3F2F">
        <w:t xml:space="preserve"> </w:t>
      </w:r>
      <w:r w:rsidR="00C56C62" w:rsidRPr="00EF3F2F">
        <w:t>interpuest</w:t>
      </w:r>
      <w:r w:rsidR="00D102AA" w:rsidRPr="00EF3F2F">
        <w:t>a</w:t>
      </w:r>
      <w:r w:rsidR="00D2462D" w:rsidRPr="00EF3F2F">
        <w:t xml:space="preserve"> </w:t>
      </w:r>
      <w:r w:rsidR="009366A4" w:rsidRPr="00EF3F2F">
        <w:t>co</w:t>
      </w:r>
      <w:r w:rsidR="00DD5BC9" w:rsidRPr="00EF3F2F">
        <w:t xml:space="preserve">ntra </w:t>
      </w:r>
      <w:r w:rsidR="00F8170A">
        <w:t>..................</w:t>
      </w:r>
      <w:r w:rsidR="00DD5BC9" w:rsidRPr="00EF3F2F">
        <w:t xml:space="preserve">, </w:t>
      </w:r>
      <w:proofErr w:type="gramStart"/>
      <w:r w:rsidR="00DD5BC9" w:rsidRPr="00EF3F2F">
        <w:t>en relación</w:t>
      </w:r>
      <w:r w:rsidR="00BD601F">
        <w:t xml:space="preserve"> </w:t>
      </w:r>
      <w:r w:rsidR="00DD5BC9" w:rsidRPr="00EF3F2F">
        <w:t>al</w:t>
      </w:r>
      <w:proofErr w:type="gramEnd"/>
      <w:r w:rsidR="00DD5BC9" w:rsidRPr="00EF3F2F">
        <w:t xml:space="preserve"> </w:t>
      </w:r>
      <w:r w:rsidR="000A0205" w:rsidRPr="00EF3F2F">
        <w:rPr>
          <w:b/>
          <w:lang w:val="es-MX"/>
        </w:rPr>
        <w:t xml:space="preserve">SEGURO </w:t>
      </w:r>
      <w:r w:rsidR="00FB7059" w:rsidRPr="00EF3F2F">
        <w:rPr>
          <w:b/>
          <w:lang w:val="es-MX"/>
        </w:rPr>
        <w:t>OCOLÓGICO NACIONAL</w:t>
      </w:r>
      <w:r w:rsidR="00183F2E" w:rsidRPr="00EF3F2F">
        <w:rPr>
          <w:b/>
          <w:lang w:val="es-MX"/>
        </w:rPr>
        <w:t xml:space="preserve"> – PÓLIZA N° </w:t>
      </w:r>
      <w:r w:rsidR="00F8170A">
        <w:t>..................</w:t>
      </w:r>
      <w:r w:rsidR="0020511C" w:rsidRPr="00EF3F2F">
        <w:t>;</w:t>
      </w:r>
    </w:p>
    <w:p w14:paraId="584B364C" w14:textId="77777777" w:rsidR="00F60108" w:rsidRPr="00EF3F2F" w:rsidRDefault="00F60108" w:rsidP="00122E03">
      <w:pPr>
        <w:jc w:val="both"/>
      </w:pPr>
    </w:p>
    <w:p w14:paraId="586ED740" w14:textId="77777777" w:rsidR="00A351C6" w:rsidRPr="00EF3F2F" w:rsidRDefault="00E64F28" w:rsidP="00122E03">
      <w:pPr>
        <w:pStyle w:val="Textoindependiente"/>
      </w:pPr>
      <w:r w:rsidRPr="00EF3F2F">
        <w:t xml:space="preserve">Que, </w:t>
      </w:r>
      <w:r w:rsidR="0090008D" w:rsidRPr="00EF3F2F">
        <w:t>el</w:t>
      </w:r>
      <w:r w:rsidRPr="00EF3F2F">
        <w:t xml:space="preserve"> </w:t>
      </w:r>
      <w:r w:rsidR="0090008D" w:rsidRPr="00EF3F2F">
        <w:t>indicado recurso se sustenta</w:t>
      </w:r>
      <w:r w:rsidR="00FE2DDD" w:rsidRPr="00EF3F2F">
        <w:t xml:space="preserve"> </w:t>
      </w:r>
      <w:r w:rsidR="005A0CBC" w:rsidRPr="00EF3F2F">
        <w:t xml:space="preserve">resumidamente en </w:t>
      </w:r>
      <w:r w:rsidR="00D102AA" w:rsidRPr="00EF3F2F">
        <w:t>lo siguiente: (1)</w:t>
      </w:r>
      <w:r w:rsidR="00FB7059" w:rsidRPr="00EF3F2F">
        <w:t xml:space="preserve"> la póliza cubre la infección o trombosis del catéter central, pero en dicha póliza no se precisa que la cobertura sea exclusivamente para la infección o trombosis del catéter venoso central, como es la explicación que da la resolución materia de impugnación; (2) lo que sí está estipulado en la póliza es el catéter central que por el contrario abarca mucho más usos que el catéter venoso central, incluidos el uso para drenar la orina; (3) el colegiado mal hace en extender la palabra catéter central, a otra que no indica la póliza; (4) no existe literatura médica donde se diga que debe entenderse que el catéter central es el catéter venoso central; (5) si en la póliza sólo se indica catéter central, es amplia la aplicación a todo tipo de catéter que es aplicado por un médico tratante de la enfermedad, y que entre otras cosas incluye el drenaje de orina; (5) la explicación e inclusión debe ser expresa y no tácita en materia médica y de seguro</w:t>
      </w:r>
      <w:r w:rsidR="009970B3" w:rsidRPr="00EF3F2F">
        <w:t>.</w:t>
      </w:r>
    </w:p>
    <w:p w14:paraId="2F44A3B1" w14:textId="77777777" w:rsidR="00F05CB6" w:rsidRPr="00EF3F2F" w:rsidRDefault="00F05CB6" w:rsidP="00122E03">
      <w:pPr>
        <w:pStyle w:val="Textoindependiente"/>
      </w:pPr>
    </w:p>
    <w:p w14:paraId="77489749" w14:textId="77777777" w:rsidR="00F05CB6" w:rsidRPr="00EF3F2F" w:rsidRDefault="00E64F28" w:rsidP="00122E03">
      <w:pPr>
        <w:pStyle w:val="Textoindependiente"/>
      </w:pPr>
      <w:r w:rsidRPr="00EF3F2F">
        <w:t xml:space="preserve">Que, </w:t>
      </w:r>
      <w:r w:rsidR="00C56C62" w:rsidRPr="00EF3F2F">
        <w:t>l</w:t>
      </w:r>
      <w:r w:rsidR="0057512F" w:rsidRPr="00EF3F2F">
        <w:t>a</w:t>
      </w:r>
      <w:r w:rsidR="0083474D" w:rsidRPr="00EF3F2F">
        <w:t xml:space="preserve"> </w:t>
      </w:r>
      <w:r w:rsidR="004F3BE3" w:rsidRPr="00EF3F2F">
        <w:t>aseguradora</w:t>
      </w:r>
      <w:r w:rsidR="008266C9" w:rsidRPr="00EF3F2F">
        <w:t xml:space="preserve"> </w:t>
      </w:r>
      <w:r w:rsidR="00841737" w:rsidRPr="00EF3F2F">
        <w:t xml:space="preserve">absolvió </w:t>
      </w:r>
      <w:r w:rsidR="004F3BE3" w:rsidRPr="00EF3F2F">
        <w:t xml:space="preserve">el traslado del </w:t>
      </w:r>
      <w:r w:rsidR="00801915" w:rsidRPr="00EF3F2F">
        <w:t xml:space="preserve">recurso </w:t>
      </w:r>
      <w:r w:rsidR="004F3BE3" w:rsidRPr="00EF3F2F">
        <w:t>impugnatorio</w:t>
      </w:r>
      <w:r w:rsidR="00804E91" w:rsidRPr="00EF3F2F">
        <w:t xml:space="preserve"> manifestando, en síntesis, lo siguiente: (1)</w:t>
      </w:r>
      <w:r w:rsidR="00082E39" w:rsidRPr="00EF3F2F">
        <w:t xml:space="preserve"> </w:t>
      </w:r>
      <w:r w:rsidR="00FB7059" w:rsidRPr="00EF3F2F">
        <w:t xml:space="preserve">ninguna de las coberturas detalladas en la póliza es de aplicación a lo reclamado por el denunciante, como es el caso de la sepsis o infección por nefrostomía que </w:t>
      </w:r>
      <w:r w:rsidR="00C11B9E" w:rsidRPr="00EF3F2F">
        <w:t>fue lo que se le diagnosticó a su esposa; (2) la resolución claramente diferencia lo que es un catéter central -que es lo que la Póliza sí cubre- y lo que es un catéter de nefrostomía – lo que está fuera de cobertura, conforme a la variada literatura médica que cita la resolución impugnada; (3) conforme a lo que obra en el expediente, la infección que presentó la asegurada y que fue objeto del tratamiento derivó de una complicación propia de un paciente por el uso de un catéter de nefrostomía; (4) la póliza contratada cubre las infecciones por un catéter central, el cual, a gran diferencia del de nefrostomía, es conceptualizado por la literatura médica como “catéter central venoso”.</w:t>
      </w:r>
    </w:p>
    <w:p w14:paraId="36E0D17E" w14:textId="77777777" w:rsidR="00664A65" w:rsidRPr="00EF3F2F" w:rsidRDefault="00664A65" w:rsidP="00122E03">
      <w:pPr>
        <w:pStyle w:val="Textoindependiente"/>
      </w:pPr>
    </w:p>
    <w:p w14:paraId="69D19FEB" w14:textId="77777777" w:rsidR="00A206E5" w:rsidRPr="00EF3F2F" w:rsidRDefault="00A206E5" w:rsidP="00122E03">
      <w:pPr>
        <w:pStyle w:val="Textoindependiente"/>
        <w:tabs>
          <w:tab w:val="left" w:pos="930"/>
        </w:tabs>
      </w:pPr>
      <w:r w:rsidRPr="00EF3F2F">
        <w:t xml:space="preserve">Que, </w:t>
      </w:r>
      <w:r w:rsidR="00F36E16" w:rsidRPr="00EF3F2F">
        <w:t xml:space="preserve">atendiendo a lo expuesto, </w:t>
      </w:r>
      <w:r w:rsidRPr="00EF3F2F">
        <w:t xml:space="preserve">esta Defensoría </w:t>
      </w:r>
      <w:r w:rsidR="004B6936" w:rsidRPr="00EF3F2F">
        <w:t>resuelve finalmente</w:t>
      </w:r>
      <w:r w:rsidRPr="00EF3F2F">
        <w:t xml:space="preserve"> lo siguiente:</w:t>
      </w:r>
    </w:p>
    <w:p w14:paraId="29F0EFB6" w14:textId="77777777" w:rsidR="00B604C0" w:rsidRPr="00EF3F2F" w:rsidRDefault="00B604C0" w:rsidP="00122E03">
      <w:pPr>
        <w:jc w:val="both"/>
        <w:rPr>
          <w:b/>
          <w:u w:val="single"/>
          <w:lang w:val="es-PE"/>
        </w:rPr>
      </w:pPr>
    </w:p>
    <w:p w14:paraId="1B28DDD4" w14:textId="77777777" w:rsidR="00E77A13" w:rsidRPr="00EF3F2F" w:rsidRDefault="00E77A13" w:rsidP="00122E03">
      <w:pPr>
        <w:jc w:val="both"/>
        <w:rPr>
          <w:lang w:val="es-PE"/>
        </w:rPr>
      </w:pPr>
      <w:r w:rsidRPr="00EF3F2F">
        <w:rPr>
          <w:b/>
          <w:u w:val="single"/>
          <w:lang w:val="es-PE"/>
        </w:rPr>
        <w:t>PRIMERO</w:t>
      </w:r>
      <w:r w:rsidRPr="00EF3F2F">
        <w:rPr>
          <w:b/>
          <w:lang w:val="es-PE"/>
        </w:rPr>
        <w:t>:</w:t>
      </w:r>
      <w:r w:rsidRPr="00EF3F2F">
        <w:rPr>
          <w:lang w:val="es-PE"/>
        </w:rPr>
        <w:t xml:space="preserve"> El artículo 10 (Procedimiento) del Reglamento de la DEFASEG </w:t>
      </w:r>
      <w:r w:rsidRPr="00EF3F2F">
        <w:rPr>
          <w:rFonts w:eastAsia="Arial Unicode MS"/>
          <w:lang w:val="es-PE"/>
        </w:rPr>
        <w:t>(http://www.defaseg.com.pe/reglamento)</w:t>
      </w:r>
      <w:r w:rsidRPr="00EF3F2F">
        <w:rPr>
          <w:lang w:val="es-PE"/>
        </w:rPr>
        <w:t xml:space="preserve"> establece que cualquiera de las partes que no se encuentre de acuerdo con la decisión adoptada por el colegiado sobre la materia reclamada, podrá impugnarla, interponiendo el correspondiente recurso de impugnación.  </w:t>
      </w:r>
    </w:p>
    <w:p w14:paraId="09D2D726" w14:textId="77777777" w:rsidR="00E77A13" w:rsidRPr="00EF3F2F" w:rsidRDefault="00E77A13" w:rsidP="00122E03">
      <w:pPr>
        <w:jc w:val="both"/>
        <w:rPr>
          <w:lang w:val="es-PE"/>
        </w:rPr>
      </w:pPr>
    </w:p>
    <w:p w14:paraId="78948B11" w14:textId="77777777" w:rsidR="00E77A13" w:rsidRPr="00EF3F2F" w:rsidRDefault="00E77A13" w:rsidP="00122E03">
      <w:pPr>
        <w:jc w:val="both"/>
        <w:rPr>
          <w:bCs/>
        </w:rPr>
      </w:pPr>
      <w:r w:rsidRPr="00EF3F2F">
        <w:rPr>
          <w:lang w:val="es-PE"/>
        </w:rPr>
        <w:t xml:space="preserve">Conforme a ello, en el caso concreto, el reclamante </w:t>
      </w:r>
      <w:r w:rsidRPr="00EF3F2F">
        <w:rPr>
          <w:bCs/>
        </w:rPr>
        <w:t xml:space="preserve">sustenta su impugnación en </w:t>
      </w:r>
      <w:r w:rsidR="00D55541" w:rsidRPr="00EF3F2F">
        <w:rPr>
          <w:bCs/>
        </w:rPr>
        <w:t>insistir en</w:t>
      </w:r>
      <w:r w:rsidR="00C11B9E" w:rsidRPr="00EF3F2F">
        <w:rPr>
          <w:bCs/>
        </w:rPr>
        <w:t xml:space="preserve"> su interpretación que la póliza cubre la infección o trombosis derivadas del uso de un catéter de nefrostomía</w:t>
      </w:r>
      <w:r w:rsidRPr="00EF3F2F">
        <w:rPr>
          <w:bCs/>
        </w:rPr>
        <w:t>.</w:t>
      </w:r>
    </w:p>
    <w:p w14:paraId="75A80934" w14:textId="77777777" w:rsidR="00E77A13" w:rsidRPr="00EF3F2F" w:rsidRDefault="00E77A13" w:rsidP="00122E03">
      <w:pPr>
        <w:jc w:val="both"/>
        <w:rPr>
          <w:bCs/>
        </w:rPr>
      </w:pPr>
    </w:p>
    <w:p w14:paraId="4A75FDCF" w14:textId="77777777" w:rsidR="00D55541" w:rsidRPr="00EF3F2F" w:rsidRDefault="00E77A13" w:rsidP="00122E03">
      <w:pPr>
        <w:pStyle w:val="Textoindependiente"/>
      </w:pPr>
      <w:r w:rsidRPr="00EF3F2F">
        <w:rPr>
          <w:bCs w:val="0"/>
        </w:rPr>
        <w:t>En efecto, el recurrente sostiene que</w:t>
      </w:r>
      <w:r w:rsidR="00D55541" w:rsidRPr="00EF3F2F">
        <w:rPr>
          <w:bCs w:val="0"/>
        </w:rPr>
        <w:t xml:space="preserve"> </w:t>
      </w:r>
      <w:r w:rsidR="00C11B9E" w:rsidRPr="00EF3F2F">
        <w:rPr>
          <w:bCs w:val="0"/>
        </w:rPr>
        <w:t>la categoría de “catéter central” incluye como especie al catéter de nefrostomía</w:t>
      </w:r>
      <w:r w:rsidR="00D55541" w:rsidRPr="00EF3F2F">
        <w:t>.</w:t>
      </w:r>
    </w:p>
    <w:p w14:paraId="2B96DA06" w14:textId="77777777" w:rsidR="00E77A13" w:rsidRPr="00EF3F2F" w:rsidRDefault="00E77A13" w:rsidP="00122E03">
      <w:pPr>
        <w:pStyle w:val="Textoindependiente"/>
        <w:tabs>
          <w:tab w:val="left" w:pos="0"/>
          <w:tab w:val="left" w:pos="720"/>
        </w:tabs>
        <w:rPr>
          <w:u w:val="single"/>
          <w:lang w:val="es-PE"/>
        </w:rPr>
      </w:pPr>
    </w:p>
    <w:p w14:paraId="5536DA44" w14:textId="77777777" w:rsidR="000A6442" w:rsidRPr="00EF3F2F" w:rsidRDefault="00E77A13" w:rsidP="00122E03">
      <w:pPr>
        <w:jc w:val="both"/>
        <w:rPr>
          <w:i/>
          <w:lang w:val="es-PE"/>
        </w:rPr>
      </w:pPr>
      <w:r w:rsidRPr="00EF3F2F">
        <w:rPr>
          <w:b/>
          <w:bCs/>
          <w:u w:val="single"/>
        </w:rPr>
        <w:t>SEGUNDO</w:t>
      </w:r>
      <w:r w:rsidRPr="00EF3F2F">
        <w:rPr>
          <w:b/>
          <w:bCs/>
        </w:rPr>
        <w:t>:</w:t>
      </w:r>
      <w:r w:rsidRPr="00EF3F2F">
        <w:rPr>
          <w:bCs/>
        </w:rPr>
        <w:t xml:space="preserve"> </w:t>
      </w:r>
      <w:proofErr w:type="gramStart"/>
      <w:r w:rsidR="00D55541" w:rsidRPr="00EF3F2F">
        <w:rPr>
          <w:bCs/>
        </w:rPr>
        <w:t>Que</w:t>
      </w:r>
      <w:proofErr w:type="gramEnd"/>
      <w:r w:rsidR="00D55541" w:rsidRPr="00EF3F2F">
        <w:rPr>
          <w:bCs/>
        </w:rPr>
        <w:t xml:space="preserve"> en el </w:t>
      </w:r>
      <w:r w:rsidR="00B40B08" w:rsidRPr="00EF3F2F">
        <w:rPr>
          <w:bCs/>
        </w:rPr>
        <w:t xml:space="preserve">presente caso, </w:t>
      </w:r>
      <w:r w:rsidR="00D55541" w:rsidRPr="00EF3F2F">
        <w:rPr>
          <w:bCs/>
        </w:rPr>
        <w:t xml:space="preserve">la materia controvertida sostenida por el reclamante ya fue materia de análisis </w:t>
      </w:r>
      <w:r w:rsidR="0047322B" w:rsidRPr="00EF3F2F">
        <w:rPr>
          <w:bCs/>
        </w:rPr>
        <w:t xml:space="preserve">en la Resolución </w:t>
      </w:r>
      <w:r w:rsidR="00C11B9E" w:rsidRPr="00EF3F2F">
        <w:rPr>
          <w:bCs/>
        </w:rPr>
        <w:t>113</w:t>
      </w:r>
      <w:r w:rsidR="0047322B" w:rsidRPr="00EF3F2F">
        <w:rPr>
          <w:bCs/>
        </w:rPr>
        <w:t>/2019.</w:t>
      </w:r>
    </w:p>
    <w:p w14:paraId="3460447C" w14:textId="77777777" w:rsidR="000A6442" w:rsidRPr="00EF3F2F" w:rsidRDefault="000A6442" w:rsidP="00122E03">
      <w:pPr>
        <w:jc w:val="both"/>
        <w:rPr>
          <w:bCs/>
        </w:rPr>
      </w:pPr>
    </w:p>
    <w:p w14:paraId="6C302475" w14:textId="77777777" w:rsidR="00E77A13" w:rsidRPr="00EF3F2F" w:rsidRDefault="000A6442" w:rsidP="00122E03">
      <w:pPr>
        <w:jc w:val="both"/>
        <w:rPr>
          <w:bCs/>
        </w:rPr>
      </w:pPr>
      <w:r w:rsidRPr="00EF3F2F">
        <w:rPr>
          <w:bCs/>
        </w:rPr>
        <w:t>En ese sentido, el Colegiado aprecia que</w:t>
      </w:r>
      <w:r w:rsidR="00E77A13" w:rsidRPr="00EF3F2F">
        <w:rPr>
          <w:bCs/>
        </w:rPr>
        <w:t xml:space="preserve"> el recurso de impugnación presentado por </w:t>
      </w:r>
      <w:r w:rsidRPr="00EF3F2F">
        <w:rPr>
          <w:bCs/>
        </w:rPr>
        <w:t>el</w:t>
      </w:r>
      <w:r w:rsidR="00E77A13" w:rsidRPr="00EF3F2F">
        <w:rPr>
          <w:bCs/>
        </w:rPr>
        <w:t xml:space="preserve"> reclamante constituye, más allá de evidenciar su desacuerdo con lo decidido, un pedido de revisión general</w:t>
      </w:r>
      <w:r w:rsidRPr="00EF3F2F">
        <w:rPr>
          <w:bCs/>
        </w:rPr>
        <w:t>.</w:t>
      </w:r>
      <w:r w:rsidR="00E77A13" w:rsidRPr="00EF3F2F">
        <w:rPr>
          <w:bCs/>
        </w:rPr>
        <w:t xml:space="preserve"> </w:t>
      </w:r>
    </w:p>
    <w:p w14:paraId="0DF38D6D" w14:textId="77777777" w:rsidR="00E77A13" w:rsidRPr="00EF3F2F" w:rsidRDefault="00E77A13" w:rsidP="00122E03">
      <w:pPr>
        <w:jc w:val="both"/>
        <w:rPr>
          <w:bCs/>
        </w:rPr>
      </w:pPr>
    </w:p>
    <w:p w14:paraId="538537E2" w14:textId="77777777" w:rsidR="000A6442" w:rsidRPr="00EF3F2F" w:rsidRDefault="00E77A13" w:rsidP="00122E03">
      <w:pPr>
        <w:jc w:val="both"/>
        <w:rPr>
          <w:bCs/>
        </w:rPr>
      </w:pPr>
      <w:r w:rsidRPr="00EF3F2F">
        <w:rPr>
          <w:bCs/>
        </w:rPr>
        <w:t xml:space="preserve">De acuerdo a la resolución impugnada, la reclamación fue desestimada puesto que tal como se desarrolla en los considerandos, al evaluarse los </w:t>
      </w:r>
      <w:r w:rsidR="000A6442" w:rsidRPr="00EF3F2F">
        <w:rPr>
          <w:bCs/>
        </w:rPr>
        <w:t>términos de cobertura, se identificó que la cobertura contratada sólo asegura ante</w:t>
      </w:r>
      <w:r w:rsidR="00C10D34" w:rsidRPr="00EF3F2F">
        <w:rPr>
          <w:bCs/>
        </w:rPr>
        <w:t xml:space="preserve"> el tratamiento de una infección siempre y cuando el vehículo mediante el cual se contrae la infección sea el uso de un catéter central, por lo que no forman parte de la cobertura adicional otras infecciones que sea consecuencia del uso de otro tipo de catéter distinto al central</w:t>
      </w:r>
      <w:r w:rsidR="000A6442" w:rsidRPr="00EF3F2F">
        <w:rPr>
          <w:bCs/>
        </w:rPr>
        <w:t>:</w:t>
      </w:r>
    </w:p>
    <w:p w14:paraId="38BDB62A" w14:textId="77777777" w:rsidR="0047322B" w:rsidRPr="00EF3F2F" w:rsidRDefault="0047322B" w:rsidP="00122E03">
      <w:pPr>
        <w:jc w:val="both"/>
        <w:rPr>
          <w:bCs/>
        </w:rPr>
      </w:pPr>
    </w:p>
    <w:p w14:paraId="610233A9" w14:textId="77777777" w:rsidR="00C10D34" w:rsidRPr="00EF3F2F" w:rsidRDefault="00C10D34" w:rsidP="00122E03">
      <w:pPr>
        <w:ind w:left="708"/>
        <w:jc w:val="both"/>
        <w:rPr>
          <w:i/>
          <w:iCs/>
          <w:lang w:val="es-MX"/>
        </w:rPr>
      </w:pPr>
      <w:r w:rsidRPr="00EF3F2F">
        <w:rPr>
          <w:i/>
          <w:iCs/>
          <w:lang w:val="es-MX"/>
        </w:rPr>
        <w:t>“En la mencionada Tabla de Beneficios se incluye como “Patologías como consecuencia del tratamiento oncológico” la “infección o trombosis del catéter central”.</w:t>
      </w:r>
    </w:p>
    <w:p w14:paraId="2C84C266" w14:textId="77777777" w:rsidR="00C10D34" w:rsidRPr="00EF3F2F" w:rsidRDefault="00C10D34" w:rsidP="00122E03">
      <w:pPr>
        <w:ind w:left="708"/>
        <w:jc w:val="both"/>
        <w:rPr>
          <w:i/>
          <w:iCs/>
        </w:rPr>
      </w:pPr>
      <w:r w:rsidRPr="00EF3F2F">
        <w:rPr>
          <w:i/>
          <w:iCs/>
        </w:rPr>
        <w:t>Ahora bien, el Colegiado observa que el catéter no puede padecer una infección o trombosis, sino que lo padece el paciente de Cáncer. En tal sentido, es evidente que la descripción estipulada en la Tabla de Beneficios está referida a que el vehículo de la infección o trombosis que padece el paciente sea el catéter central. Es decir, la existencia de un catéter central colocado al paciente con Cáncer se presenta como condición o ambiente que propicia o predispone a contraer la infección, razón por la cual el Seguro Oncológico cubre ese tratamiento, en el entendido que de no haber existido esa exposición producto de llevar un catéter central el paciente no habría contraído la infección a tratar.</w:t>
      </w:r>
    </w:p>
    <w:p w14:paraId="7C227B06" w14:textId="77777777" w:rsidR="00C10D34" w:rsidRPr="00EF3F2F" w:rsidRDefault="00C10D34" w:rsidP="00122E03">
      <w:pPr>
        <w:ind w:left="708"/>
        <w:jc w:val="both"/>
        <w:rPr>
          <w:i/>
          <w:iCs/>
        </w:rPr>
      </w:pPr>
      <w:r w:rsidRPr="00EF3F2F">
        <w:rPr>
          <w:i/>
          <w:iCs/>
        </w:rPr>
        <w:t xml:space="preserve">Entonces no cabe duda </w:t>
      </w:r>
      <w:proofErr w:type="gramStart"/>
      <w:r w:rsidRPr="00EF3F2F">
        <w:rPr>
          <w:i/>
          <w:iCs/>
        </w:rPr>
        <w:t>que</w:t>
      </w:r>
      <w:proofErr w:type="gramEnd"/>
      <w:r w:rsidRPr="00EF3F2F">
        <w:rPr>
          <w:i/>
          <w:iCs/>
        </w:rPr>
        <w:t xml:space="preserve"> el tratamiento de una infección por esa patología resulta cubierto por el seguro bajo análisis, siempre y cuando el vehículo mediante el cual se contrae la infección sea el uso de un catéter central por el paciente que padece cáncer.</w:t>
      </w:r>
    </w:p>
    <w:p w14:paraId="51D68951" w14:textId="77777777" w:rsidR="00C10D34" w:rsidRPr="00EF3F2F" w:rsidRDefault="00C10D34" w:rsidP="00122E03">
      <w:pPr>
        <w:ind w:left="708"/>
        <w:jc w:val="both"/>
        <w:rPr>
          <w:i/>
          <w:iCs/>
        </w:rPr>
      </w:pPr>
      <w:r w:rsidRPr="00EF3F2F">
        <w:rPr>
          <w:i/>
          <w:iCs/>
        </w:rPr>
        <w:t>En ese sentido, no forman parte de la cobertura adicional otras infecciones que sea consecuencia del uso de otro tipo de catéter distinto al central”.</w:t>
      </w:r>
    </w:p>
    <w:p w14:paraId="2E5ED73F" w14:textId="77777777" w:rsidR="0047322B" w:rsidRPr="00EF3F2F" w:rsidRDefault="0047322B" w:rsidP="00122E03">
      <w:pPr>
        <w:jc w:val="both"/>
        <w:rPr>
          <w:bCs/>
        </w:rPr>
      </w:pPr>
    </w:p>
    <w:p w14:paraId="0774582B" w14:textId="77777777" w:rsidR="00C10D34" w:rsidRPr="00EF3F2F" w:rsidRDefault="0047322B" w:rsidP="00122E03">
      <w:pPr>
        <w:jc w:val="both"/>
        <w:rPr>
          <w:bCs/>
        </w:rPr>
      </w:pPr>
      <w:r w:rsidRPr="00EF3F2F">
        <w:rPr>
          <w:bCs/>
        </w:rPr>
        <w:t xml:space="preserve">En esos términos </w:t>
      </w:r>
      <w:r w:rsidR="00C10D34" w:rsidRPr="00EF3F2F">
        <w:rPr>
          <w:bCs/>
        </w:rPr>
        <w:t>contractuales</w:t>
      </w:r>
      <w:r w:rsidRPr="00EF3F2F">
        <w:rPr>
          <w:bCs/>
        </w:rPr>
        <w:t>, se analizó</w:t>
      </w:r>
      <w:r w:rsidR="00C10D34" w:rsidRPr="00EF3F2F">
        <w:rPr>
          <w:bCs/>
        </w:rPr>
        <w:t xml:space="preserve"> la literatura médica que lleva a concluir qué se entiende por catéter central y que es un catéter de nefrostomía:</w:t>
      </w:r>
    </w:p>
    <w:p w14:paraId="156719A7" w14:textId="77777777" w:rsidR="00C10D34" w:rsidRPr="00EF3F2F" w:rsidRDefault="00C10D34" w:rsidP="00122E03">
      <w:pPr>
        <w:jc w:val="both"/>
        <w:rPr>
          <w:bCs/>
        </w:rPr>
      </w:pPr>
    </w:p>
    <w:p w14:paraId="2F4FDFB4" w14:textId="77777777" w:rsidR="00C10D34" w:rsidRPr="00EF3F2F" w:rsidRDefault="00C10D34" w:rsidP="00122E03">
      <w:pPr>
        <w:ind w:left="708"/>
        <w:jc w:val="both"/>
        <w:rPr>
          <w:i/>
          <w:iCs/>
          <w:lang w:eastAsia="es-PE"/>
        </w:rPr>
      </w:pPr>
      <w:r w:rsidRPr="00EF3F2F">
        <w:rPr>
          <w:i/>
          <w:iCs/>
        </w:rPr>
        <w:t>“</w:t>
      </w:r>
      <w:proofErr w:type="gramStart"/>
      <w:r w:rsidRPr="00EF3F2F">
        <w:rPr>
          <w:i/>
          <w:iCs/>
        </w:rPr>
        <w:t>De acuerdo a</w:t>
      </w:r>
      <w:proofErr w:type="gramEnd"/>
      <w:r w:rsidRPr="00EF3F2F">
        <w:rPr>
          <w:i/>
          <w:iCs/>
        </w:rPr>
        <w:t xml:space="preserve"> la literatura médica consultada, el catéter central se utiliza por el siguiente motivo: “</w:t>
      </w:r>
      <w:r w:rsidRPr="00EF3F2F">
        <w:rPr>
          <w:i/>
          <w:iCs/>
          <w:lang w:eastAsia="es-PE"/>
        </w:rPr>
        <w:t>Los catéteres venosos centrales (central venous catheters, CVC) también se denominan dispositivos de acceso venoso central o líneas centrales. Se utilizan para administrar medicamentos, productos sanguíneos, nutrientes o fluidos directamente en la sangre. Estos catéteres también pueden usarse para la extracción de sangre que se utilizará para realizar pruebas. Existen muchas clases diferentes de CVC. Los dos tipos más comunes son el puerto y la línea PICC”</w:t>
      </w:r>
      <w:r w:rsidRPr="00EF3F2F">
        <w:rPr>
          <w:rStyle w:val="Refdenotaalpie"/>
          <w:i/>
          <w:iCs/>
          <w:lang w:eastAsia="es-PE"/>
        </w:rPr>
        <w:footnoteReference w:id="1"/>
      </w:r>
      <w:r w:rsidRPr="00EF3F2F">
        <w:rPr>
          <w:i/>
          <w:iCs/>
          <w:lang w:eastAsia="es-PE"/>
        </w:rPr>
        <w:t>.</w:t>
      </w:r>
    </w:p>
    <w:p w14:paraId="2645D389" w14:textId="77777777" w:rsidR="00C10D34" w:rsidRPr="00EF3F2F" w:rsidRDefault="00C10D34" w:rsidP="00122E03">
      <w:pPr>
        <w:ind w:left="708"/>
        <w:jc w:val="both"/>
        <w:rPr>
          <w:i/>
          <w:iCs/>
          <w:lang w:eastAsia="es-PE"/>
        </w:rPr>
      </w:pPr>
      <w:r w:rsidRPr="00EF3F2F">
        <w:rPr>
          <w:i/>
          <w:iCs/>
          <w:lang w:eastAsia="es-PE"/>
        </w:rPr>
        <w:t xml:space="preserve">El Catéter Central no es cualquier catéter, sino que es más grande y se necesita porque: </w:t>
      </w:r>
    </w:p>
    <w:p w14:paraId="5FD0EBC2" w14:textId="77777777" w:rsidR="00C10D34" w:rsidRPr="00EF3F2F" w:rsidRDefault="00C10D34" w:rsidP="00122E03">
      <w:pPr>
        <w:spacing w:after="450"/>
        <w:ind w:left="1416"/>
        <w:jc w:val="both"/>
        <w:rPr>
          <w:i/>
          <w:iCs/>
          <w:lang w:eastAsia="es-PE"/>
        </w:rPr>
      </w:pPr>
      <w:r w:rsidRPr="00EF3F2F">
        <w:rPr>
          <w:i/>
          <w:iCs/>
          <w:lang w:eastAsia="es-PE"/>
        </w:rPr>
        <w:lastRenderedPageBreak/>
        <w:t>“La mayoría de los medicamentos de quimioterapia (quimio) se administran directamente en la sangre. Colocar agujas y catéteres repetidamente en las pequeñas venas de los brazos o las manos puede causar deterioro y cicatrices en las venas. Esto dificulta colocar la vía intravenosa, haciendo que se puedan requerir muchos intentos hasta lograrlo.</w:t>
      </w:r>
    </w:p>
    <w:p w14:paraId="6CF16C22" w14:textId="77777777" w:rsidR="00C10D34" w:rsidRPr="00EF3F2F" w:rsidRDefault="00C10D34" w:rsidP="00122E03">
      <w:pPr>
        <w:ind w:left="1416"/>
        <w:jc w:val="both"/>
        <w:rPr>
          <w:i/>
          <w:iCs/>
          <w:lang w:eastAsia="es-PE"/>
        </w:rPr>
      </w:pPr>
      <w:r w:rsidRPr="00EF3F2F">
        <w:rPr>
          <w:i/>
          <w:iCs/>
          <w:lang w:eastAsia="es-PE"/>
        </w:rPr>
        <w:t>Algunas razones por las que podría querer o necesitar un CVC:</w:t>
      </w:r>
    </w:p>
    <w:p w14:paraId="04CE3B75" w14:textId="77777777" w:rsidR="00C10D34" w:rsidRPr="00EF3F2F" w:rsidRDefault="00C10D34" w:rsidP="00122E03">
      <w:pPr>
        <w:numPr>
          <w:ilvl w:val="0"/>
          <w:numId w:val="4"/>
        </w:numPr>
        <w:tabs>
          <w:tab w:val="clear" w:pos="720"/>
          <w:tab w:val="num" w:pos="2136"/>
        </w:tabs>
        <w:suppressAutoHyphens w:val="0"/>
        <w:spacing w:before="100" w:beforeAutospacing="1"/>
        <w:ind w:left="2136"/>
        <w:jc w:val="both"/>
        <w:rPr>
          <w:i/>
          <w:iCs/>
          <w:lang w:eastAsia="es-PE"/>
        </w:rPr>
      </w:pPr>
      <w:r w:rsidRPr="00EF3F2F">
        <w:rPr>
          <w:i/>
          <w:iCs/>
          <w:lang w:eastAsia="es-PE"/>
        </w:rPr>
        <w:t>Para recibir más de un medicamento a la vez</w:t>
      </w:r>
    </w:p>
    <w:p w14:paraId="76CBA894" w14:textId="77777777" w:rsidR="00C10D34" w:rsidRPr="00EF3F2F" w:rsidRDefault="00C10D34" w:rsidP="00122E03">
      <w:pPr>
        <w:numPr>
          <w:ilvl w:val="0"/>
          <w:numId w:val="4"/>
        </w:numPr>
        <w:tabs>
          <w:tab w:val="clear" w:pos="720"/>
          <w:tab w:val="num" w:pos="2136"/>
        </w:tabs>
        <w:suppressAutoHyphens w:val="0"/>
        <w:spacing w:before="100" w:beforeAutospacing="1"/>
        <w:ind w:left="2136"/>
        <w:jc w:val="both"/>
        <w:rPr>
          <w:i/>
          <w:iCs/>
          <w:lang w:eastAsia="es-PE"/>
        </w:rPr>
      </w:pPr>
      <w:r w:rsidRPr="00EF3F2F">
        <w:rPr>
          <w:i/>
          <w:iCs/>
          <w:lang w:eastAsia="es-PE"/>
        </w:rPr>
        <w:t>Para recibir una infusión continua de quimioterapia (durante 24 horas o más)</w:t>
      </w:r>
    </w:p>
    <w:p w14:paraId="7E0F34FE" w14:textId="77777777" w:rsidR="00C10D34" w:rsidRPr="00EF3F2F" w:rsidRDefault="00C10D34" w:rsidP="00122E03">
      <w:pPr>
        <w:numPr>
          <w:ilvl w:val="0"/>
          <w:numId w:val="4"/>
        </w:numPr>
        <w:tabs>
          <w:tab w:val="clear" w:pos="720"/>
          <w:tab w:val="num" w:pos="2136"/>
        </w:tabs>
        <w:suppressAutoHyphens w:val="0"/>
        <w:spacing w:before="100" w:beforeAutospacing="1"/>
        <w:ind w:left="2136"/>
        <w:jc w:val="both"/>
        <w:rPr>
          <w:i/>
          <w:iCs/>
          <w:lang w:eastAsia="es-PE"/>
        </w:rPr>
      </w:pPr>
      <w:r w:rsidRPr="00EF3F2F">
        <w:rPr>
          <w:i/>
          <w:iCs/>
          <w:lang w:eastAsia="es-PE"/>
        </w:rPr>
        <w:t>Para recibir nutrientes</w:t>
      </w:r>
    </w:p>
    <w:p w14:paraId="2870DE99" w14:textId="77777777" w:rsidR="00C10D34" w:rsidRPr="00EF3F2F" w:rsidRDefault="00C10D34" w:rsidP="00122E03">
      <w:pPr>
        <w:numPr>
          <w:ilvl w:val="0"/>
          <w:numId w:val="4"/>
        </w:numPr>
        <w:tabs>
          <w:tab w:val="clear" w:pos="720"/>
          <w:tab w:val="num" w:pos="2136"/>
        </w:tabs>
        <w:suppressAutoHyphens w:val="0"/>
        <w:spacing w:before="100" w:beforeAutospacing="1"/>
        <w:ind w:left="2136"/>
        <w:jc w:val="both"/>
        <w:rPr>
          <w:i/>
          <w:iCs/>
          <w:lang w:eastAsia="es-PE"/>
        </w:rPr>
      </w:pPr>
      <w:r w:rsidRPr="00EF3F2F">
        <w:rPr>
          <w:i/>
          <w:iCs/>
          <w:lang w:eastAsia="es-PE"/>
        </w:rPr>
        <w:t>Para recibir tratamientos frecuentes</w:t>
      </w:r>
    </w:p>
    <w:p w14:paraId="0D1863D5" w14:textId="77777777" w:rsidR="00C10D34" w:rsidRPr="00EF3F2F" w:rsidRDefault="00C10D34" w:rsidP="00122E03">
      <w:pPr>
        <w:numPr>
          <w:ilvl w:val="0"/>
          <w:numId w:val="4"/>
        </w:numPr>
        <w:tabs>
          <w:tab w:val="clear" w:pos="720"/>
          <w:tab w:val="num" w:pos="2136"/>
        </w:tabs>
        <w:suppressAutoHyphens w:val="0"/>
        <w:spacing w:before="100" w:beforeAutospacing="1"/>
        <w:ind w:left="2136"/>
        <w:jc w:val="both"/>
        <w:rPr>
          <w:i/>
          <w:iCs/>
          <w:lang w:eastAsia="es-PE"/>
        </w:rPr>
      </w:pPr>
      <w:r w:rsidRPr="00EF3F2F">
        <w:rPr>
          <w:i/>
          <w:iCs/>
          <w:lang w:eastAsia="es-PE"/>
        </w:rPr>
        <w:t>Para recibir tratamientos en casa</w:t>
      </w:r>
    </w:p>
    <w:p w14:paraId="7BBAAA75" w14:textId="77777777" w:rsidR="00C10D34" w:rsidRPr="00EF3F2F" w:rsidRDefault="00C10D34" w:rsidP="00122E03">
      <w:pPr>
        <w:numPr>
          <w:ilvl w:val="0"/>
          <w:numId w:val="4"/>
        </w:numPr>
        <w:tabs>
          <w:tab w:val="clear" w:pos="720"/>
          <w:tab w:val="num" w:pos="2136"/>
        </w:tabs>
        <w:suppressAutoHyphens w:val="0"/>
        <w:spacing w:before="100" w:beforeAutospacing="1"/>
        <w:ind w:left="2136"/>
        <w:jc w:val="both"/>
        <w:rPr>
          <w:i/>
          <w:iCs/>
          <w:lang w:eastAsia="es-PE"/>
        </w:rPr>
      </w:pPr>
      <w:r w:rsidRPr="00EF3F2F">
        <w:rPr>
          <w:i/>
          <w:iCs/>
          <w:lang w:eastAsia="es-PE"/>
        </w:rPr>
        <w:t>Para recibir tratamiento a largo plazo (por varios meses o incluso más tiempo)</w:t>
      </w:r>
    </w:p>
    <w:p w14:paraId="432A40AA" w14:textId="77777777" w:rsidR="00C10D34" w:rsidRPr="00EF3F2F" w:rsidRDefault="00C10D34" w:rsidP="00122E03">
      <w:pPr>
        <w:numPr>
          <w:ilvl w:val="0"/>
          <w:numId w:val="4"/>
        </w:numPr>
        <w:tabs>
          <w:tab w:val="clear" w:pos="720"/>
          <w:tab w:val="num" w:pos="2136"/>
        </w:tabs>
        <w:suppressAutoHyphens w:val="0"/>
        <w:spacing w:before="100" w:beforeAutospacing="1"/>
        <w:ind w:left="2136"/>
        <w:jc w:val="both"/>
        <w:rPr>
          <w:i/>
          <w:iCs/>
          <w:lang w:eastAsia="es-PE"/>
        </w:rPr>
      </w:pPr>
      <w:r w:rsidRPr="00EF3F2F">
        <w:rPr>
          <w:i/>
          <w:iCs/>
          <w:lang w:eastAsia="es-PE"/>
        </w:rPr>
        <w:t>Para recibir medicamentos que pueden ocasionar daños graves a la piel y al tejido muscular en caso de que hubiera alguna salida por fuera de la vena (estos medicamentos se conocen como vesicantes). Cuando se reciben a través de un CVC en lugar de una vía intravenosa de corto plazo se reduce el riesgo de que el medicamento se salga de la vena y lesione los tejidos.</w:t>
      </w:r>
    </w:p>
    <w:p w14:paraId="46FFA4D5" w14:textId="77777777" w:rsidR="00C10D34" w:rsidRPr="00EF3F2F" w:rsidRDefault="00C10D34" w:rsidP="00122E03">
      <w:pPr>
        <w:ind w:left="1417"/>
        <w:jc w:val="both"/>
        <w:rPr>
          <w:i/>
          <w:iCs/>
          <w:shd w:val="clear" w:color="auto" w:fill="FFFFFF"/>
        </w:rPr>
      </w:pPr>
    </w:p>
    <w:p w14:paraId="58634882" w14:textId="77777777" w:rsidR="00C10D34" w:rsidRPr="00EF3F2F" w:rsidRDefault="00C10D34" w:rsidP="00122E03">
      <w:pPr>
        <w:ind w:left="1417"/>
        <w:jc w:val="both"/>
        <w:rPr>
          <w:i/>
          <w:iCs/>
        </w:rPr>
      </w:pPr>
      <w:r w:rsidRPr="00EF3F2F">
        <w:rPr>
          <w:i/>
          <w:iCs/>
          <w:shd w:val="clear" w:color="auto" w:fill="FFFFFF"/>
        </w:rPr>
        <w:t xml:space="preserve">El catéter venoso central es un catéter </w:t>
      </w:r>
      <w:proofErr w:type="gramStart"/>
      <w:r w:rsidRPr="00EF3F2F">
        <w:rPr>
          <w:i/>
          <w:iCs/>
          <w:shd w:val="clear" w:color="auto" w:fill="FFFFFF"/>
        </w:rPr>
        <w:t>más grande y más largo</w:t>
      </w:r>
      <w:proofErr w:type="gramEnd"/>
      <w:r w:rsidRPr="00EF3F2F">
        <w:rPr>
          <w:i/>
          <w:iCs/>
          <w:shd w:val="clear" w:color="auto" w:fill="FFFFFF"/>
        </w:rPr>
        <w:t xml:space="preserve"> que se coloca en una vena grande en el pecho o en el antebrazo. Queda colocado durante todo el tiempo que dure el tratamiento, de tal forma que no se requiere que le inserten una aguja para cada sesión. Algunos tipos de CVC pueden permanecer colocados por semanas, meses o incluso años”</w:t>
      </w:r>
      <w:r w:rsidRPr="00EF3F2F">
        <w:rPr>
          <w:rStyle w:val="Refdenotaalpie"/>
          <w:i/>
          <w:iCs/>
          <w:shd w:val="clear" w:color="auto" w:fill="FFFFFF"/>
        </w:rPr>
        <w:footnoteReference w:id="2"/>
      </w:r>
      <w:r w:rsidRPr="00EF3F2F">
        <w:rPr>
          <w:i/>
          <w:iCs/>
          <w:shd w:val="clear" w:color="auto" w:fill="FFFFFF"/>
        </w:rPr>
        <w:t>.</w:t>
      </w:r>
    </w:p>
    <w:p w14:paraId="73E187DA" w14:textId="77777777" w:rsidR="00C10D34" w:rsidRPr="00EF3F2F" w:rsidRDefault="00C10D34" w:rsidP="00122E03">
      <w:pPr>
        <w:ind w:left="708"/>
        <w:jc w:val="both"/>
        <w:rPr>
          <w:i/>
          <w:iCs/>
        </w:rPr>
      </w:pPr>
    </w:p>
    <w:p w14:paraId="2E25B43A" w14:textId="77777777" w:rsidR="00C10D34" w:rsidRPr="00EF3F2F" w:rsidRDefault="00C10D34" w:rsidP="00122E03">
      <w:pPr>
        <w:ind w:left="708"/>
        <w:jc w:val="both"/>
        <w:rPr>
          <w:i/>
          <w:iCs/>
          <w:shd w:val="clear" w:color="auto" w:fill="FFFFFF"/>
        </w:rPr>
      </w:pPr>
      <w:r w:rsidRPr="00EF3F2F">
        <w:rPr>
          <w:i/>
          <w:iCs/>
        </w:rPr>
        <w:t>En cambio, el Catéter de Nefrostomía es “una</w:t>
      </w:r>
      <w:r w:rsidRPr="00EF3F2F">
        <w:rPr>
          <w:i/>
          <w:iCs/>
          <w:shd w:val="clear" w:color="auto" w:fill="FFFFFF"/>
        </w:rPr>
        <w:t xml:space="preserve"> pequeña sonda (</w:t>
      </w:r>
      <w:hyperlink r:id="rId8" w:history="1">
        <w:r w:rsidRPr="00EF3F2F">
          <w:rPr>
            <w:rStyle w:val="Hipervnculo"/>
            <w:i/>
            <w:iCs/>
            <w:bdr w:val="none" w:sz="0" w:space="0" w:color="auto" w:frame="1"/>
          </w:rPr>
          <w:t>catéter</w:t>
        </w:r>
      </w:hyperlink>
      <w:r w:rsidRPr="00EF3F2F">
        <w:rPr>
          <w:i/>
          <w:iCs/>
          <w:shd w:val="clear" w:color="auto" w:fill="FFFFFF"/>
        </w:rPr>
        <w:t>) flexible de caucho a través de la piel en el riñón para drenar la orina”</w:t>
      </w:r>
      <w:r w:rsidRPr="00EF3F2F">
        <w:rPr>
          <w:rStyle w:val="Refdenotaalpie"/>
          <w:i/>
          <w:iCs/>
          <w:shd w:val="clear" w:color="auto" w:fill="FFFFFF"/>
        </w:rPr>
        <w:footnoteReference w:id="3"/>
      </w:r>
      <w:r w:rsidRPr="00EF3F2F">
        <w:rPr>
          <w:i/>
          <w:iCs/>
          <w:shd w:val="clear" w:color="auto" w:fill="FFFFFF"/>
        </w:rPr>
        <w:t>.</w:t>
      </w:r>
    </w:p>
    <w:p w14:paraId="777FDCA0" w14:textId="77777777" w:rsidR="00C10D34" w:rsidRPr="00EF3F2F" w:rsidRDefault="00C10D34" w:rsidP="00122E03">
      <w:pPr>
        <w:jc w:val="both"/>
        <w:rPr>
          <w:bCs/>
        </w:rPr>
      </w:pPr>
    </w:p>
    <w:p w14:paraId="7F3FD1DE" w14:textId="77777777" w:rsidR="00C10D34" w:rsidRPr="00EF3F2F" w:rsidRDefault="00C10D34" w:rsidP="00122E03">
      <w:pPr>
        <w:jc w:val="both"/>
        <w:rPr>
          <w:bCs/>
        </w:rPr>
      </w:pPr>
      <w:r w:rsidRPr="00EF3F2F">
        <w:rPr>
          <w:bCs/>
        </w:rPr>
        <w:t>Ante la literatura médica analizada, se llegó a la conclusión que el catéter de nefrostomía no califica como catéter central:</w:t>
      </w:r>
    </w:p>
    <w:p w14:paraId="4E6339A5" w14:textId="77777777" w:rsidR="00C10D34" w:rsidRPr="00EF3F2F" w:rsidRDefault="00C10D34" w:rsidP="00122E03">
      <w:pPr>
        <w:jc w:val="both"/>
        <w:rPr>
          <w:bCs/>
        </w:rPr>
      </w:pPr>
    </w:p>
    <w:p w14:paraId="4FA73C7E" w14:textId="77777777" w:rsidR="00C10D34" w:rsidRPr="00EF3F2F" w:rsidRDefault="00C10D34" w:rsidP="00122E03">
      <w:pPr>
        <w:ind w:left="708"/>
        <w:jc w:val="both"/>
        <w:rPr>
          <w:i/>
          <w:iCs/>
          <w:shd w:val="clear" w:color="auto" w:fill="FFFFFF"/>
        </w:rPr>
      </w:pPr>
      <w:r w:rsidRPr="00EF3F2F">
        <w:rPr>
          <w:i/>
          <w:iCs/>
          <w:shd w:val="clear" w:color="auto" w:fill="FFFFFF"/>
        </w:rPr>
        <w:t>“Se puede apreciar que se trata de dos catéteres distintos que responden a necesidades y usos médicos diferentes.</w:t>
      </w:r>
    </w:p>
    <w:p w14:paraId="5DC88789" w14:textId="77777777" w:rsidR="00C10D34" w:rsidRPr="00EF3F2F" w:rsidRDefault="00C10D34" w:rsidP="00122E03">
      <w:pPr>
        <w:ind w:left="708"/>
        <w:jc w:val="both"/>
        <w:rPr>
          <w:i/>
          <w:iCs/>
        </w:rPr>
      </w:pPr>
    </w:p>
    <w:p w14:paraId="710483D5" w14:textId="77777777" w:rsidR="00C10D34" w:rsidRPr="00EF3F2F" w:rsidRDefault="00C10D34" w:rsidP="00122E03">
      <w:pPr>
        <w:ind w:left="708"/>
        <w:jc w:val="both"/>
        <w:rPr>
          <w:i/>
          <w:iCs/>
          <w:lang w:val="es-MX"/>
        </w:rPr>
      </w:pPr>
      <w:r w:rsidRPr="00EF3F2F">
        <w:rPr>
          <w:i/>
          <w:iCs/>
        </w:rPr>
        <w:t xml:space="preserve">En el presente caso, se advierte que la infección que presentó la asegurada y que fue materia del tratamiento con </w:t>
      </w:r>
      <w:r w:rsidRPr="00EF3F2F">
        <w:rPr>
          <w:i/>
          <w:iCs/>
          <w:lang w:val="es-MX"/>
        </w:rPr>
        <w:t xml:space="preserve">14 unidades de MEROPEN y 06 de PENISTATIN (antibióticos/ bactericidas) no deriva del uso del Catéter Central, sino de una complicación propia de un paciente que usa un </w:t>
      </w:r>
      <w:r w:rsidRPr="00EF3F2F">
        <w:rPr>
          <w:i/>
          <w:iCs/>
        </w:rPr>
        <w:t>Catéter de Nefrostomía</w:t>
      </w:r>
      <w:r w:rsidRPr="00EF3F2F">
        <w:rPr>
          <w:i/>
          <w:iCs/>
          <w:lang w:val="es-MX"/>
        </w:rPr>
        <w:t>.</w:t>
      </w:r>
    </w:p>
    <w:p w14:paraId="55428640" w14:textId="77777777" w:rsidR="00C10D34" w:rsidRPr="00EF3F2F" w:rsidRDefault="00C10D34" w:rsidP="00122E03">
      <w:pPr>
        <w:ind w:left="708"/>
        <w:jc w:val="both"/>
        <w:rPr>
          <w:i/>
          <w:iCs/>
          <w:lang w:val="es-MX"/>
        </w:rPr>
      </w:pPr>
    </w:p>
    <w:p w14:paraId="74253976" w14:textId="77777777" w:rsidR="00C10D34" w:rsidRPr="00EF3F2F" w:rsidRDefault="00C10D34" w:rsidP="00122E03">
      <w:pPr>
        <w:ind w:left="708"/>
        <w:jc w:val="both"/>
        <w:rPr>
          <w:i/>
          <w:iCs/>
          <w:lang w:val="es-MX"/>
        </w:rPr>
      </w:pPr>
      <w:r w:rsidRPr="00EF3F2F">
        <w:rPr>
          <w:i/>
          <w:iCs/>
          <w:lang w:val="es-MX"/>
        </w:rPr>
        <w:t xml:space="preserve">Consecuentemente, se evidencia que la infección no está asociada al uso del Catéter Central, razón por la cual para este Colegiado el tratamiento bajo reclamación no correspondió a la atención de una patología como consecuencia del tratamiento oncológico, prevista bajo cobertura al 100% en la Tabla de Beneficios”. </w:t>
      </w:r>
    </w:p>
    <w:p w14:paraId="531A5981" w14:textId="77777777" w:rsidR="00C10D34" w:rsidRPr="00EF3F2F" w:rsidRDefault="00C10D34" w:rsidP="00122E03">
      <w:pPr>
        <w:jc w:val="both"/>
        <w:rPr>
          <w:bCs/>
        </w:rPr>
      </w:pPr>
    </w:p>
    <w:p w14:paraId="34E88A99" w14:textId="77777777" w:rsidR="00C10D34" w:rsidRPr="00EF3F2F" w:rsidRDefault="00C10D34" w:rsidP="00122E03">
      <w:pPr>
        <w:jc w:val="both"/>
        <w:rPr>
          <w:bCs/>
        </w:rPr>
      </w:pPr>
      <w:r w:rsidRPr="00EF3F2F">
        <w:rPr>
          <w:bCs/>
        </w:rPr>
        <w:t>Cabe reparar que el reclamante no ha aportado evidencia médica que permita sostener su afirmación que el catéter de nefrostomía es un tipo de catéter central</w:t>
      </w:r>
      <w:r w:rsidR="00FA1E50" w:rsidRPr="00EF3F2F">
        <w:rPr>
          <w:bCs/>
        </w:rPr>
        <w:t>.</w:t>
      </w:r>
    </w:p>
    <w:p w14:paraId="5819D62A" w14:textId="77777777" w:rsidR="00C10D34" w:rsidRPr="00EF3F2F" w:rsidRDefault="00C10D34" w:rsidP="00122E03">
      <w:pPr>
        <w:jc w:val="both"/>
        <w:rPr>
          <w:bCs/>
        </w:rPr>
      </w:pPr>
    </w:p>
    <w:p w14:paraId="7239E724" w14:textId="77777777" w:rsidR="00E77A13" w:rsidRPr="00EF3F2F" w:rsidRDefault="00FA1E50" w:rsidP="00122E03">
      <w:pPr>
        <w:jc w:val="both"/>
        <w:rPr>
          <w:bCs/>
        </w:rPr>
      </w:pPr>
      <w:r w:rsidRPr="00EF3F2F">
        <w:rPr>
          <w:bCs/>
        </w:rPr>
        <w:t>En esa medida, se aprecia que</w:t>
      </w:r>
      <w:r w:rsidR="0047322B" w:rsidRPr="00EF3F2F">
        <w:rPr>
          <w:bCs/>
        </w:rPr>
        <w:t xml:space="preserve"> l</w:t>
      </w:r>
      <w:r w:rsidR="00E77A13" w:rsidRPr="00EF3F2F">
        <w:rPr>
          <w:bCs/>
        </w:rPr>
        <w:t>a impugnación</w:t>
      </w:r>
      <w:r w:rsidRPr="00EF3F2F">
        <w:rPr>
          <w:bCs/>
        </w:rPr>
        <w:t xml:space="preserve"> presentada por el reclamante</w:t>
      </w:r>
      <w:r w:rsidR="00E77A13" w:rsidRPr="00EF3F2F">
        <w:rPr>
          <w:bCs/>
        </w:rPr>
        <w:t xml:space="preserve"> no se sustenta en </w:t>
      </w:r>
      <w:r w:rsidRPr="00EF3F2F">
        <w:rPr>
          <w:bCs/>
        </w:rPr>
        <w:t>probar la existencia de</w:t>
      </w:r>
      <w:r w:rsidR="00E77A13" w:rsidRPr="00EF3F2F">
        <w:rPr>
          <w:bCs/>
        </w:rPr>
        <w:t xml:space="preserve"> un error o en aportar nueva prueba que contradiga el sustento de la decisión adoptada por el Colegiado. </w:t>
      </w:r>
    </w:p>
    <w:p w14:paraId="326540C5" w14:textId="77777777" w:rsidR="00E77A13" w:rsidRPr="00EF3F2F" w:rsidRDefault="00E77A13" w:rsidP="00122E03">
      <w:pPr>
        <w:tabs>
          <w:tab w:val="left" w:pos="709"/>
          <w:tab w:val="left" w:pos="2160"/>
        </w:tabs>
        <w:ind w:left="709" w:hanging="709"/>
        <w:jc w:val="both"/>
        <w:rPr>
          <w:lang w:val="es-PE"/>
        </w:rPr>
      </w:pPr>
    </w:p>
    <w:p w14:paraId="7172A699" w14:textId="77777777" w:rsidR="00E77A13" w:rsidRPr="00EF3F2F" w:rsidRDefault="00E77A13" w:rsidP="00122E03">
      <w:pPr>
        <w:jc w:val="both"/>
        <w:rPr>
          <w:bCs/>
        </w:rPr>
      </w:pPr>
      <w:r w:rsidRPr="00EF3F2F">
        <w:rPr>
          <w:bCs/>
        </w:rPr>
        <w:t xml:space="preserve">En ese sentido, el </w:t>
      </w:r>
      <w:r w:rsidR="0047322B" w:rsidRPr="00EF3F2F">
        <w:rPr>
          <w:bCs/>
        </w:rPr>
        <w:t>C</w:t>
      </w:r>
      <w:r w:rsidRPr="00EF3F2F">
        <w:rPr>
          <w:bCs/>
        </w:rPr>
        <w:t>olegiado reitera su convicción que, de los antecedentes fácticos del caso, se verifican pruebas razonables en el sentido que existen razones fundadas para estimar que el rechazo de cobertura es legítimo.</w:t>
      </w:r>
    </w:p>
    <w:p w14:paraId="566E1E09" w14:textId="77777777" w:rsidR="00E77A13" w:rsidRPr="00EF3F2F" w:rsidRDefault="00E77A13" w:rsidP="00122E03">
      <w:pPr>
        <w:jc w:val="both"/>
        <w:rPr>
          <w:bCs/>
        </w:rPr>
      </w:pPr>
    </w:p>
    <w:p w14:paraId="5983332F" w14:textId="77777777" w:rsidR="00E77A13" w:rsidRPr="00EF3F2F" w:rsidRDefault="00E77A13" w:rsidP="00122E03">
      <w:pPr>
        <w:jc w:val="both"/>
      </w:pPr>
      <w:r w:rsidRPr="00EF3F2F">
        <w:rPr>
          <w:b/>
          <w:u w:val="single"/>
        </w:rPr>
        <w:t>TERCERO</w:t>
      </w:r>
      <w:r w:rsidRPr="00EF3F2F">
        <w:rPr>
          <w:b/>
        </w:rPr>
        <w:t>:</w:t>
      </w:r>
      <w:r w:rsidRPr="00EF3F2F">
        <w:t xml:space="preserve"> En atención a las consideraciones precedentes, este colegiado aprecia finalmente que no se ha evidenciado nueva prueba ni error ni falta de motivación, por lo que no existe mérito suficiente ni razón objetiva para revocar la resolución recurrida.</w:t>
      </w:r>
    </w:p>
    <w:p w14:paraId="194F6BD7" w14:textId="77777777" w:rsidR="00E77A13" w:rsidRPr="00EF3F2F" w:rsidRDefault="00E77A13" w:rsidP="00122E03">
      <w:pPr>
        <w:jc w:val="both"/>
      </w:pPr>
    </w:p>
    <w:p w14:paraId="16E8E1D0" w14:textId="77777777" w:rsidR="00E77A13" w:rsidRPr="00EF3F2F" w:rsidRDefault="00E77A13" w:rsidP="00122E03">
      <w:pPr>
        <w:jc w:val="both"/>
        <w:rPr>
          <w:b/>
        </w:rPr>
      </w:pPr>
      <w:r w:rsidRPr="00EF3F2F">
        <w:rPr>
          <w:b/>
        </w:rPr>
        <w:t>RESUELVE:</w:t>
      </w:r>
    </w:p>
    <w:p w14:paraId="7F2B9FB5" w14:textId="77777777" w:rsidR="00E77A13" w:rsidRPr="00EF3F2F" w:rsidRDefault="00E77A13" w:rsidP="00122E03">
      <w:pPr>
        <w:jc w:val="both"/>
      </w:pPr>
    </w:p>
    <w:p w14:paraId="479AD6F8" w14:textId="77777777" w:rsidR="00E77A13" w:rsidRPr="00EF3F2F" w:rsidRDefault="00E77A13" w:rsidP="00122E03">
      <w:pPr>
        <w:jc w:val="both"/>
      </w:pPr>
      <w:r w:rsidRPr="00EF3F2F">
        <w:rPr>
          <w:rFonts w:eastAsia="Arial Unicode MS"/>
          <w:b/>
        </w:rPr>
        <w:t xml:space="preserve">Declarar INFUNDADO el recurso de impugnación interpuesto y, por consiguiente, CONFIRMAR la Resolución Nro. </w:t>
      </w:r>
      <w:r w:rsidR="00FA1E50" w:rsidRPr="00EF3F2F">
        <w:rPr>
          <w:rFonts w:eastAsia="Arial Unicode MS"/>
          <w:b/>
        </w:rPr>
        <w:t>113</w:t>
      </w:r>
      <w:r w:rsidRPr="00EF3F2F">
        <w:rPr>
          <w:rFonts w:eastAsia="Arial Unicode MS"/>
          <w:b/>
        </w:rPr>
        <w:t>/1</w:t>
      </w:r>
      <w:r w:rsidR="000A6442" w:rsidRPr="00EF3F2F">
        <w:rPr>
          <w:rFonts w:eastAsia="Arial Unicode MS"/>
          <w:b/>
        </w:rPr>
        <w:t>9</w:t>
      </w:r>
      <w:r w:rsidRPr="00EF3F2F">
        <w:t>.</w:t>
      </w:r>
    </w:p>
    <w:p w14:paraId="1A35B772" w14:textId="77777777" w:rsidR="00E77A13" w:rsidRPr="00EF3F2F" w:rsidRDefault="00E77A13" w:rsidP="00122E03">
      <w:pPr>
        <w:jc w:val="both"/>
      </w:pPr>
    </w:p>
    <w:p w14:paraId="19CB519B" w14:textId="77777777" w:rsidR="00E77A13" w:rsidRPr="00EF3F2F" w:rsidRDefault="00E77A13" w:rsidP="00122E03">
      <w:pPr>
        <w:jc w:val="both"/>
      </w:pPr>
    </w:p>
    <w:p w14:paraId="28065BD6" w14:textId="77777777" w:rsidR="00E77A13" w:rsidRPr="00EF3F2F" w:rsidRDefault="00E77A13" w:rsidP="00122E03">
      <w:pPr>
        <w:jc w:val="right"/>
      </w:pPr>
      <w:r w:rsidRPr="00EF3F2F">
        <w:rPr>
          <w:rFonts w:eastAsia="Arial Unicode MS"/>
        </w:rPr>
        <w:t>Lima</w:t>
      </w:r>
      <w:r w:rsidR="00122E03" w:rsidRPr="00EF3F2F">
        <w:rPr>
          <w:rFonts w:eastAsia="Arial Unicode MS"/>
        </w:rPr>
        <w:t xml:space="preserve">, 03 </w:t>
      </w:r>
      <w:r w:rsidRPr="00EF3F2F">
        <w:rPr>
          <w:rFonts w:eastAsia="Arial Unicode MS"/>
        </w:rPr>
        <w:t xml:space="preserve">de </w:t>
      </w:r>
      <w:r w:rsidR="00122E03" w:rsidRPr="00EF3F2F">
        <w:rPr>
          <w:rFonts w:eastAsia="Arial Unicode MS"/>
        </w:rPr>
        <w:t xml:space="preserve">febrero </w:t>
      </w:r>
      <w:r w:rsidRPr="00EF3F2F">
        <w:rPr>
          <w:rFonts w:eastAsia="Arial Unicode MS"/>
        </w:rPr>
        <w:t>de 20</w:t>
      </w:r>
      <w:r w:rsidR="00FA1E50" w:rsidRPr="00EF3F2F">
        <w:rPr>
          <w:rFonts w:eastAsia="Arial Unicode MS"/>
        </w:rPr>
        <w:t>20</w:t>
      </w:r>
      <w:r w:rsidRPr="00EF3F2F">
        <w:rPr>
          <w:lang w:val="es-MX"/>
        </w:rPr>
        <w:t xml:space="preserve">  </w:t>
      </w:r>
      <w:r w:rsidRPr="00EF3F2F">
        <w:t xml:space="preserve"> </w:t>
      </w:r>
    </w:p>
    <w:p w14:paraId="16FDE0E2" w14:textId="77777777" w:rsidR="00122E03" w:rsidRDefault="00122E03" w:rsidP="00122E03"/>
    <w:p w14:paraId="24A90429" w14:textId="77777777" w:rsidR="00EF3F2F" w:rsidRDefault="00EF3F2F" w:rsidP="00122E03"/>
    <w:p w14:paraId="03116C5E" w14:textId="77777777" w:rsidR="00EF3F2F" w:rsidRPr="00EF3F2F" w:rsidRDefault="00EF3F2F" w:rsidP="00122E03">
      <w:pPr>
        <w:rPr>
          <w:lang w:val="es-PE" w:eastAsia="en-US"/>
        </w:rPr>
      </w:pPr>
    </w:p>
    <w:p w14:paraId="4E7712F6" w14:textId="77777777" w:rsidR="00122E03" w:rsidRPr="00EF3F2F" w:rsidRDefault="00122E03" w:rsidP="00122E03"/>
    <w:p w14:paraId="491F45C7" w14:textId="77777777" w:rsidR="00122E03" w:rsidRPr="00EF3F2F" w:rsidRDefault="00122E03" w:rsidP="00122E03"/>
    <w:p w14:paraId="4FC4CF0A" w14:textId="77777777" w:rsidR="00122E03" w:rsidRPr="00EF3F2F" w:rsidRDefault="00122E03" w:rsidP="00122E03"/>
    <w:p w14:paraId="4C47941D" w14:textId="77777777" w:rsidR="00122E03" w:rsidRPr="00EF3F2F" w:rsidRDefault="00122E03" w:rsidP="00122E03">
      <w:r w:rsidRPr="00EF3F2F">
        <w:t xml:space="preserve">María Eugenia Valdez Fernández Baca </w:t>
      </w:r>
      <w:r w:rsidRPr="00EF3F2F">
        <w:tab/>
      </w:r>
      <w:r w:rsidRPr="00EF3F2F">
        <w:tab/>
        <w:t>Marco Antonio Ortega Piana</w:t>
      </w:r>
      <w:r w:rsidRPr="00EF3F2F">
        <w:tab/>
        <w:t xml:space="preserve">                   </w:t>
      </w:r>
      <w:r w:rsidRPr="00EF3F2F">
        <w:tab/>
        <w:t xml:space="preserve">       Presidente</w:t>
      </w:r>
      <w:r w:rsidRPr="00EF3F2F">
        <w:tab/>
      </w:r>
      <w:r w:rsidRPr="00EF3F2F">
        <w:tab/>
      </w:r>
      <w:r w:rsidRPr="00EF3F2F">
        <w:tab/>
      </w:r>
      <w:r w:rsidRPr="00EF3F2F">
        <w:tab/>
      </w:r>
      <w:r w:rsidRPr="00EF3F2F">
        <w:tab/>
        <w:t xml:space="preserve">         Vocal                                   </w:t>
      </w:r>
    </w:p>
    <w:p w14:paraId="710A026F" w14:textId="77777777" w:rsidR="00122E03" w:rsidRPr="00EF3F2F" w:rsidRDefault="00122E03" w:rsidP="00122E03"/>
    <w:p w14:paraId="280C5DBA" w14:textId="77777777" w:rsidR="00122E03" w:rsidRPr="00EF3F2F" w:rsidRDefault="00122E03" w:rsidP="00122E03"/>
    <w:p w14:paraId="7D7476B8" w14:textId="77777777" w:rsidR="00122E03" w:rsidRPr="00EF3F2F" w:rsidRDefault="00122E03" w:rsidP="00122E03"/>
    <w:p w14:paraId="77FB5BFD" w14:textId="77777777" w:rsidR="00122E03" w:rsidRPr="00EF3F2F" w:rsidRDefault="00122E03" w:rsidP="00122E03"/>
    <w:p w14:paraId="0104EF87" w14:textId="77777777" w:rsidR="00122E03" w:rsidRPr="00EF3F2F" w:rsidRDefault="00122E03" w:rsidP="00122E03"/>
    <w:p w14:paraId="3565AFD6" w14:textId="77777777" w:rsidR="00122E03" w:rsidRPr="00EF3F2F" w:rsidRDefault="00122E03" w:rsidP="00122E03"/>
    <w:p w14:paraId="19177B83" w14:textId="77777777" w:rsidR="00122E03" w:rsidRPr="00EF3F2F" w:rsidRDefault="00122E03" w:rsidP="00122E03"/>
    <w:p w14:paraId="34EA1C91" w14:textId="77777777" w:rsidR="00122E03" w:rsidRPr="00EF3F2F" w:rsidRDefault="00122E03" w:rsidP="00122E03">
      <w:r w:rsidRPr="00EF3F2F">
        <w:t xml:space="preserve">Rolando Eyzaguirre Maccan </w:t>
      </w:r>
      <w:r w:rsidRPr="00EF3F2F">
        <w:tab/>
      </w:r>
      <w:r w:rsidRPr="00EF3F2F">
        <w:tab/>
      </w:r>
      <w:r w:rsidRPr="00EF3F2F">
        <w:tab/>
      </w:r>
      <w:r w:rsidRPr="00EF3F2F">
        <w:tab/>
        <w:t xml:space="preserve">   Gonzalo Abad del Busto</w:t>
      </w:r>
    </w:p>
    <w:p w14:paraId="1456C790" w14:textId="77777777" w:rsidR="00122E03" w:rsidRPr="00EF3F2F" w:rsidRDefault="00122E03" w:rsidP="00122E03">
      <w:r w:rsidRPr="00EF3F2F">
        <w:t xml:space="preserve">               Vocal</w:t>
      </w:r>
      <w:r w:rsidRPr="00EF3F2F">
        <w:tab/>
        <w:t xml:space="preserve">                                                                 Vocal</w:t>
      </w:r>
    </w:p>
    <w:p w14:paraId="60328D77" w14:textId="77777777" w:rsidR="00122E03" w:rsidRPr="00EF3F2F" w:rsidRDefault="00122E03" w:rsidP="00122E03"/>
    <w:p w14:paraId="0E6A0A3D" w14:textId="77777777" w:rsidR="00E77A13" w:rsidRPr="00EF3F2F" w:rsidRDefault="00E77A13" w:rsidP="00122E03">
      <w:pPr>
        <w:jc w:val="both"/>
        <w:rPr>
          <w:b/>
          <w:u w:val="single"/>
          <w:lang w:val="es-PE"/>
        </w:rPr>
      </w:pPr>
    </w:p>
    <w:sectPr w:rsidR="00E77A13" w:rsidRPr="00EF3F2F" w:rsidSect="00122E03">
      <w:footerReference w:type="default" r:id="rId9"/>
      <w:pgSz w:w="11906" w:h="16838"/>
      <w:pgMar w:top="1985"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EA77" w14:textId="77777777" w:rsidR="00DE68C8" w:rsidRDefault="00DE68C8">
      <w:r>
        <w:separator/>
      </w:r>
    </w:p>
  </w:endnote>
  <w:endnote w:type="continuationSeparator" w:id="0">
    <w:p w14:paraId="2DD2C81B" w14:textId="77777777" w:rsidR="00DE68C8" w:rsidRDefault="00DE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8E42" w14:textId="77777777" w:rsidR="00E10FB4" w:rsidRDefault="00E10FB4">
    <w:pPr>
      <w:pStyle w:val="Piedepgina"/>
      <w:jc w:val="right"/>
    </w:pPr>
    <w:r w:rsidRPr="00E10FB4">
      <w:rPr>
        <w:sz w:val="18"/>
        <w:szCs w:val="18"/>
      </w:rPr>
      <w:t xml:space="preserve">Página </w:t>
    </w:r>
    <w:r w:rsidRPr="00E10FB4">
      <w:rPr>
        <w:b/>
        <w:bCs/>
        <w:sz w:val="18"/>
        <w:szCs w:val="18"/>
      </w:rPr>
      <w:fldChar w:fldCharType="begin"/>
    </w:r>
    <w:r w:rsidRPr="00E10FB4">
      <w:rPr>
        <w:b/>
        <w:bCs/>
        <w:sz w:val="18"/>
        <w:szCs w:val="18"/>
      </w:rPr>
      <w:instrText>PAGE</w:instrText>
    </w:r>
    <w:r w:rsidRPr="00E10FB4">
      <w:rPr>
        <w:b/>
        <w:bCs/>
        <w:sz w:val="18"/>
        <w:szCs w:val="18"/>
      </w:rPr>
      <w:fldChar w:fldCharType="separate"/>
    </w:r>
    <w:r w:rsidRPr="00E10FB4">
      <w:rPr>
        <w:b/>
        <w:bCs/>
        <w:sz w:val="18"/>
        <w:szCs w:val="18"/>
      </w:rPr>
      <w:t>2</w:t>
    </w:r>
    <w:r w:rsidRPr="00E10FB4">
      <w:rPr>
        <w:b/>
        <w:bCs/>
        <w:sz w:val="18"/>
        <w:szCs w:val="18"/>
      </w:rPr>
      <w:fldChar w:fldCharType="end"/>
    </w:r>
    <w:r w:rsidRPr="00E10FB4">
      <w:rPr>
        <w:sz w:val="18"/>
        <w:szCs w:val="18"/>
      </w:rPr>
      <w:t xml:space="preserve"> de </w:t>
    </w:r>
    <w:r w:rsidRPr="00E10FB4">
      <w:rPr>
        <w:b/>
        <w:bCs/>
        <w:sz w:val="18"/>
        <w:szCs w:val="18"/>
      </w:rPr>
      <w:fldChar w:fldCharType="begin"/>
    </w:r>
    <w:r w:rsidRPr="00E10FB4">
      <w:rPr>
        <w:b/>
        <w:bCs/>
        <w:sz w:val="18"/>
        <w:szCs w:val="18"/>
      </w:rPr>
      <w:instrText>NUMPAGES</w:instrText>
    </w:r>
    <w:r w:rsidRPr="00E10FB4">
      <w:rPr>
        <w:b/>
        <w:bCs/>
        <w:sz w:val="18"/>
        <w:szCs w:val="18"/>
      </w:rPr>
      <w:fldChar w:fldCharType="separate"/>
    </w:r>
    <w:r w:rsidRPr="00E10FB4">
      <w:rPr>
        <w:b/>
        <w:bCs/>
        <w:sz w:val="18"/>
        <w:szCs w:val="18"/>
      </w:rPr>
      <w:t>2</w:t>
    </w:r>
    <w:r w:rsidRPr="00E10FB4">
      <w:rPr>
        <w:b/>
        <w:bCs/>
        <w:sz w:val="18"/>
        <w:szCs w:val="18"/>
      </w:rPr>
      <w:fldChar w:fldCharType="end"/>
    </w:r>
  </w:p>
  <w:p w14:paraId="49831B05" w14:textId="77777777" w:rsidR="00E10FB4" w:rsidRDefault="00E10F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1C47" w14:textId="77777777" w:rsidR="00DE68C8" w:rsidRDefault="00DE68C8">
      <w:r>
        <w:separator/>
      </w:r>
    </w:p>
  </w:footnote>
  <w:footnote w:type="continuationSeparator" w:id="0">
    <w:p w14:paraId="00EED1A2" w14:textId="77777777" w:rsidR="00DE68C8" w:rsidRDefault="00DE68C8">
      <w:r>
        <w:continuationSeparator/>
      </w:r>
    </w:p>
  </w:footnote>
  <w:footnote w:id="1">
    <w:p w14:paraId="7E3E7932" w14:textId="77777777" w:rsidR="00C10D34" w:rsidRPr="00E10FB4" w:rsidRDefault="00C10D34" w:rsidP="00C10D34">
      <w:pPr>
        <w:pStyle w:val="Textonotapie"/>
        <w:jc w:val="both"/>
        <w:rPr>
          <w:sz w:val="20"/>
          <w:szCs w:val="20"/>
          <w:lang w:val="es-PE"/>
        </w:rPr>
      </w:pPr>
      <w:r w:rsidRPr="00E10FB4">
        <w:rPr>
          <w:rStyle w:val="Refdenotaalpie"/>
          <w:sz w:val="20"/>
          <w:szCs w:val="20"/>
        </w:rPr>
        <w:footnoteRef/>
      </w:r>
      <w:r w:rsidRPr="00E10FB4">
        <w:rPr>
          <w:sz w:val="20"/>
          <w:szCs w:val="20"/>
        </w:rPr>
        <w:t xml:space="preserve"> </w:t>
      </w:r>
      <w:r w:rsidRPr="00E10FB4">
        <w:rPr>
          <w:sz w:val="20"/>
          <w:szCs w:val="20"/>
          <w:lang w:val="es-PE"/>
        </w:rPr>
        <w:t>Américan Cancer Society: www.cancer.org/es/tratamiento/tratamientos-y-efectos-secundarios/cateteres-venosos-centrales.html.</w:t>
      </w:r>
    </w:p>
  </w:footnote>
  <w:footnote w:id="2">
    <w:p w14:paraId="3DBC6AE6" w14:textId="77777777" w:rsidR="00C10D34" w:rsidRPr="00E10FB4" w:rsidRDefault="00C10D34" w:rsidP="00C10D34">
      <w:pPr>
        <w:pStyle w:val="Textonotapie"/>
        <w:jc w:val="both"/>
        <w:rPr>
          <w:sz w:val="20"/>
          <w:szCs w:val="20"/>
          <w:lang w:val="es-PE"/>
        </w:rPr>
      </w:pPr>
      <w:r w:rsidRPr="00E10FB4">
        <w:rPr>
          <w:rStyle w:val="Refdenotaalpie"/>
          <w:sz w:val="20"/>
          <w:szCs w:val="20"/>
        </w:rPr>
        <w:footnoteRef/>
      </w:r>
      <w:r w:rsidRPr="00E10FB4">
        <w:rPr>
          <w:sz w:val="20"/>
          <w:szCs w:val="20"/>
        </w:rPr>
        <w:t xml:space="preserve"> </w:t>
      </w:r>
      <w:r w:rsidRPr="00E10FB4">
        <w:rPr>
          <w:sz w:val="20"/>
          <w:szCs w:val="20"/>
          <w:lang w:val="es-PE"/>
        </w:rPr>
        <w:t>Américan Cancer Society: www.cancer.org/es/tratamiento/tratamientos-y-efectos-secundarios/cateteres-venosos-centrales.html.</w:t>
      </w:r>
    </w:p>
    <w:p w14:paraId="005DDD97" w14:textId="77777777" w:rsidR="00C10D34" w:rsidRPr="00E10FB4" w:rsidRDefault="00C10D34" w:rsidP="00C10D34">
      <w:pPr>
        <w:pStyle w:val="Textonotapie"/>
        <w:rPr>
          <w:sz w:val="20"/>
          <w:szCs w:val="20"/>
          <w:lang w:val="es-PE"/>
        </w:rPr>
      </w:pPr>
    </w:p>
  </w:footnote>
  <w:footnote w:id="3">
    <w:p w14:paraId="2C0A89C7" w14:textId="77777777" w:rsidR="00C10D34" w:rsidRPr="008E2010" w:rsidRDefault="00C10D34" w:rsidP="00C10D34">
      <w:pPr>
        <w:pStyle w:val="Textonotapie"/>
        <w:jc w:val="both"/>
        <w:rPr>
          <w:lang w:val="es-PE"/>
        </w:rPr>
      </w:pPr>
      <w:r w:rsidRPr="00E10FB4">
        <w:rPr>
          <w:rStyle w:val="Refdenotaalpie"/>
          <w:sz w:val="20"/>
          <w:szCs w:val="20"/>
        </w:rPr>
        <w:footnoteRef/>
      </w:r>
      <w:r w:rsidRPr="00E10FB4">
        <w:rPr>
          <w:sz w:val="20"/>
          <w:szCs w:val="20"/>
        </w:rPr>
        <w:t xml:space="preserve"> </w:t>
      </w:r>
      <w:r w:rsidRPr="00E10FB4">
        <w:rPr>
          <w:sz w:val="20"/>
          <w:szCs w:val="20"/>
          <w:lang w:val="es-PE"/>
        </w:rPr>
        <w:t>Mediline Plus: https://medlineplus.gov/spanish/ency/article/007375.htm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943550F"/>
    <w:multiLevelType w:val="multilevel"/>
    <w:tmpl w:val="ABDC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203D4"/>
    <w:rsid w:val="00025352"/>
    <w:rsid w:val="00032B2A"/>
    <w:rsid w:val="0004078F"/>
    <w:rsid w:val="000508A5"/>
    <w:rsid w:val="00055B1B"/>
    <w:rsid w:val="00065412"/>
    <w:rsid w:val="000736F5"/>
    <w:rsid w:val="0007606D"/>
    <w:rsid w:val="0007628A"/>
    <w:rsid w:val="000824A1"/>
    <w:rsid w:val="00082E39"/>
    <w:rsid w:val="0009162F"/>
    <w:rsid w:val="00094DD4"/>
    <w:rsid w:val="0009583C"/>
    <w:rsid w:val="000966B7"/>
    <w:rsid w:val="000A0205"/>
    <w:rsid w:val="000A6442"/>
    <w:rsid w:val="000C013C"/>
    <w:rsid w:val="000C0F70"/>
    <w:rsid w:val="000D6582"/>
    <w:rsid w:val="000D7E05"/>
    <w:rsid w:val="000E19F5"/>
    <w:rsid w:val="000E38AF"/>
    <w:rsid w:val="000E3B7D"/>
    <w:rsid w:val="000E4102"/>
    <w:rsid w:val="000E78B5"/>
    <w:rsid w:val="000E78DF"/>
    <w:rsid w:val="000F1FEA"/>
    <w:rsid w:val="000F2B0F"/>
    <w:rsid w:val="000F4318"/>
    <w:rsid w:val="001037A2"/>
    <w:rsid w:val="00122E03"/>
    <w:rsid w:val="001274F3"/>
    <w:rsid w:val="0012750F"/>
    <w:rsid w:val="001279B6"/>
    <w:rsid w:val="001300E5"/>
    <w:rsid w:val="001432D1"/>
    <w:rsid w:val="00152E70"/>
    <w:rsid w:val="00155805"/>
    <w:rsid w:val="001603BA"/>
    <w:rsid w:val="00161AFB"/>
    <w:rsid w:val="001764EE"/>
    <w:rsid w:val="00183F2E"/>
    <w:rsid w:val="00191416"/>
    <w:rsid w:val="001922A0"/>
    <w:rsid w:val="001923E8"/>
    <w:rsid w:val="001939F3"/>
    <w:rsid w:val="001960DB"/>
    <w:rsid w:val="001A6331"/>
    <w:rsid w:val="001A6A3C"/>
    <w:rsid w:val="001A6AEA"/>
    <w:rsid w:val="001B052E"/>
    <w:rsid w:val="001B18CB"/>
    <w:rsid w:val="001C3467"/>
    <w:rsid w:val="001D0FBB"/>
    <w:rsid w:val="001E0A3E"/>
    <w:rsid w:val="00201C81"/>
    <w:rsid w:val="00202BAE"/>
    <w:rsid w:val="0020511C"/>
    <w:rsid w:val="00213E97"/>
    <w:rsid w:val="002162F6"/>
    <w:rsid w:val="00230EDA"/>
    <w:rsid w:val="00240C91"/>
    <w:rsid w:val="002435B9"/>
    <w:rsid w:val="0024585B"/>
    <w:rsid w:val="00247107"/>
    <w:rsid w:val="00250B8A"/>
    <w:rsid w:val="00255B26"/>
    <w:rsid w:val="00260350"/>
    <w:rsid w:val="00261A64"/>
    <w:rsid w:val="00266A9B"/>
    <w:rsid w:val="00267F72"/>
    <w:rsid w:val="0027153E"/>
    <w:rsid w:val="0027315A"/>
    <w:rsid w:val="00280F27"/>
    <w:rsid w:val="00286118"/>
    <w:rsid w:val="00296C23"/>
    <w:rsid w:val="002A62D6"/>
    <w:rsid w:val="002B2CD4"/>
    <w:rsid w:val="002B3C89"/>
    <w:rsid w:val="002D1D4E"/>
    <w:rsid w:val="002E0430"/>
    <w:rsid w:val="002F075A"/>
    <w:rsid w:val="002F0F80"/>
    <w:rsid w:val="002F64FD"/>
    <w:rsid w:val="003054C1"/>
    <w:rsid w:val="003104B3"/>
    <w:rsid w:val="00315DF9"/>
    <w:rsid w:val="003177C3"/>
    <w:rsid w:val="00336F84"/>
    <w:rsid w:val="00337006"/>
    <w:rsid w:val="00341C01"/>
    <w:rsid w:val="00343254"/>
    <w:rsid w:val="00344094"/>
    <w:rsid w:val="003462E9"/>
    <w:rsid w:val="003641CC"/>
    <w:rsid w:val="00365D34"/>
    <w:rsid w:val="00366C00"/>
    <w:rsid w:val="003711EF"/>
    <w:rsid w:val="00371A6B"/>
    <w:rsid w:val="00371CE2"/>
    <w:rsid w:val="00372DC9"/>
    <w:rsid w:val="0038014B"/>
    <w:rsid w:val="00381AD8"/>
    <w:rsid w:val="00391BF3"/>
    <w:rsid w:val="00396854"/>
    <w:rsid w:val="003A00EE"/>
    <w:rsid w:val="003A0CA4"/>
    <w:rsid w:val="003A1C31"/>
    <w:rsid w:val="003A41E0"/>
    <w:rsid w:val="003B526A"/>
    <w:rsid w:val="003D3C6E"/>
    <w:rsid w:val="003E17F8"/>
    <w:rsid w:val="003E2660"/>
    <w:rsid w:val="003F0439"/>
    <w:rsid w:val="00400C84"/>
    <w:rsid w:val="004023CA"/>
    <w:rsid w:val="0040483C"/>
    <w:rsid w:val="004062D7"/>
    <w:rsid w:val="00414219"/>
    <w:rsid w:val="004218DC"/>
    <w:rsid w:val="00422FB0"/>
    <w:rsid w:val="00433163"/>
    <w:rsid w:val="00435591"/>
    <w:rsid w:val="00452D52"/>
    <w:rsid w:val="00454707"/>
    <w:rsid w:val="00464B2E"/>
    <w:rsid w:val="0047322B"/>
    <w:rsid w:val="00481320"/>
    <w:rsid w:val="004912FA"/>
    <w:rsid w:val="00493D18"/>
    <w:rsid w:val="004B175C"/>
    <w:rsid w:val="004B495C"/>
    <w:rsid w:val="004B6936"/>
    <w:rsid w:val="004D4935"/>
    <w:rsid w:val="004E368A"/>
    <w:rsid w:val="004E5865"/>
    <w:rsid w:val="004F3999"/>
    <w:rsid w:val="004F3BE3"/>
    <w:rsid w:val="00500913"/>
    <w:rsid w:val="005017ED"/>
    <w:rsid w:val="005021EC"/>
    <w:rsid w:val="0050232C"/>
    <w:rsid w:val="0050295C"/>
    <w:rsid w:val="00506AB8"/>
    <w:rsid w:val="00511F09"/>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92111"/>
    <w:rsid w:val="005A0CBC"/>
    <w:rsid w:val="005A4C9E"/>
    <w:rsid w:val="005A4ED4"/>
    <w:rsid w:val="005C3C44"/>
    <w:rsid w:val="005C7CEA"/>
    <w:rsid w:val="005D2404"/>
    <w:rsid w:val="005D3D3D"/>
    <w:rsid w:val="005D6A02"/>
    <w:rsid w:val="005E4FC0"/>
    <w:rsid w:val="005E6C21"/>
    <w:rsid w:val="005E79FF"/>
    <w:rsid w:val="00611629"/>
    <w:rsid w:val="00612854"/>
    <w:rsid w:val="00613F0A"/>
    <w:rsid w:val="00614563"/>
    <w:rsid w:val="0065716F"/>
    <w:rsid w:val="00664A65"/>
    <w:rsid w:val="00664D1E"/>
    <w:rsid w:val="006654D2"/>
    <w:rsid w:val="00672BDC"/>
    <w:rsid w:val="00673A30"/>
    <w:rsid w:val="00684A82"/>
    <w:rsid w:val="00684FAF"/>
    <w:rsid w:val="006A2A13"/>
    <w:rsid w:val="006A6691"/>
    <w:rsid w:val="006A7A83"/>
    <w:rsid w:val="006B09DD"/>
    <w:rsid w:val="006B2530"/>
    <w:rsid w:val="006C0E4C"/>
    <w:rsid w:val="006C2C62"/>
    <w:rsid w:val="006D4F09"/>
    <w:rsid w:val="006F22C5"/>
    <w:rsid w:val="006F7CF9"/>
    <w:rsid w:val="00711389"/>
    <w:rsid w:val="00716520"/>
    <w:rsid w:val="0072084B"/>
    <w:rsid w:val="007302AE"/>
    <w:rsid w:val="007445D1"/>
    <w:rsid w:val="00745F6A"/>
    <w:rsid w:val="007466C2"/>
    <w:rsid w:val="00770BDA"/>
    <w:rsid w:val="00777227"/>
    <w:rsid w:val="00781137"/>
    <w:rsid w:val="00791F96"/>
    <w:rsid w:val="007C1F82"/>
    <w:rsid w:val="007C6642"/>
    <w:rsid w:val="007D1641"/>
    <w:rsid w:val="007D4314"/>
    <w:rsid w:val="007E111C"/>
    <w:rsid w:val="00800C74"/>
    <w:rsid w:val="00800EC5"/>
    <w:rsid w:val="00801915"/>
    <w:rsid w:val="00801D9D"/>
    <w:rsid w:val="00804E91"/>
    <w:rsid w:val="008266C9"/>
    <w:rsid w:val="0083474D"/>
    <w:rsid w:val="00841737"/>
    <w:rsid w:val="00846117"/>
    <w:rsid w:val="0085522A"/>
    <w:rsid w:val="00860252"/>
    <w:rsid w:val="00862A65"/>
    <w:rsid w:val="00863765"/>
    <w:rsid w:val="00866D97"/>
    <w:rsid w:val="00871A92"/>
    <w:rsid w:val="00871B82"/>
    <w:rsid w:val="00874704"/>
    <w:rsid w:val="0088011E"/>
    <w:rsid w:val="00880D15"/>
    <w:rsid w:val="00891026"/>
    <w:rsid w:val="00896801"/>
    <w:rsid w:val="008A25DB"/>
    <w:rsid w:val="008A2D2A"/>
    <w:rsid w:val="008A4371"/>
    <w:rsid w:val="008B296A"/>
    <w:rsid w:val="008D5CB4"/>
    <w:rsid w:val="008E1747"/>
    <w:rsid w:val="008E205C"/>
    <w:rsid w:val="0090008D"/>
    <w:rsid w:val="009044FD"/>
    <w:rsid w:val="00907B8E"/>
    <w:rsid w:val="00924A79"/>
    <w:rsid w:val="0092553D"/>
    <w:rsid w:val="009366A4"/>
    <w:rsid w:val="0093718B"/>
    <w:rsid w:val="0096766E"/>
    <w:rsid w:val="00970C13"/>
    <w:rsid w:val="00971255"/>
    <w:rsid w:val="00975790"/>
    <w:rsid w:val="00984C03"/>
    <w:rsid w:val="0098544A"/>
    <w:rsid w:val="009970B3"/>
    <w:rsid w:val="009A56CD"/>
    <w:rsid w:val="009A59BC"/>
    <w:rsid w:val="009B641C"/>
    <w:rsid w:val="009C13BB"/>
    <w:rsid w:val="009C54EC"/>
    <w:rsid w:val="009D029A"/>
    <w:rsid w:val="009E28F9"/>
    <w:rsid w:val="00A01D42"/>
    <w:rsid w:val="00A02125"/>
    <w:rsid w:val="00A0457C"/>
    <w:rsid w:val="00A206E5"/>
    <w:rsid w:val="00A22FE1"/>
    <w:rsid w:val="00A23C17"/>
    <w:rsid w:val="00A351C6"/>
    <w:rsid w:val="00A37FEA"/>
    <w:rsid w:val="00A435FC"/>
    <w:rsid w:val="00A53191"/>
    <w:rsid w:val="00A5756F"/>
    <w:rsid w:val="00A60164"/>
    <w:rsid w:val="00A667CA"/>
    <w:rsid w:val="00A82374"/>
    <w:rsid w:val="00A921BD"/>
    <w:rsid w:val="00AA130E"/>
    <w:rsid w:val="00AA4D7A"/>
    <w:rsid w:val="00AB7F7A"/>
    <w:rsid w:val="00AC0CD4"/>
    <w:rsid w:val="00AC1212"/>
    <w:rsid w:val="00AC1925"/>
    <w:rsid w:val="00AC389E"/>
    <w:rsid w:val="00AD6147"/>
    <w:rsid w:val="00AD6181"/>
    <w:rsid w:val="00AD6F92"/>
    <w:rsid w:val="00AE0432"/>
    <w:rsid w:val="00AE13C3"/>
    <w:rsid w:val="00AF0B06"/>
    <w:rsid w:val="00AF7192"/>
    <w:rsid w:val="00B02E97"/>
    <w:rsid w:val="00B030A4"/>
    <w:rsid w:val="00B05DAE"/>
    <w:rsid w:val="00B14FF5"/>
    <w:rsid w:val="00B1563A"/>
    <w:rsid w:val="00B32262"/>
    <w:rsid w:val="00B40B08"/>
    <w:rsid w:val="00B503F5"/>
    <w:rsid w:val="00B52B9F"/>
    <w:rsid w:val="00B53611"/>
    <w:rsid w:val="00B53D92"/>
    <w:rsid w:val="00B604C0"/>
    <w:rsid w:val="00B62CFE"/>
    <w:rsid w:val="00B66816"/>
    <w:rsid w:val="00B67FCE"/>
    <w:rsid w:val="00B75ACD"/>
    <w:rsid w:val="00B837D2"/>
    <w:rsid w:val="00B84B04"/>
    <w:rsid w:val="00B8702E"/>
    <w:rsid w:val="00B90CF0"/>
    <w:rsid w:val="00B94B69"/>
    <w:rsid w:val="00B95001"/>
    <w:rsid w:val="00B95986"/>
    <w:rsid w:val="00BA07B5"/>
    <w:rsid w:val="00BA774E"/>
    <w:rsid w:val="00BB246B"/>
    <w:rsid w:val="00BC19D3"/>
    <w:rsid w:val="00BC4679"/>
    <w:rsid w:val="00BD601F"/>
    <w:rsid w:val="00BD6445"/>
    <w:rsid w:val="00BE0997"/>
    <w:rsid w:val="00BE6CDC"/>
    <w:rsid w:val="00BE7EF5"/>
    <w:rsid w:val="00BF0747"/>
    <w:rsid w:val="00BF2C2E"/>
    <w:rsid w:val="00BF5EDD"/>
    <w:rsid w:val="00C03BA9"/>
    <w:rsid w:val="00C0516C"/>
    <w:rsid w:val="00C10D34"/>
    <w:rsid w:val="00C11B9E"/>
    <w:rsid w:val="00C13C79"/>
    <w:rsid w:val="00C20680"/>
    <w:rsid w:val="00C21CDF"/>
    <w:rsid w:val="00C2713B"/>
    <w:rsid w:val="00C3132A"/>
    <w:rsid w:val="00C373D7"/>
    <w:rsid w:val="00C46FB1"/>
    <w:rsid w:val="00C51444"/>
    <w:rsid w:val="00C53380"/>
    <w:rsid w:val="00C559EB"/>
    <w:rsid w:val="00C56C62"/>
    <w:rsid w:val="00C76449"/>
    <w:rsid w:val="00C80390"/>
    <w:rsid w:val="00C809CC"/>
    <w:rsid w:val="00C92272"/>
    <w:rsid w:val="00C94F8B"/>
    <w:rsid w:val="00CA6919"/>
    <w:rsid w:val="00CB25EE"/>
    <w:rsid w:val="00CC07E5"/>
    <w:rsid w:val="00CD1F42"/>
    <w:rsid w:val="00CD5201"/>
    <w:rsid w:val="00CF653E"/>
    <w:rsid w:val="00CF7959"/>
    <w:rsid w:val="00D102AA"/>
    <w:rsid w:val="00D11A0F"/>
    <w:rsid w:val="00D11EA4"/>
    <w:rsid w:val="00D22116"/>
    <w:rsid w:val="00D2462D"/>
    <w:rsid w:val="00D354E4"/>
    <w:rsid w:val="00D37B26"/>
    <w:rsid w:val="00D4192D"/>
    <w:rsid w:val="00D41DDC"/>
    <w:rsid w:val="00D5418D"/>
    <w:rsid w:val="00D55541"/>
    <w:rsid w:val="00D55FA5"/>
    <w:rsid w:val="00D55FD2"/>
    <w:rsid w:val="00D64C69"/>
    <w:rsid w:val="00D66E52"/>
    <w:rsid w:val="00D677D1"/>
    <w:rsid w:val="00D67A2F"/>
    <w:rsid w:val="00D71FDA"/>
    <w:rsid w:val="00D877F1"/>
    <w:rsid w:val="00D90068"/>
    <w:rsid w:val="00D92993"/>
    <w:rsid w:val="00D9309F"/>
    <w:rsid w:val="00D97AE1"/>
    <w:rsid w:val="00DA08FE"/>
    <w:rsid w:val="00DA0E9A"/>
    <w:rsid w:val="00DA2F66"/>
    <w:rsid w:val="00DA2FA3"/>
    <w:rsid w:val="00DB3E4C"/>
    <w:rsid w:val="00DC0E1F"/>
    <w:rsid w:val="00DD094A"/>
    <w:rsid w:val="00DD0F5B"/>
    <w:rsid w:val="00DD421E"/>
    <w:rsid w:val="00DD47E0"/>
    <w:rsid w:val="00DD4E10"/>
    <w:rsid w:val="00DD5BC9"/>
    <w:rsid w:val="00DE68C8"/>
    <w:rsid w:val="00E02DA5"/>
    <w:rsid w:val="00E04136"/>
    <w:rsid w:val="00E05E05"/>
    <w:rsid w:val="00E10FB4"/>
    <w:rsid w:val="00E10FB8"/>
    <w:rsid w:val="00E16213"/>
    <w:rsid w:val="00E25D8E"/>
    <w:rsid w:val="00E27170"/>
    <w:rsid w:val="00E4020D"/>
    <w:rsid w:val="00E4259C"/>
    <w:rsid w:val="00E45877"/>
    <w:rsid w:val="00E46A36"/>
    <w:rsid w:val="00E64F28"/>
    <w:rsid w:val="00E77A13"/>
    <w:rsid w:val="00E82EC7"/>
    <w:rsid w:val="00E92568"/>
    <w:rsid w:val="00E969C6"/>
    <w:rsid w:val="00E96EC7"/>
    <w:rsid w:val="00E97F55"/>
    <w:rsid w:val="00EB22A0"/>
    <w:rsid w:val="00EC0944"/>
    <w:rsid w:val="00EC5F7C"/>
    <w:rsid w:val="00ED122B"/>
    <w:rsid w:val="00EE445D"/>
    <w:rsid w:val="00EE5147"/>
    <w:rsid w:val="00EF3F2F"/>
    <w:rsid w:val="00F02A4B"/>
    <w:rsid w:val="00F02E17"/>
    <w:rsid w:val="00F05CB6"/>
    <w:rsid w:val="00F05E83"/>
    <w:rsid w:val="00F06894"/>
    <w:rsid w:val="00F2029A"/>
    <w:rsid w:val="00F27822"/>
    <w:rsid w:val="00F36E16"/>
    <w:rsid w:val="00F43014"/>
    <w:rsid w:val="00F60108"/>
    <w:rsid w:val="00F6232F"/>
    <w:rsid w:val="00F8170A"/>
    <w:rsid w:val="00F86AF5"/>
    <w:rsid w:val="00FA1E50"/>
    <w:rsid w:val="00FA4DD8"/>
    <w:rsid w:val="00FB5CE2"/>
    <w:rsid w:val="00FB7059"/>
    <w:rsid w:val="00FC57DE"/>
    <w:rsid w:val="00FC5FD7"/>
    <w:rsid w:val="00FD7061"/>
    <w:rsid w:val="00FE0A1F"/>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B5D882"/>
  <w15:chartTrackingRefBased/>
  <w15:docId w15:val="{E73A9C8D-80B6-4B31-9F3F-A70B487B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link w:val="TextonotapieCar"/>
    <w:uiPriority w:val="99"/>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independienteCar">
    <w:name w:val="Texto independiente Car"/>
    <w:link w:val="Textoindependiente"/>
    <w:rsid w:val="00E77A13"/>
    <w:rPr>
      <w:bCs/>
      <w:sz w:val="24"/>
      <w:szCs w:val="24"/>
      <w:lang w:val="es-MX" w:eastAsia="ar-SA"/>
    </w:rPr>
  </w:style>
  <w:style w:type="character" w:customStyle="1" w:styleId="TextonotapieCar">
    <w:name w:val="Texto nota pie Car"/>
    <w:link w:val="Textonotapie"/>
    <w:uiPriority w:val="99"/>
    <w:rsid w:val="00C10D34"/>
    <w:rPr>
      <w:sz w:val="24"/>
      <w:szCs w:val="24"/>
      <w:lang w:val="es-ES" w:eastAsia="ar-SA"/>
    </w:rPr>
  </w:style>
  <w:style w:type="character" w:styleId="Refdenotaalpie">
    <w:name w:val="footnote reference"/>
    <w:uiPriority w:val="99"/>
    <w:unhideWhenUsed/>
    <w:rsid w:val="00C10D34"/>
    <w:rPr>
      <w:vertAlign w:val="superscript"/>
    </w:rPr>
  </w:style>
  <w:style w:type="character" w:styleId="Hipervnculo">
    <w:name w:val="Hyperlink"/>
    <w:uiPriority w:val="99"/>
    <w:unhideWhenUsed/>
    <w:rsid w:val="00C10D34"/>
    <w:rPr>
      <w:color w:val="0000FF"/>
      <w:u w:val="single"/>
    </w:rPr>
  </w:style>
  <w:style w:type="character" w:customStyle="1" w:styleId="PiedepginaCar">
    <w:name w:val="Pie de página Car"/>
    <w:link w:val="Piedepgina"/>
    <w:uiPriority w:val="99"/>
    <w:rsid w:val="00E10FB4"/>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 w:id="19587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ency/article/00398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D85A-750D-4661-AF0F-DA9B9F73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8364</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9865</CharactersWithSpaces>
  <SharedDoc>false</SharedDoc>
  <HLinks>
    <vt:vector size="6" baseType="variant">
      <vt:variant>
        <vt:i4>3801209</vt:i4>
      </vt:variant>
      <vt:variant>
        <vt:i4>0</vt:i4>
      </vt:variant>
      <vt:variant>
        <vt:i4>0</vt:i4>
      </vt:variant>
      <vt:variant>
        <vt:i4>5</vt:i4>
      </vt:variant>
      <vt:variant>
        <vt:lpwstr>https://medlineplus.gov/spanish/ency/article/003981.htm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3</cp:revision>
  <cp:lastPrinted>2012-05-07T16:40:00Z</cp:lastPrinted>
  <dcterms:created xsi:type="dcterms:W3CDTF">2021-04-14T21:27:00Z</dcterms:created>
  <dcterms:modified xsi:type="dcterms:W3CDTF">2021-04-14T21:27:00Z</dcterms:modified>
</cp:coreProperties>
</file>