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B615" w14:textId="77777777" w:rsidR="00E64F28" w:rsidRPr="00A46734" w:rsidRDefault="00E64F28" w:rsidP="00400C84">
      <w:pPr>
        <w:pStyle w:val="Puesto"/>
        <w:outlineLvl w:val="0"/>
      </w:pPr>
      <w:r w:rsidRPr="00A46734">
        <w:t xml:space="preserve">RESOLUCIÓN DE RECURSO DE </w:t>
      </w:r>
      <w:r w:rsidR="00F05CB6" w:rsidRPr="00A46734">
        <w:t>IMPUGNACIÓN</w:t>
      </w:r>
      <w:r w:rsidRPr="00A46734">
        <w:t xml:space="preserve"> N</w:t>
      </w:r>
      <w:r w:rsidR="00FB772F" w:rsidRPr="00A46734">
        <w:t>° 009/20</w:t>
      </w:r>
    </w:p>
    <w:p w14:paraId="3CCB20FD" w14:textId="77777777" w:rsidR="00E64F28" w:rsidRPr="00A46734" w:rsidRDefault="00E64F28">
      <w:pPr>
        <w:rPr>
          <w:b/>
          <w:bCs/>
          <w:lang w:val="es-MX"/>
        </w:rPr>
      </w:pPr>
    </w:p>
    <w:p w14:paraId="57BD7030" w14:textId="77777777" w:rsidR="00FB772F" w:rsidRPr="00A46734" w:rsidRDefault="00FB772F">
      <w:pPr>
        <w:rPr>
          <w:b/>
          <w:bCs/>
          <w:lang w:val="es-MX"/>
        </w:rPr>
      </w:pPr>
    </w:p>
    <w:p w14:paraId="1985B8F5" w14:textId="77777777" w:rsidR="00E64F28" w:rsidRPr="00A46734" w:rsidRDefault="00F05CB6" w:rsidP="00400C84">
      <w:pPr>
        <w:jc w:val="both"/>
        <w:outlineLvl w:val="0"/>
        <w:rPr>
          <w:b/>
          <w:bCs/>
          <w:lang w:val="es-MX"/>
        </w:rPr>
      </w:pPr>
      <w:r w:rsidRPr="00A46734">
        <w:rPr>
          <w:b/>
          <w:bCs/>
          <w:lang w:val="es-MX"/>
        </w:rPr>
        <w:t>VISTOS:</w:t>
      </w:r>
    </w:p>
    <w:p w14:paraId="3A154879" w14:textId="77777777" w:rsidR="00E64F28" w:rsidRPr="00A46734" w:rsidRDefault="00E64F28">
      <w:pPr>
        <w:jc w:val="both"/>
        <w:rPr>
          <w:b/>
          <w:bCs/>
          <w:lang w:val="es-MX"/>
        </w:rPr>
      </w:pPr>
    </w:p>
    <w:p w14:paraId="5D8A3002" w14:textId="77777777" w:rsidR="00F60108" w:rsidRPr="00A46734" w:rsidRDefault="00E64F28">
      <w:pPr>
        <w:jc w:val="both"/>
        <w:rPr>
          <w:bCs/>
        </w:rPr>
      </w:pPr>
      <w:r w:rsidRPr="00A46734">
        <w:t>El recurso de</w:t>
      </w:r>
      <w:r w:rsidR="00191416" w:rsidRPr="00A46734">
        <w:t xml:space="preserve"> </w:t>
      </w:r>
      <w:r w:rsidR="00F05CB6" w:rsidRPr="00A46734">
        <w:t>impugnación</w:t>
      </w:r>
      <w:r w:rsidR="00191416" w:rsidRPr="00A46734">
        <w:t xml:space="preserve"> presentado</w:t>
      </w:r>
      <w:r w:rsidR="00A921BD" w:rsidRPr="00A46734">
        <w:t xml:space="preserve"> </w:t>
      </w:r>
      <w:r w:rsidRPr="00A46734">
        <w:t>por</w:t>
      </w:r>
      <w:r w:rsidR="009366A4" w:rsidRPr="00A46734">
        <w:t xml:space="preserve"> </w:t>
      </w:r>
      <w:r w:rsidR="00925DAF">
        <w:t>..................</w:t>
      </w:r>
      <w:r w:rsidR="00925DAF">
        <w:rPr>
          <w:rStyle w:val="normaltextrun"/>
        </w:rPr>
        <w:t xml:space="preserve">  </w:t>
      </w:r>
      <w:r w:rsidRPr="00A46734">
        <w:t>re</w:t>
      </w:r>
      <w:r w:rsidR="000149BA" w:rsidRPr="00A46734">
        <w:t>specto de la Resolución Nro.</w:t>
      </w:r>
      <w:r w:rsidR="00C56C62" w:rsidRPr="00A46734">
        <w:t xml:space="preserve"> </w:t>
      </w:r>
      <w:r w:rsidR="00EA0FB5" w:rsidRPr="00A46734">
        <w:t>146</w:t>
      </w:r>
      <w:r w:rsidR="00A01D42" w:rsidRPr="00A46734">
        <w:t>/</w:t>
      </w:r>
      <w:r w:rsidR="00970C13" w:rsidRPr="00A46734">
        <w:t>20</w:t>
      </w:r>
      <w:r w:rsidR="00A01D42" w:rsidRPr="00A46734">
        <w:t>1</w:t>
      </w:r>
      <w:r w:rsidR="00183F2E" w:rsidRPr="00A46734">
        <w:t>9</w:t>
      </w:r>
      <w:r w:rsidR="00EC5F7C" w:rsidRPr="00A46734">
        <w:t>,</w:t>
      </w:r>
      <w:r w:rsidR="000F1FEA" w:rsidRPr="00A46734">
        <w:t xml:space="preserve"> </w:t>
      </w:r>
      <w:r w:rsidR="000E19F5" w:rsidRPr="00A46734">
        <w:t xml:space="preserve">expedida por </w:t>
      </w:r>
      <w:r w:rsidR="00EA0FB5" w:rsidRPr="00A46734">
        <w:t>el Órgano Resolutivo Unipersonal de la</w:t>
      </w:r>
      <w:r w:rsidR="000E19F5" w:rsidRPr="00A46734">
        <w:t xml:space="preserve"> Defensoría del Asegurado y</w:t>
      </w:r>
      <w:r w:rsidR="00BF5EDD" w:rsidRPr="00A46734">
        <w:t>,</w:t>
      </w:r>
      <w:r w:rsidRPr="00A46734">
        <w:t xml:space="preserve"> conforme a l</w:t>
      </w:r>
      <w:r w:rsidR="00A667CA" w:rsidRPr="00A46734">
        <w:t>a cual se declaró</w:t>
      </w:r>
      <w:r w:rsidR="00D92993" w:rsidRPr="00A46734">
        <w:t xml:space="preserve"> </w:t>
      </w:r>
      <w:r w:rsidR="00DD5BC9" w:rsidRPr="00A46734">
        <w:t>IN</w:t>
      </w:r>
      <w:r w:rsidR="00D102AA" w:rsidRPr="00A46734">
        <w:t xml:space="preserve">FUNDADA </w:t>
      </w:r>
      <w:r w:rsidR="00191416" w:rsidRPr="00A46734">
        <w:t>l</w:t>
      </w:r>
      <w:r w:rsidR="00D102AA" w:rsidRPr="00A46734">
        <w:t>a</w:t>
      </w:r>
      <w:r w:rsidRPr="00A46734">
        <w:t xml:space="preserve"> reclam</w:t>
      </w:r>
      <w:r w:rsidR="00D102AA" w:rsidRPr="00A46734">
        <w:t>ación</w:t>
      </w:r>
      <w:r w:rsidR="00D2462D" w:rsidRPr="00A46734">
        <w:t xml:space="preserve"> </w:t>
      </w:r>
      <w:r w:rsidR="00C56C62" w:rsidRPr="00A46734">
        <w:t>interpuest</w:t>
      </w:r>
      <w:r w:rsidR="00D102AA" w:rsidRPr="00A46734">
        <w:t>a</w:t>
      </w:r>
      <w:r w:rsidR="00D2462D" w:rsidRPr="00A46734">
        <w:t xml:space="preserve"> </w:t>
      </w:r>
      <w:r w:rsidR="009366A4" w:rsidRPr="00A46734">
        <w:t>co</w:t>
      </w:r>
      <w:r w:rsidR="00DD5BC9" w:rsidRPr="00A46734">
        <w:t xml:space="preserve">ntra </w:t>
      </w:r>
      <w:r w:rsidR="00925DAF">
        <w:t>..................</w:t>
      </w:r>
      <w:r w:rsidR="00925DAF">
        <w:rPr>
          <w:rStyle w:val="normaltextrun"/>
        </w:rPr>
        <w:t xml:space="preserve"> </w:t>
      </w:r>
      <w:r w:rsidR="00DD5BC9" w:rsidRPr="00A46734">
        <w:t xml:space="preserve"> en relación al</w:t>
      </w:r>
      <w:r w:rsidR="002670D2" w:rsidRPr="00A46734">
        <w:rPr>
          <w:b/>
          <w:lang w:val="es-MX"/>
        </w:rPr>
        <w:t xml:space="preserve"> SEGURO DE </w:t>
      </w:r>
      <w:r w:rsidR="00EA0FB5" w:rsidRPr="00A46734">
        <w:rPr>
          <w:b/>
          <w:lang w:val="es-MX"/>
        </w:rPr>
        <w:t>PROTECCIÓN DE TARJETA</w:t>
      </w:r>
      <w:r w:rsidR="002670D2" w:rsidRPr="00A46734">
        <w:rPr>
          <w:b/>
          <w:lang w:val="es-MX"/>
        </w:rPr>
        <w:t xml:space="preserve"> - PÓLIZA No </w:t>
      </w:r>
      <w:r w:rsidR="00925DAF">
        <w:t>..................</w:t>
      </w:r>
      <w:r w:rsidR="00EA0FB5" w:rsidRPr="00A46734">
        <w:rPr>
          <w:bCs/>
          <w:lang w:val="es-MX"/>
        </w:rPr>
        <w:t>;</w:t>
      </w:r>
    </w:p>
    <w:p w14:paraId="1960A5B4" w14:textId="77777777" w:rsidR="00F60108" w:rsidRPr="00A46734" w:rsidRDefault="00F60108">
      <w:pPr>
        <w:jc w:val="both"/>
      </w:pPr>
    </w:p>
    <w:p w14:paraId="2BC1B03A" w14:textId="77777777" w:rsidR="00A351C6" w:rsidRPr="00A46734" w:rsidRDefault="00E64F28">
      <w:pPr>
        <w:pStyle w:val="Textoindependiente"/>
      </w:pPr>
      <w:r w:rsidRPr="00A46734">
        <w:t xml:space="preserve">Que, </w:t>
      </w:r>
      <w:r w:rsidR="0090008D" w:rsidRPr="00A46734">
        <w:t>el</w:t>
      </w:r>
      <w:r w:rsidRPr="00A46734">
        <w:t xml:space="preserve"> </w:t>
      </w:r>
      <w:r w:rsidR="0090008D" w:rsidRPr="00A46734">
        <w:t>indicado recurso se sustenta</w:t>
      </w:r>
      <w:r w:rsidR="00FE2DDD" w:rsidRPr="00A46734">
        <w:t xml:space="preserve"> </w:t>
      </w:r>
      <w:r w:rsidR="005A0CBC" w:rsidRPr="00A46734">
        <w:t xml:space="preserve">resumidamente en </w:t>
      </w:r>
      <w:r w:rsidR="00D102AA" w:rsidRPr="00A46734">
        <w:t>lo siguiente: (1)</w:t>
      </w:r>
      <w:r w:rsidR="00183F2E" w:rsidRPr="00A46734">
        <w:t xml:space="preserve"> </w:t>
      </w:r>
      <w:r w:rsidR="00EA0FB5" w:rsidRPr="00A46734">
        <w:t>por honradez y transparencia el asegurado desde el principio narró detalles innecesarios, pues lo que sí ocurrió fue un hurto sin violencia, ya que el desconocido tomó su tarjeta mientras el asegurado estuvo segundos frente al cajero, desapareciendo de inmediato llevándose su tarjeta; (2) se cometió un hurto en agravio del asegurado; (3) no se ha realizado una exhaustiva investigación para determinar el hurto que fue realmente lo sucedido.</w:t>
      </w:r>
    </w:p>
    <w:p w14:paraId="40925FA3" w14:textId="77777777" w:rsidR="00F05CB6" w:rsidRPr="00A46734" w:rsidRDefault="00F05CB6" w:rsidP="00F05CB6">
      <w:pPr>
        <w:pStyle w:val="Textoindependiente"/>
      </w:pPr>
    </w:p>
    <w:p w14:paraId="4A6BBD64" w14:textId="77777777" w:rsidR="00F05CB6" w:rsidRPr="00A46734" w:rsidRDefault="00E64F28" w:rsidP="00F05CB6">
      <w:pPr>
        <w:pStyle w:val="Textoindependiente"/>
      </w:pPr>
      <w:r w:rsidRPr="00A46734">
        <w:t xml:space="preserve">Que, </w:t>
      </w:r>
      <w:r w:rsidR="00C56C62" w:rsidRPr="00A46734">
        <w:t>l</w:t>
      </w:r>
      <w:r w:rsidR="0057512F" w:rsidRPr="00A46734">
        <w:t>a</w:t>
      </w:r>
      <w:r w:rsidR="0083474D" w:rsidRPr="00A46734">
        <w:t xml:space="preserve"> </w:t>
      </w:r>
      <w:r w:rsidR="004F3BE3" w:rsidRPr="00A46734">
        <w:t>aseguradora</w:t>
      </w:r>
      <w:r w:rsidR="008266C9" w:rsidRPr="00A46734">
        <w:t xml:space="preserve"> </w:t>
      </w:r>
      <w:r w:rsidR="00EA0FB5" w:rsidRPr="00A46734">
        <w:t xml:space="preserve">no </w:t>
      </w:r>
      <w:r w:rsidR="00841737" w:rsidRPr="00A46734">
        <w:t xml:space="preserve">absolvió </w:t>
      </w:r>
      <w:r w:rsidR="004F3BE3" w:rsidRPr="00A46734">
        <w:t xml:space="preserve">el traslado del </w:t>
      </w:r>
      <w:r w:rsidR="00801915" w:rsidRPr="00A46734">
        <w:t xml:space="preserve">recurso </w:t>
      </w:r>
      <w:r w:rsidR="004F3BE3" w:rsidRPr="00A46734">
        <w:t>impugnatorio</w:t>
      </w:r>
      <w:r w:rsidR="00EA0FB5" w:rsidRPr="00A46734">
        <w:t>.</w:t>
      </w:r>
    </w:p>
    <w:p w14:paraId="224D829E" w14:textId="77777777" w:rsidR="00664A65" w:rsidRPr="00A46734" w:rsidRDefault="00664A65">
      <w:pPr>
        <w:pStyle w:val="Textoindependiente"/>
      </w:pPr>
    </w:p>
    <w:p w14:paraId="1298A059" w14:textId="77777777" w:rsidR="00A206E5" w:rsidRPr="00A46734" w:rsidRDefault="00A206E5">
      <w:pPr>
        <w:pStyle w:val="Textoindependiente"/>
        <w:tabs>
          <w:tab w:val="left" w:pos="930"/>
        </w:tabs>
      </w:pPr>
      <w:r w:rsidRPr="00A46734">
        <w:t xml:space="preserve">Que, </w:t>
      </w:r>
      <w:r w:rsidR="00F36E16" w:rsidRPr="00A46734">
        <w:t xml:space="preserve">atendiendo a lo expuesto, </w:t>
      </w:r>
      <w:r w:rsidRPr="00A46734">
        <w:t xml:space="preserve">esta Defensoría </w:t>
      </w:r>
      <w:r w:rsidR="004B6936" w:rsidRPr="00A46734">
        <w:t>resuelve finalmente</w:t>
      </w:r>
      <w:r w:rsidRPr="00A46734">
        <w:t xml:space="preserve"> lo siguiente:</w:t>
      </w:r>
    </w:p>
    <w:p w14:paraId="044C2B9C" w14:textId="77777777" w:rsidR="00B604C0" w:rsidRPr="00A46734" w:rsidRDefault="00B604C0" w:rsidP="007E111C">
      <w:pPr>
        <w:jc w:val="both"/>
        <w:rPr>
          <w:b/>
          <w:u w:val="single"/>
          <w:lang w:val="es-PE"/>
        </w:rPr>
      </w:pPr>
    </w:p>
    <w:p w14:paraId="7931B8C4" w14:textId="77777777" w:rsidR="00E77A13" w:rsidRPr="00A46734" w:rsidRDefault="00E77A13" w:rsidP="00E77A13">
      <w:pPr>
        <w:jc w:val="both"/>
        <w:rPr>
          <w:lang w:val="es-PE"/>
        </w:rPr>
      </w:pPr>
      <w:r w:rsidRPr="00A46734">
        <w:rPr>
          <w:b/>
          <w:u w:val="single"/>
          <w:lang w:val="es-PE"/>
        </w:rPr>
        <w:t>PRIMERO</w:t>
      </w:r>
      <w:r w:rsidRPr="00A46734">
        <w:rPr>
          <w:b/>
          <w:lang w:val="es-PE"/>
        </w:rPr>
        <w:t>:</w:t>
      </w:r>
      <w:r w:rsidRPr="00A46734">
        <w:rPr>
          <w:lang w:val="es-PE"/>
        </w:rPr>
        <w:t xml:space="preserve"> El artículo 10 (Procedimiento) del Reglamento de la DEFASEG </w:t>
      </w:r>
      <w:r w:rsidRPr="00A46734">
        <w:rPr>
          <w:rFonts w:eastAsia="Arial Unicode MS"/>
          <w:lang w:val="es-PE"/>
        </w:rPr>
        <w:t>(http://www.defaseg.com.pe/reglamento)</w:t>
      </w:r>
      <w:r w:rsidRPr="00A46734">
        <w:rPr>
          <w:lang w:val="es-PE"/>
        </w:rPr>
        <w:t xml:space="preserve"> establece que cualquiera de las partes que no se encuentre de acuerdo con la decisión adoptada por el colegiado sobre la materia reclamada, podrá impugnarla, interponiendo el correspondiente recurso de impugnación.  </w:t>
      </w:r>
    </w:p>
    <w:p w14:paraId="038A20C8" w14:textId="77777777" w:rsidR="00E77A13" w:rsidRPr="00A46734" w:rsidRDefault="00E77A13" w:rsidP="00E77A13">
      <w:pPr>
        <w:jc w:val="both"/>
        <w:rPr>
          <w:lang w:val="es-PE"/>
        </w:rPr>
      </w:pPr>
    </w:p>
    <w:p w14:paraId="65184995" w14:textId="77777777" w:rsidR="00E77A13" w:rsidRPr="00A46734" w:rsidRDefault="00E77A13" w:rsidP="00E77A13">
      <w:pPr>
        <w:jc w:val="both"/>
        <w:rPr>
          <w:bCs/>
        </w:rPr>
      </w:pPr>
      <w:r w:rsidRPr="00A46734">
        <w:rPr>
          <w:lang w:val="es-PE"/>
        </w:rPr>
        <w:t xml:space="preserve">Conforme a ello, en el caso concreto, el reclamante </w:t>
      </w:r>
      <w:r w:rsidRPr="00A46734">
        <w:rPr>
          <w:bCs/>
        </w:rPr>
        <w:t xml:space="preserve">sustenta su impugnación </w:t>
      </w:r>
      <w:r w:rsidR="00F0106F" w:rsidRPr="00A46734">
        <w:rPr>
          <w:bCs/>
        </w:rPr>
        <w:t xml:space="preserve">al considerar que la resolución impugnada contiene un error al apreciar </w:t>
      </w:r>
      <w:r w:rsidR="00EA0FB5" w:rsidRPr="00A46734">
        <w:rPr>
          <w:bCs/>
        </w:rPr>
        <w:t>los hechos materia del siniestro</w:t>
      </w:r>
      <w:r w:rsidRPr="00A46734">
        <w:rPr>
          <w:bCs/>
        </w:rPr>
        <w:t>.</w:t>
      </w:r>
    </w:p>
    <w:p w14:paraId="6FCBCA6B" w14:textId="77777777" w:rsidR="00E77A13" w:rsidRPr="00A46734" w:rsidRDefault="00E77A13" w:rsidP="00E77A13">
      <w:pPr>
        <w:jc w:val="both"/>
        <w:rPr>
          <w:bCs/>
        </w:rPr>
      </w:pPr>
    </w:p>
    <w:p w14:paraId="78215D49" w14:textId="77777777" w:rsidR="00E77A13" w:rsidRPr="00A46734" w:rsidRDefault="00E77A13" w:rsidP="00E77A13">
      <w:pPr>
        <w:pStyle w:val="Textoindependiente"/>
      </w:pPr>
      <w:r w:rsidRPr="00A46734">
        <w:rPr>
          <w:bCs w:val="0"/>
        </w:rPr>
        <w:t>En efecto, el recurrente sostiene que</w:t>
      </w:r>
      <w:r w:rsidRPr="00A46734">
        <w:t xml:space="preserve"> </w:t>
      </w:r>
      <w:r w:rsidR="00F0106F" w:rsidRPr="00A46734">
        <w:t xml:space="preserve">en </w:t>
      </w:r>
      <w:r w:rsidR="00EA0FB5" w:rsidRPr="00A46734">
        <w:t>realidad fue víctima de un hurto</w:t>
      </w:r>
      <w:r w:rsidRPr="00A46734">
        <w:t>.</w:t>
      </w:r>
    </w:p>
    <w:p w14:paraId="3304A172" w14:textId="77777777" w:rsidR="00E77A13" w:rsidRPr="00A46734" w:rsidRDefault="00E77A13" w:rsidP="00E77A13">
      <w:pPr>
        <w:pStyle w:val="Textoindependiente"/>
        <w:tabs>
          <w:tab w:val="left" w:pos="0"/>
          <w:tab w:val="left" w:pos="720"/>
        </w:tabs>
        <w:rPr>
          <w:u w:val="single"/>
          <w:lang w:val="es-PE"/>
        </w:rPr>
      </w:pPr>
    </w:p>
    <w:p w14:paraId="53B269DB" w14:textId="77777777" w:rsidR="00EA0FB5" w:rsidRPr="00A46734" w:rsidRDefault="00E77A13" w:rsidP="00E77A13">
      <w:pPr>
        <w:jc w:val="both"/>
        <w:rPr>
          <w:bCs/>
        </w:rPr>
      </w:pPr>
      <w:r w:rsidRPr="00A46734">
        <w:rPr>
          <w:b/>
          <w:bCs/>
          <w:u w:val="single"/>
        </w:rPr>
        <w:t>SEGUNDO</w:t>
      </w:r>
      <w:r w:rsidRPr="00A46734">
        <w:rPr>
          <w:b/>
          <w:bCs/>
        </w:rPr>
        <w:t>:</w:t>
      </w:r>
      <w:r w:rsidRPr="00A46734">
        <w:rPr>
          <w:bCs/>
        </w:rPr>
        <w:t xml:space="preserve"> Que, </w:t>
      </w:r>
      <w:r w:rsidR="00F0106F" w:rsidRPr="00A46734">
        <w:rPr>
          <w:bCs/>
        </w:rPr>
        <w:t xml:space="preserve">conforme al octavo considerando de la resolución impugnada, el </w:t>
      </w:r>
      <w:r w:rsidR="00EA0FB5" w:rsidRPr="00A46734">
        <w:rPr>
          <w:bCs/>
        </w:rPr>
        <w:t>Órgano Resolutivo Unipersonal verificó que no forma parte de las coberturas de dicho seguro el uso indebido que sea consecuencia de una entrega voluntaria de la respectiva tarjeta producto de una estafa o engaño, como la que ocurre en la modalidad de “cambiazo”.</w:t>
      </w:r>
    </w:p>
    <w:p w14:paraId="7E93CF6C" w14:textId="77777777" w:rsidR="00EA0FB5" w:rsidRPr="00A46734" w:rsidRDefault="00EA0FB5" w:rsidP="00E77A13">
      <w:pPr>
        <w:jc w:val="both"/>
        <w:rPr>
          <w:bCs/>
        </w:rPr>
      </w:pPr>
    </w:p>
    <w:p w14:paraId="07894C69" w14:textId="77777777" w:rsidR="00BD2459" w:rsidRPr="00A46734" w:rsidRDefault="00EA0FB5" w:rsidP="00E77A13">
      <w:pPr>
        <w:jc w:val="both"/>
        <w:rPr>
          <w:bCs/>
        </w:rPr>
      </w:pPr>
      <w:r w:rsidRPr="00A46734">
        <w:rPr>
          <w:bCs/>
        </w:rPr>
        <w:t xml:space="preserve">Asimismo, el </w:t>
      </w:r>
      <w:r w:rsidR="007D2454" w:rsidRPr="00A46734">
        <w:rPr>
          <w:bCs/>
        </w:rPr>
        <w:t>Ó</w:t>
      </w:r>
      <w:r w:rsidRPr="00A46734">
        <w:rPr>
          <w:bCs/>
        </w:rPr>
        <w:t xml:space="preserve">rgano Resolutivo Unipersonal que expidió la </w:t>
      </w:r>
      <w:r w:rsidR="00BD2459" w:rsidRPr="00A46734">
        <w:rPr>
          <w:bCs/>
        </w:rPr>
        <w:t>Resolución N° 146/129 materia de impugnación, apreció que en el presente caso no ha mediado una sustracción de la tarjeta con o sin violencia (robo o hurto), sino que la pérdida es producto de la entrega voluntaria de la tarjeta a un tercero.</w:t>
      </w:r>
    </w:p>
    <w:p w14:paraId="39451A75" w14:textId="77777777" w:rsidR="00BD2459" w:rsidRPr="00A46734" w:rsidRDefault="00BD2459" w:rsidP="00E77A13">
      <w:pPr>
        <w:jc w:val="both"/>
        <w:rPr>
          <w:bCs/>
        </w:rPr>
      </w:pPr>
    </w:p>
    <w:p w14:paraId="2B14CAD4" w14:textId="77777777" w:rsidR="00F0106F" w:rsidRPr="00A46734" w:rsidRDefault="00BD2459" w:rsidP="00E77A13">
      <w:pPr>
        <w:jc w:val="both"/>
        <w:rPr>
          <w:bCs/>
        </w:rPr>
      </w:pPr>
      <w:r w:rsidRPr="00A46734">
        <w:rPr>
          <w:bCs/>
        </w:rPr>
        <w:t xml:space="preserve">En efecto, el </w:t>
      </w:r>
      <w:r w:rsidR="00F0106F" w:rsidRPr="00A46734">
        <w:rPr>
          <w:bCs/>
        </w:rPr>
        <w:t xml:space="preserve">Colegiado </w:t>
      </w:r>
      <w:r w:rsidRPr="00A46734">
        <w:rPr>
          <w:bCs/>
        </w:rPr>
        <w:t xml:space="preserve">verifica </w:t>
      </w:r>
      <w:r w:rsidR="00F0106F" w:rsidRPr="00A46734">
        <w:rPr>
          <w:bCs/>
        </w:rPr>
        <w:t xml:space="preserve">que </w:t>
      </w:r>
      <w:r w:rsidRPr="00A46734">
        <w:rPr>
          <w:bCs/>
        </w:rPr>
        <w:t>la evaluación fáctica del caso se sustenta en la declaración espontánea formulada por el reclamante ante la Policía Nacional del Perú, según la cual, conforme al propio relato del asegurado, se acredita que este fue víctima de un engaño que motivó la entrega voluntaria de su tarjeta a un tercero. Es así que en la Denuncia Policial de fecha 06 de julio de 2019 se registran los hechos ocurridos en los siguientes términos</w:t>
      </w:r>
      <w:r w:rsidR="00F0106F" w:rsidRPr="00A46734">
        <w:rPr>
          <w:bCs/>
        </w:rPr>
        <w:t>:</w:t>
      </w:r>
    </w:p>
    <w:p w14:paraId="57B5F610" w14:textId="77777777" w:rsidR="00BD2459" w:rsidRPr="00A46734" w:rsidRDefault="00BD2459" w:rsidP="00E77A13">
      <w:pPr>
        <w:jc w:val="both"/>
        <w:rPr>
          <w:bCs/>
        </w:rPr>
      </w:pPr>
    </w:p>
    <w:p w14:paraId="7AADB5DA" w14:textId="77777777" w:rsidR="00BD2459" w:rsidRPr="00A46734" w:rsidRDefault="00BD2459" w:rsidP="00BD2459">
      <w:pPr>
        <w:ind w:left="708"/>
        <w:jc w:val="both"/>
        <w:rPr>
          <w:bCs/>
          <w:i/>
          <w:iCs/>
        </w:rPr>
      </w:pPr>
      <w:r w:rsidRPr="00A46734">
        <w:rPr>
          <w:bCs/>
          <w:i/>
          <w:iCs/>
        </w:rPr>
        <w:t xml:space="preserve">“Siendo la hora y fecha anotadas, se presentó el denunciante, manifestando haber sido víctima de hurto de dinero, hecho ocurrido en circunstancias que el recurrente ingresó al cajero del Banco </w:t>
      </w:r>
      <w:r w:rsidR="00925DAF">
        <w:t>..................</w:t>
      </w:r>
      <w:r w:rsidR="00925DAF">
        <w:rPr>
          <w:rStyle w:val="normaltextrun"/>
        </w:rPr>
        <w:t xml:space="preserve"> </w:t>
      </w:r>
      <w:r w:rsidRPr="00A46734">
        <w:rPr>
          <w:bCs/>
          <w:i/>
          <w:iCs/>
        </w:rPr>
        <w:t xml:space="preserve"> ubicado en la Av. Emancipación con el Jr. Camaná del Cercado de Lima, con la finalidad de retirar dinero, haciendo su cola para retirar dinero del cajero circunstancia, que al llegar su turno ingresa su tarjeta al cajero para retirar dinero marca su clave y no sale nada de dinero, y un sujeto que se encontraba a su espalda le manifiesta que prueba con su tarjeta y le da su tarjeta, entregándole su tarjeta al sujeto, e intenta nuevamente sin resultado alguno, siendo así que el sujeto se retira sin que se percate el recurrente, y luego se da cuenta que le realizaron el cambiazo de tarjeta</w:t>
      </w:r>
      <w:r w:rsidR="007D2454" w:rsidRPr="00A46734">
        <w:rPr>
          <w:bCs/>
          <w:i/>
          <w:iCs/>
        </w:rPr>
        <w:t xml:space="preserve">, bloqueando su tarjeta inmediatamente llegándoles un mensaje a su celular de su caso ha sido registrado con el número de reclamo </w:t>
      </w:r>
      <w:r w:rsidR="00925DAF">
        <w:t>..................</w:t>
      </w:r>
      <w:r w:rsidR="007D2454" w:rsidRPr="00A46734">
        <w:rPr>
          <w:bCs/>
          <w:i/>
          <w:iCs/>
        </w:rPr>
        <w:t>, motivo por el cual denuncia ante la PNP para los fines del caso”.</w:t>
      </w:r>
    </w:p>
    <w:p w14:paraId="75265791" w14:textId="77777777" w:rsidR="00F0106F" w:rsidRPr="00A46734" w:rsidRDefault="00F0106F" w:rsidP="00E77A13">
      <w:pPr>
        <w:jc w:val="both"/>
        <w:rPr>
          <w:bCs/>
        </w:rPr>
      </w:pPr>
    </w:p>
    <w:p w14:paraId="5AFA3AC1" w14:textId="77777777" w:rsidR="007D2454" w:rsidRPr="00A46734" w:rsidRDefault="007D2454" w:rsidP="00E77A13">
      <w:pPr>
        <w:jc w:val="both"/>
        <w:rPr>
          <w:bCs/>
        </w:rPr>
      </w:pPr>
      <w:r w:rsidRPr="00A46734">
        <w:rPr>
          <w:bCs/>
        </w:rPr>
        <w:t>De la propia declaración del reclamante, se evidencia que el asegurado no fue víctima de hurto ni de robo de su tarjeta, sino de una pérdida por entrega bajo un engaño que materializó el cambio de tarjeta.</w:t>
      </w:r>
    </w:p>
    <w:p w14:paraId="4CACD94D" w14:textId="77777777" w:rsidR="00EF1DD7" w:rsidRPr="00A46734" w:rsidRDefault="00EF1DD7" w:rsidP="00E77A13">
      <w:pPr>
        <w:jc w:val="both"/>
      </w:pPr>
    </w:p>
    <w:p w14:paraId="1E193AFD" w14:textId="77777777" w:rsidR="00EF1DD7" w:rsidRPr="00A46734" w:rsidRDefault="00EF1DD7" w:rsidP="00E77A13">
      <w:pPr>
        <w:jc w:val="both"/>
      </w:pPr>
      <w:r w:rsidRPr="00A46734">
        <w:t xml:space="preserve">En esa medida, para el Colegiado </w:t>
      </w:r>
      <w:r w:rsidR="007D2454" w:rsidRPr="00A46734">
        <w:t>conforme se concluye en la resolución impugnada, en el presente caso no se ha probado el supuesto de hecho que materializa la cobertura de “Uso Indebido de la Tarjeta de Crédito y/o Débito por Robo y/o Secuestro y/o Extravío y/o Hurto en cajeros automáticos y/o casas comerciales”. Es decir, no se ha demostrado la existencia de un siniestro que deba ser indemnizado bajo el seguro contratado</w:t>
      </w:r>
      <w:r w:rsidRPr="00A46734">
        <w:t>.</w:t>
      </w:r>
    </w:p>
    <w:p w14:paraId="48F8B17C" w14:textId="77777777" w:rsidR="00EF1DD7" w:rsidRPr="00A46734" w:rsidRDefault="00EF1DD7" w:rsidP="00E77A13">
      <w:pPr>
        <w:jc w:val="both"/>
      </w:pPr>
    </w:p>
    <w:p w14:paraId="07BDB705" w14:textId="77777777" w:rsidR="00E77A13" w:rsidRPr="00A46734" w:rsidRDefault="00AB69C1" w:rsidP="00E77A13">
      <w:pPr>
        <w:jc w:val="both"/>
        <w:rPr>
          <w:bCs/>
        </w:rPr>
      </w:pPr>
      <w:r w:rsidRPr="00A46734">
        <w:rPr>
          <w:bCs/>
        </w:rPr>
        <w:t xml:space="preserve">Atendiendo a lo anterior, se concluye que no existe </w:t>
      </w:r>
      <w:r w:rsidR="00E77A13" w:rsidRPr="00A46734">
        <w:rPr>
          <w:bCs/>
        </w:rPr>
        <w:t xml:space="preserve">error </w:t>
      </w:r>
      <w:r w:rsidRPr="00A46734">
        <w:rPr>
          <w:bCs/>
        </w:rPr>
        <w:t>ni</w:t>
      </w:r>
      <w:r w:rsidR="00E77A13" w:rsidRPr="00A46734">
        <w:rPr>
          <w:bCs/>
        </w:rPr>
        <w:t xml:space="preserve"> nueva prueba que contradiga el sustento fáctico de la decisión adoptada por el </w:t>
      </w:r>
      <w:r w:rsidR="007D2454" w:rsidRPr="00A46734">
        <w:rPr>
          <w:bCs/>
        </w:rPr>
        <w:t>Órgano Resolutivo Unipersonal que expidió la Resolución N° 146/129</w:t>
      </w:r>
      <w:r w:rsidR="00E77A13" w:rsidRPr="00A46734">
        <w:rPr>
          <w:bCs/>
        </w:rPr>
        <w:t xml:space="preserve">. </w:t>
      </w:r>
    </w:p>
    <w:p w14:paraId="1422ED8C" w14:textId="77777777" w:rsidR="00E77A13" w:rsidRPr="00A46734" w:rsidRDefault="00E77A13" w:rsidP="00E77A13">
      <w:pPr>
        <w:tabs>
          <w:tab w:val="left" w:pos="709"/>
          <w:tab w:val="left" w:pos="2160"/>
        </w:tabs>
        <w:ind w:left="709" w:hanging="709"/>
        <w:jc w:val="both"/>
        <w:rPr>
          <w:lang w:val="es-PE"/>
        </w:rPr>
      </w:pPr>
    </w:p>
    <w:p w14:paraId="1AFFC637" w14:textId="77777777" w:rsidR="00E77A13" w:rsidRPr="00A46734" w:rsidRDefault="00E77A13" w:rsidP="00E77A13">
      <w:pPr>
        <w:jc w:val="both"/>
        <w:rPr>
          <w:bCs/>
        </w:rPr>
      </w:pPr>
      <w:r w:rsidRPr="00A46734">
        <w:rPr>
          <w:bCs/>
        </w:rPr>
        <w:t>En ese sentido, el colegiado reitera su convicción que, de los antecedentes fácticos del caso, se verifican pruebas razonables en el sentido que existen razones fundadas para estimar que el rechazo de cobertura es legítimo.</w:t>
      </w:r>
    </w:p>
    <w:p w14:paraId="6163E1DA" w14:textId="77777777" w:rsidR="00E77A13" w:rsidRPr="00A46734" w:rsidRDefault="00E77A13" w:rsidP="00E77A13">
      <w:pPr>
        <w:jc w:val="both"/>
        <w:rPr>
          <w:bCs/>
        </w:rPr>
      </w:pPr>
    </w:p>
    <w:p w14:paraId="4FDC5909" w14:textId="77777777" w:rsidR="00E77A13" w:rsidRPr="00A46734" w:rsidRDefault="00E77A13" w:rsidP="00E77A13">
      <w:pPr>
        <w:jc w:val="both"/>
      </w:pPr>
      <w:r w:rsidRPr="00A46734">
        <w:rPr>
          <w:b/>
          <w:u w:val="single"/>
        </w:rPr>
        <w:t>TERCERO</w:t>
      </w:r>
      <w:r w:rsidRPr="00A46734">
        <w:rPr>
          <w:b/>
        </w:rPr>
        <w:t>:</w:t>
      </w:r>
      <w:r w:rsidRPr="00A46734">
        <w:t xml:space="preserve"> En atención a las consideraciones precedentes, este colegiado aprecia finalmente que no se ha evidenciado nueva prueba ni error ni falta de motivación, por lo que no existe mérito suficiente ni razón objetiva para revocar la resolución recurrida.</w:t>
      </w:r>
    </w:p>
    <w:p w14:paraId="53509D3D" w14:textId="77777777" w:rsidR="00E77A13" w:rsidRPr="00A46734" w:rsidRDefault="00E77A13" w:rsidP="00E77A13">
      <w:pPr>
        <w:jc w:val="both"/>
      </w:pPr>
    </w:p>
    <w:p w14:paraId="56AD075F" w14:textId="77777777" w:rsidR="00FB772F" w:rsidRPr="00A46734" w:rsidRDefault="00FB772F" w:rsidP="00E77A13">
      <w:pPr>
        <w:jc w:val="both"/>
        <w:rPr>
          <w:b/>
        </w:rPr>
      </w:pPr>
    </w:p>
    <w:p w14:paraId="4700BC06" w14:textId="77777777" w:rsidR="00E77A13" w:rsidRPr="00A46734" w:rsidRDefault="00E77A13" w:rsidP="00E77A13">
      <w:pPr>
        <w:jc w:val="both"/>
        <w:rPr>
          <w:b/>
        </w:rPr>
      </w:pPr>
      <w:r w:rsidRPr="00A46734">
        <w:rPr>
          <w:b/>
        </w:rPr>
        <w:t>RESUELVE:</w:t>
      </w:r>
    </w:p>
    <w:p w14:paraId="023A1D55" w14:textId="77777777" w:rsidR="00E77A13" w:rsidRPr="00A46734" w:rsidRDefault="00E77A13" w:rsidP="00E77A13">
      <w:pPr>
        <w:jc w:val="both"/>
      </w:pPr>
    </w:p>
    <w:p w14:paraId="0A83EF9E" w14:textId="77777777" w:rsidR="00E77A13" w:rsidRPr="00A46734" w:rsidRDefault="00E77A13" w:rsidP="00E77A13">
      <w:pPr>
        <w:jc w:val="both"/>
      </w:pPr>
      <w:r w:rsidRPr="00A46734">
        <w:rPr>
          <w:rFonts w:eastAsia="Arial Unicode MS"/>
          <w:b/>
        </w:rPr>
        <w:t xml:space="preserve">Declarar INFUNDADO el recurso de impugnación interpuesto y, por consiguiente, CONFIRMAR la Resolución Nro. </w:t>
      </w:r>
      <w:r w:rsidR="007D2454" w:rsidRPr="00A46734">
        <w:rPr>
          <w:rFonts w:eastAsia="Arial Unicode MS"/>
          <w:b/>
        </w:rPr>
        <w:t>146</w:t>
      </w:r>
      <w:r w:rsidRPr="00A46734">
        <w:rPr>
          <w:rFonts w:eastAsia="Arial Unicode MS"/>
          <w:b/>
        </w:rPr>
        <w:t>/1</w:t>
      </w:r>
      <w:r w:rsidR="000A6442" w:rsidRPr="00A46734">
        <w:rPr>
          <w:rFonts w:eastAsia="Arial Unicode MS"/>
          <w:b/>
        </w:rPr>
        <w:t>9</w:t>
      </w:r>
      <w:r w:rsidRPr="00A46734">
        <w:t>.</w:t>
      </w:r>
    </w:p>
    <w:p w14:paraId="028C3A8D" w14:textId="77777777" w:rsidR="00E77A13" w:rsidRPr="00A46734" w:rsidRDefault="00E77A13" w:rsidP="00E77A13">
      <w:pPr>
        <w:jc w:val="both"/>
      </w:pPr>
    </w:p>
    <w:p w14:paraId="58AED587" w14:textId="77777777" w:rsidR="00E77A13" w:rsidRPr="00A46734" w:rsidRDefault="00E77A13" w:rsidP="00E77A13">
      <w:pPr>
        <w:jc w:val="both"/>
      </w:pPr>
    </w:p>
    <w:p w14:paraId="46429455" w14:textId="77777777" w:rsidR="00E77A13" w:rsidRPr="00A46734" w:rsidRDefault="00E77A13" w:rsidP="00E77A13">
      <w:pPr>
        <w:jc w:val="right"/>
        <w:rPr>
          <w:rFonts w:eastAsia="Arial Unicode MS"/>
        </w:rPr>
      </w:pPr>
      <w:r w:rsidRPr="00A46734">
        <w:rPr>
          <w:rFonts w:eastAsia="Arial Unicode MS"/>
        </w:rPr>
        <w:t>Lima,</w:t>
      </w:r>
      <w:r w:rsidR="004737F6" w:rsidRPr="00A46734">
        <w:rPr>
          <w:rFonts w:eastAsia="Arial Unicode MS"/>
        </w:rPr>
        <w:t xml:space="preserve"> 11 </w:t>
      </w:r>
      <w:r w:rsidRPr="00A46734">
        <w:rPr>
          <w:rFonts w:eastAsia="Arial Unicode MS"/>
        </w:rPr>
        <w:t xml:space="preserve">de </w:t>
      </w:r>
      <w:r w:rsidR="007D2454" w:rsidRPr="00A46734">
        <w:rPr>
          <w:rFonts w:eastAsia="Arial Unicode MS"/>
        </w:rPr>
        <w:t>febrero</w:t>
      </w:r>
      <w:r w:rsidRPr="00A46734">
        <w:rPr>
          <w:rFonts w:eastAsia="Arial Unicode MS"/>
        </w:rPr>
        <w:t xml:space="preserve"> de 20</w:t>
      </w:r>
      <w:r w:rsidR="007D2454" w:rsidRPr="00A46734">
        <w:rPr>
          <w:rFonts w:eastAsia="Arial Unicode MS"/>
        </w:rPr>
        <w:t>20</w:t>
      </w:r>
    </w:p>
    <w:p w14:paraId="0341673C" w14:textId="77777777" w:rsidR="004737F6" w:rsidRPr="00A46734" w:rsidRDefault="004737F6" w:rsidP="004737F6">
      <w:pPr>
        <w:rPr>
          <w:rFonts w:eastAsia="Arial Unicode MS"/>
        </w:rPr>
      </w:pPr>
    </w:p>
    <w:p w14:paraId="7F2220EA" w14:textId="77777777" w:rsidR="004737F6" w:rsidRPr="00A46734" w:rsidRDefault="004737F6" w:rsidP="004737F6">
      <w:pPr>
        <w:rPr>
          <w:rFonts w:eastAsia="Arial Unicode MS"/>
        </w:rPr>
      </w:pPr>
    </w:p>
    <w:p w14:paraId="5B55B316" w14:textId="77777777" w:rsidR="004737F6" w:rsidRPr="00A46734" w:rsidRDefault="004737F6" w:rsidP="004737F6">
      <w:pPr>
        <w:rPr>
          <w:rFonts w:eastAsia="Arial Unicode MS"/>
        </w:rPr>
      </w:pPr>
    </w:p>
    <w:p w14:paraId="01C42A23" w14:textId="77777777" w:rsidR="004737F6" w:rsidRPr="00A46734" w:rsidRDefault="004737F6" w:rsidP="004737F6">
      <w:pPr>
        <w:rPr>
          <w:rFonts w:eastAsia="Arial Unicode MS"/>
        </w:rPr>
      </w:pPr>
    </w:p>
    <w:p w14:paraId="5D913DB4" w14:textId="77777777" w:rsidR="004737F6" w:rsidRPr="00A46734" w:rsidRDefault="004737F6" w:rsidP="004737F6"/>
    <w:p w14:paraId="27F91D0D" w14:textId="77777777" w:rsidR="004737F6" w:rsidRPr="00A46734" w:rsidRDefault="004737F6" w:rsidP="004737F6">
      <w:pPr>
        <w:ind w:left="1416" w:hanging="1416"/>
      </w:pPr>
      <w:r w:rsidRPr="00A46734">
        <w:t xml:space="preserve">María Eugenia Valdez Fernández Baca </w:t>
      </w:r>
      <w:r w:rsidRPr="00A46734">
        <w:tab/>
      </w:r>
      <w:r w:rsidRPr="00A46734">
        <w:tab/>
      </w:r>
      <w:r w:rsidRPr="00A46734">
        <w:tab/>
        <w:t>Marco Antonio Ortega Piana</w:t>
      </w:r>
      <w:r w:rsidRPr="00A46734">
        <w:tab/>
        <w:t xml:space="preserve">                                Presidente</w:t>
      </w:r>
      <w:r w:rsidRPr="00A46734">
        <w:tab/>
      </w:r>
      <w:r w:rsidRPr="00A46734">
        <w:tab/>
      </w:r>
      <w:r w:rsidRPr="00A46734">
        <w:tab/>
      </w:r>
      <w:r w:rsidRPr="00A46734">
        <w:tab/>
      </w:r>
      <w:r w:rsidRPr="00A46734">
        <w:tab/>
        <w:t xml:space="preserve">     Vocal                                   </w:t>
      </w:r>
    </w:p>
    <w:p w14:paraId="1ADC5377" w14:textId="77777777" w:rsidR="004737F6" w:rsidRPr="00A46734" w:rsidRDefault="004737F6" w:rsidP="004737F6"/>
    <w:p w14:paraId="117ACA9C" w14:textId="77777777" w:rsidR="004737F6" w:rsidRPr="00A46734" w:rsidRDefault="004737F6" w:rsidP="004737F6"/>
    <w:p w14:paraId="2EBB7600" w14:textId="77777777" w:rsidR="004737F6" w:rsidRPr="00A46734" w:rsidRDefault="004737F6" w:rsidP="004737F6"/>
    <w:p w14:paraId="68AAA1BC" w14:textId="77777777" w:rsidR="004737F6" w:rsidRPr="00A46734" w:rsidRDefault="004737F6" w:rsidP="004737F6"/>
    <w:p w14:paraId="750B8AED" w14:textId="77777777" w:rsidR="004737F6" w:rsidRPr="00A46734" w:rsidRDefault="004737F6" w:rsidP="004737F6">
      <w:pPr>
        <w:jc w:val="center"/>
      </w:pPr>
      <w:r w:rsidRPr="00A46734">
        <w:t>Gonzalo Abad del Busto</w:t>
      </w:r>
    </w:p>
    <w:p w14:paraId="56DD99F0" w14:textId="77777777" w:rsidR="004737F6" w:rsidRPr="00A46734" w:rsidRDefault="004737F6" w:rsidP="004737F6">
      <w:pPr>
        <w:jc w:val="center"/>
      </w:pPr>
      <w:r w:rsidRPr="00A46734">
        <w:t>Vocal</w:t>
      </w:r>
    </w:p>
    <w:p w14:paraId="0E675F23" w14:textId="77777777" w:rsidR="00E77A13" w:rsidRPr="00A46734" w:rsidRDefault="00E77A13" w:rsidP="00E77A13">
      <w:pPr>
        <w:autoSpaceDE w:val="0"/>
        <w:jc w:val="right"/>
      </w:pPr>
      <w:r w:rsidRPr="00A46734">
        <w:rPr>
          <w:lang w:val="es-MX"/>
        </w:rPr>
        <w:t xml:space="preserve"> </w:t>
      </w:r>
      <w:r w:rsidRPr="00A46734">
        <w:t xml:space="preserve"> </w:t>
      </w:r>
    </w:p>
    <w:p w14:paraId="2EB9781D" w14:textId="77777777" w:rsidR="00E77A13" w:rsidRPr="00A46734" w:rsidRDefault="00E77A13" w:rsidP="007E111C">
      <w:pPr>
        <w:jc w:val="both"/>
        <w:rPr>
          <w:b/>
          <w:u w:val="single"/>
          <w:lang w:val="es-PE"/>
        </w:rPr>
      </w:pPr>
    </w:p>
    <w:sectPr w:rsidR="00E77A13" w:rsidRPr="00A46734" w:rsidSect="00FB772F">
      <w:footerReference w:type="default" r:id="rId7"/>
      <w:pgSz w:w="11906" w:h="16838"/>
      <w:pgMar w:top="1843"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5E5F" w14:textId="77777777" w:rsidR="00B54FAB" w:rsidRDefault="00B54FAB">
      <w:r>
        <w:separator/>
      </w:r>
    </w:p>
  </w:endnote>
  <w:endnote w:type="continuationSeparator" w:id="0">
    <w:p w14:paraId="6311704B" w14:textId="77777777" w:rsidR="00B54FAB" w:rsidRDefault="00B5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CC24" w14:textId="77777777" w:rsidR="00A46734" w:rsidRPr="00A46734" w:rsidRDefault="00A46734">
    <w:pPr>
      <w:pStyle w:val="Piedepgina"/>
      <w:jc w:val="right"/>
      <w:rPr>
        <w:sz w:val="18"/>
        <w:szCs w:val="18"/>
      </w:rPr>
    </w:pPr>
    <w:r w:rsidRPr="00A46734">
      <w:rPr>
        <w:sz w:val="18"/>
        <w:szCs w:val="18"/>
      </w:rPr>
      <w:t xml:space="preserve">Página </w:t>
    </w:r>
    <w:r w:rsidRPr="00A46734">
      <w:rPr>
        <w:b/>
        <w:bCs/>
        <w:sz w:val="18"/>
        <w:szCs w:val="18"/>
      </w:rPr>
      <w:fldChar w:fldCharType="begin"/>
    </w:r>
    <w:r w:rsidRPr="00A46734">
      <w:rPr>
        <w:b/>
        <w:bCs/>
        <w:sz w:val="18"/>
        <w:szCs w:val="18"/>
      </w:rPr>
      <w:instrText>PAGE</w:instrText>
    </w:r>
    <w:r w:rsidRPr="00A46734">
      <w:rPr>
        <w:b/>
        <w:bCs/>
        <w:sz w:val="18"/>
        <w:szCs w:val="18"/>
      </w:rPr>
      <w:fldChar w:fldCharType="separate"/>
    </w:r>
    <w:r w:rsidRPr="00A46734">
      <w:rPr>
        <w:b/>
        <w:bCs/>
        <w:sz w:val="18"/>
        <w:szCs w:val="18"/>
      </w:rPr>
      <w:t>2</w:t>
    </w:r>
    <w:r w:rsidRPr="00A46734">
      <w:rPr>
        <w:b/>
        <w:bCs/>
        <w:sz w:val="18"/>
        <w:szCs w:val="18"/>
      </w:rPr>
      <w:fldChar w:fldCharType="end"/>
    </w:r>
    <w:r w:rsidRPr="00A46734">
      <w:rPr>
        <w:sz w:val="18"/>
        <w:szCs w:val="18"/>
      </w:rPr>
      <w:t xml:space="preserve"> de </w:t>
    </w:r>
    <w:r w:rsidRPr="00A46734">
      <w:rPr>
        <w:b/>
        <w:bCs/>
        <w:sz w:val="18"/>
        <w:szCs w:val="18"/>
      </w:rPr>
      <w:fldChar w:fldCharType="begin"/>
    </w:r>
    <w:r w:rsidRPr="00A46734">
      <w:rPr>
        <w:b/>
        <w:bCs/>
        <w:sz w:val="18"/>
        <w:szCs w:val="18"/>
      </w:rPr>
      <w:instrText>NUMPAGES</w:instrText>
    </w:r>
    <w:r w:rsidRPr="00A46734">
      <w:rPr>
        <w:b/>
        <w:bCs/>
        <w:sz w:val="18"/>
        <w:szCs w:val="18"/>
      </w:rPr>
      <w:fldChar w:fldCharType="separate"/>
    </w:r>
    <w:r w:rsidRPr="00A46734">
      <w:rPr>
        <w:b/>
        <w:bCs/>
        <w:sz w:val="18"/>
        <w:szCs w:val="18"/>
      </w:rPr>
      <w:t>2</w:t>
    </w:r>
    <w:r w:rsidRPr="00A46734">
      <w:rPr>
        <w:b/>
        <w:bCs/>
        <w:sz w:val="18"/>
        <w:szCs w:val="18"/>
      </w:rPr>
      <w:fldChar w:fldCharType="end"/>
    </w:r>
  </w:p>
  <w:p w14:paraId="25DC6E2D" w14:textId="77777777" w:rsidR="00A46734" w:rsidRPr="00A46734" w:rsidRDefault="00A4673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EB22" w14:textId="77777777" w:rsidR="00B54FAB" w:rsidRDefault="00B54FAB">
      <w:r>
        <w:separator/>
      </w:r>
    </w:p>
  </w:footnote>
  <w:footnote w:type="continuationSeparator" w:id="0">
    <w:p w14:paraId="78C55204" w14:textId="77777777" w:rsidR="00B54FAB" w:rsidRDefault="00B5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203D4"/>
    <w:rsid w:val="00025352"/>
    <w:rsid w:val="00032B2A"/>
    <w:rsid w:val="0004078F"/>
    <w:rsid w:val="000508A5"/>
    <w:rsid w:val="00055B1B"/>
    <w:rsid w:val="00065412"/>
    <w:rsid w:val="000736F5"/>
    <w:rsid w:val="0007606D"/>
    <w:rsid w:val="0007628A"/>
    <w:rsid w:val="000824A1"/>
    <w:rsid w:val="0009162F"/>
    <w:rsid w:val="00092308"/>
    <w:rsid w:val="00094DD4"/>
    <w:rsid w:val="0009583C"/>
    <w:rsid w:val="000966B7"/>
    <w:rsid w:val="000A0205"/>
    <w:rsid w:val="000A6442"/>
    <w:rsid w:val="000C013C"/>
    <w:rsid w:val="000C0F70"/>
    <w:rsid w:val="000D6582"/>
    <w:rsid w:val="000D7E05"/>
    <w:rsid w:val="000E1311"/>
    <w:rsid w:val="000E19F5"/>
    <w:rsid w:val="000E38AF"/>
    <w:rsid w:val="000E3B7D"/>
    <w:rsid w:val="000E4102"/>
    <w:rsid w:val="000E78B5"/>
    <w:rsid w:val="000E78DF"/>
    <w:rsid w:val="000F1FEA"/>
    <w:rsid w:val="000F2B0F"/>
    <w:rsid w:val="000F4318"/>
    <w:rsid w:val="001037A2"/>
    <w:rsid w:val="001274F3"/>
    <w:rsid w:val="0012750F"/>
    <w:rsid w:val="001279B6"/>
    <w:rsid w:val="001300E5"/>
    <w:rsid w:val="001432D1"/>
    <w:rsid w:val="00152E70"/>
    <w:rsid w:val="00155805"/>
    <w:rsid w:val="00161AFB"/>
    <w:rsid w:val="001764EE"/>
    <w:rsid w:val="00183F2E"/>
    <w:rsid w:val="00191416"/>
    <w:rsid w:val="001922A0"/>
    <w:rsid w:val="001923E8"/>
    <w:rsid w:val="001939F3"/>
    <w:rsid w:val="001960DB"/>
    <w:rsid w:val="001A6331"/>
    <w:rsid w:val="001A6A3C"/>
    <w:rsid w:val="001A6AEA"/>
    <w:rsid w:val="001B052E"/>
    <w:rsid w:val="001B18CB"/>
    <w:rsid w:val="001C3467"/>
    <w:rsid w:val="001D0FBB"/>
    <w:rsid w:val="001E0A3E"/>
    <w:rsid w:val="00201C81"/>
    <w:rsid w:val="00202BAE"/>
    <w:rsid w:val="0020511C"/>
    <w:rsid w:val="00213E97"/>
    <w:rsid w:val="002162F6"/>
    <w:rsid w:val="00230EDA"/>
    <w:rsid w:val="00240C91"/>
    <w:rsid w:val="002435B9"/>
    <w:rsid w:val="0024585B"/>
    <w:rsid w:val="00247107"/>
    <w:rsid w:val="00250B8A"/>
    <w:rsid w:val="00255B26"/>
    <w:rsid w:val="00260350"/>
    <w:rsid w:val="00261A64"/>
    <w:rsid w:val="00266A9B"/>
    <w:rsid w:val="002670D2"/>
    <w:rsid w:val="00267F72"/>
    <w:rsid w:val="0027153E"/>
    <w:rsid w:val="0027315A"/>
    <w:rsid w:val="00280F27"/>
    <w:rsid w:val="00286118"/>
    <w:rsid w:val="00296C23"/>
    <w:rsid w:val="002A62D6"/>
    <w:rsid w:val="002B2CD4"/>
    <w:rsid w:val="002B3C89"/>
    <w:rsid w:val="002E0430"/>
    <w:rsid w:val="002F075A"/>
    <w:rsid w:val="002F0F80"/>
    <w:rsid w:val="002F64FD"/>
    <w:rsid w:val="003054C1"/>
    <w:rsid w:val="003104B3"/>
    <w:rsid w:val="00315DF9"/>
    <w:rsid w:val="003177C3"/>
    <w:rsid w:val="00336F84"/>
    <w:rsid w:val="00337006"/>
    <w:rsid w:val="00341C01"/>
    <w:rsid w:val="00343254"/>
    <w:rsid w:val="00344094"/>
    <w:rsid w:val="003462E9"/>
    <w:rsid w:val="003641CC"/>
    <w:rsid w:val="00365D34"/>
    <w:rsid w:val="00366C00"/>
    <w:rsid w:val="003711EF"/>
    <w:rsid w:val="00371A6B"/>
    <w:rsid w:val="00371CE2"/>
    <w:rsid w:val="00372DC9"/>
    <w:rsid w:val="0038014B"/>
    <w:rsid w:val="00381AD8"/>
    <w:rsid w:val="00391BF3"/>
    <w:rsid w:val="00396854"/>
    <w:rsid w:val="003A00EE"/>
    <w:rsid w:val="003A0CA4"/>
    <w:rsid w:val="003A1C31"/>
    <w:rsid w:val="003A41E0"/>
    <w:rsid w:val="003B526A"/>
    <w:rsid w:val="003D3C6E"/>
    <w:rsid w:val="003E17F8"/>
    <w:rsid w:val="003F0439"/>
    <w:rsid w:val="00400C84"/>
    <w:rsid w:val="004023CA"/>
    <w:rsid w:val="0040483C"/>
    <w:rsid w:val="004062D7"/>
    <w:rsid w:val="00414219"/>
    <w:rsid w:val="004218DC"/>
    <w:rsid w:val="00422FB0"/>
    <w:rsid w:val="00433163"/>
    <w:rsid w:val="00435591"/>
    <w:rsid w:val="00452D52"/>
    <w:rsid w:val="00454707"/>
    <w:rsid w:val="00464B2E"/>
    <w:rsid w:val="004737F6"/>
    <w:rsid w:val="00481320"/>
    <w:rsid w:val="00484D0C"/>
    <w:rsid w:val="004912FA"/>
    <w:rsid w:val="00493D18"/>
    <w:rsid w:val="004B175C"/>
    <w:rsid w:val="004B495C"/>
    <w:rsid w:val="004B6936"/>
    <w:rsid w:val="004D4935"/>
    <w:rsid w:val="004E368A"/>
    <w:rsid w:val="004E46F2"/>
    <w:rsid w:val="004E5865"/>
    <w:rsid w:val="004F3999"/>
    <w:rsid w:val="004F3BE3"/>
    <w:rsid w:val="00500913"/>
    <w:rsid w:val="005017ED"/>
    <w:rsid w:val="005021EC"/>
    <w:rsid w:val="0050232C"/>
    <w:rsid w:val="0050295C"/>
    <w:rsid w:val="00506AB8"/>
    <w:rsid w:val="00511F09"/>
    <w:rsid w:val="00516F3D"/>
    <w:rsid w:val="00525C34"/>
    <w:rsid w:val="0052653B"/>
    <w:rsid w:val="00541534"/>
    <w:rsid w:val="00542CB9"/>
    <w:rsid w:val="005434BE"/>
    <w:rsid w:val="005435D1"/>
    <w:rsid w:val="00547733"/>
    <w:rsid w:val="005541AF"/>
    <w:rsid w:val="00555F04"/>
    <w:rsid w:val="005614C5"/>
    <w:rsid w:val="005729B6"/>
    <w:rsid w:val="00573252"/>
    <w:rsid w:val="0057512F"/>
    <w:rsid w:val="00592111"/>
    <w:rsid w:val="005A0CBC"/>
    <w:rsid w:val="005A4C9E"/>
    <w:rsid w:val="005A4ED4"/>
    <w:rsid w:val="005C3C44"/>
    <w:rsid w:val="005C7CEA"/>
    <w:rsid w:val="005D2404"/>
    <w:rsid w:val="005D3D3D"/>
    <w:rsid w:val="005D6A02"/>
    <w:rsid w:val="005E4FC0"/>
    <w:rsid w:val="005E6C21"/>
    <w:rsid w:val="005E79FF"/>
    <w:rsid w:val="00611629"/>
    <w:rsid w:val="00612854"/>
    <w:rsid w:val="00613F0A"/>
    <w:rsid w:val="00614563"/>
    <w:rsid w:val="0065716F"/>
    <w:rsid w:val="00664A65"/>
    <w:rsid w:val="00664D1E"/>
    <w:rsid w:val="006654D2"/>
    <w:rsid w:val="00672BDC"/>
    <w:rsid w:val="00673A30"/>
    <w:rsid w:val="00684A82"/>
    <w:rsid w:val="00684FAF"/>
    <w:rsid w:val="006A2A13"/>
    <w:rsid w:val="006A6691"/>
    <w:rsid w:val="006A7A83"/>
    <w:rsid w:val="006B09DD"/>
    <w:rsid w:val="006B2530"/>
    <w:rsid w:val="006C0E4C"/>
    <w:rsid w:val="006C2C62"/>
    <w:rsid w:val="006D416A"/>
    <w:rsid w:val="006D4F09"/>
    <w:rsid w:val="006F22C5"/>
    <w:rsid w:val="006F7CF9"/>
    <w:rsid w:val="00711389"/>
    <w:rsid w:val="00716520"/>
    <w:rsid w:val="0072084B"/>
    <w:rsid w:val="007302AE"/>
    <w:rsid w:val="007445D1"/>
    <w:rsid w:val="00745F6A"/>
    <w:rsid w:val="007466C2"/>
    <w:rsid w:val="00770BDA"/>
    <w:rsid w:val="00777227"/>
    <w:rsid w:val="00781137"/>
    <w:rsid w:val="00791F96"/>
    <w:rsid w:val="007C1F82"/>
    <w:rsid w:val="007D1641"/>
    <w:rsid w:val="007D2454"/>
    <w:rsid w:val="007D4314"/>
    <w:rsid w:val="007E111C"/>
    <w:rsid w:val="00800C74"/>
    <w:rsid w:val="00800EC5"/>
    <w:rsid w:val="00801915"/>
    <w:rsid w:val="00801D9D"/>
    <w:rsid w:val="00804E91"/>
    <w:rsid w:val="008266C9"/>
    <w:rsid w:val="0083474D"/>
    <w:rsid w:val="00835EF9"/>
    <w:rsid w:val="00841737"/>
    <w:rsid w:val="00846117"/>
    <w:rsid w:val="0085522A"/>
    <w:rsid w:val="00860252"/>
    <w:rsid w:val="00862A65"/>
    <w:rsid w:val="00866D97"/>
    <w:rsid w:val="00871A92"/>
    <w:rsid w:val="00871B82"/>
    <w:rsid w:val="00874704"/>
    <w:rsid w:val="0088011E"/>
    <w:rsid w:val="00880D15"/>
    <w:rsid w:val="00891026"/>
    <w:rsid w:val="00896801"/>
    <w:rsid w:val="008A25DB"/>
    <w:rsid w:val="008A2D2A"/>
    <w:rsid w:val="008A4371"/>
    <w:rsid w:val="008B296A"/>
    <w:rsid w:val="008D5CB4"/>
    <w:rsid w:val="008E1747"/>
    <w:rsid w:val="008E205C"/>
    <w:rsid w:val="008F386C"/>
    <w:rsid w:val="0090008D"/>
    <w:rsid w:val="009044FD"/>
    <w:rsid w:val="00907B8E"/>
    <w:rsid w:val="00924A79"/>
    <w:rsid w:val="0092553D"/>
    <w:rsid w:val="00925DAF"/>
    <w:rsid w:val="00931908"/>
    <w:rsid w:val="009366A4"/>
    <w:rsid w:val="0093718B"/>
    <w:rsid w:val="0096766E"/>
    <w:rsid w:val="00970C13"/>
    <w:rsid w:val="00971255"/>
    <w:rsid w:val="00975790"/>
    <w:rsid w:val="00984C03"/>
    <w:rsid w:val="0098544A"/>
    <w:rsid w:val="009970B3"/>
    <w:rsid w:val="009A56CD"/>
    <w:rsid w:val="009A59BC"/>
    <w:rsid w:val="009B641C"/>
    <w:rsid w:val="009C13BB"/>
    <w:rsid w:val="009C54EC"/>
    <w:rsid w:val="009D029A"/>
    <w:rsid w:val="009E28F9"/>
    <w:rsid w:val="00A01D42"/>
    <w:rsid w:val="00A02125"/>
    <w:rsid w:val="00A0457C"/>
    <w:rsid w:val="00A206E5"/>
    <w:rsid w:val="00A22FE1"/>
    <w:rsid w:val="00A351C6"/>
    <w:rsid w:val="00A37FEA"/>
    <w:rsid w:val="00A435FC"/>
    <w:rsid w:val="00A46734"/>
    <w:rsid w:val="00A53191"/>
    <w:rsid w:val="00A5756F"/>
    <w:rsid w:val="00A60164"/>
    <w:rsid w:val="00A667CA"/>
    <w:rsid w:val="00A82374"/>
    <w:rsid w:val="00A921BD"/>
    <w:rsid w:val="00AA130E"/>
    <w:rsid w:val="00AA4D7A"/>
    <w:rsid w:val="00AB69C1"/>
    <w:rsid w:val="00AB7F7A"/>
    <w:rsid w:val="00AC0CD4"/>
    <w:rsid w:val="00AC1212"/>
    <w:rsid w:val="00AC1925"/>
    <w:rsid w:val="00AC389E"/>
    <w:rsid w:val="00AD6147"/>
    <w:rsid w:val="00AD6181"/>
    <w:rsid w:val="00AD6F92"/>
    <w:rsid w:val="00AE0432"/>
    <w:rsid w:val="00AE13C3"/>
    <w:rsid w:val="00AF0B06"/>
    <w:rsid w:val="00AF7192"/>
    <w:rsid w:val="00B02E97"/>
    <w:rsid w:val="00B030A4"/>
    <w:rsid w:val="00B05DAE"/>
    <w:rsid w:val="00B14FF5"/>
    <w:rsid w:val="00B1563A"/>
    <w:rsid w:val="00B32262"/>
    <w:rsid w:val="00B40B08"/>
    <w:rsid w:val="00B503F5"/>
    <w:rsid w:val="00B52B9F"/>
    <w:rsid w:val="00B53611"/>
    <w:rsid w:val="00B53D92"/>
    <w:rsid w:val="00B54FAB"/>
    <w:rsid w:val="00B604C0"/>
    <w:rsid w:val="00B62CFE"/>
    <w:rsid w:val="00B66816"/>
    <w:rsid w:val="00B67FCE"/>
    <w:rsid w:val="00B75ACD"/>
    <w:rsid w:val="00B837D2"/>
    <w:rsid w:val="00B84B04"/>
    <w:rsid w:val="00B8702E"/>
    <w:rsid w:val="00B90CF0"/>
    <w:rsid w:val="00B94B69"/>
    <w:rsid w:val="00B95001"/>
    <w:rsid w:val="00B95986"/>
    <w:rsid w:val="00B97F22"/>
    <w:rsid w:val="00BA07B5"/>
    <w:rsid w:val="00BA774E"/>
    <w:rsid w:val="00BB246B"/>
    <w:rsid w:val="00BC19D3"/>
    <w:rsid w:val="00BC4679"/>
    <w:rsid w:val="00BD2459"/>
    <w:rsid w:val="00BD6445"/>
    <w:rsid w:val="00BE0997"/>
    <w:rsid w:val="00BE6CDC"/>
    <w:rsid w:val="00BE7EF5"/>
    <w:rsid w:val="00BF0747"/>
    <w:rsid w:val="00BF2C2E"/>
    <w:rsid w:val="00BF5EDD"/>
    <w:rsid w:val="00C03BA9"/>
    <w:rsid w:val="00C0516C"/>
    <w:rsid w:val="00C13C79"/>
    <w:rsid w:val="00C20680"/>
    <w:rsid w:val="00C21CDF"/>
    <w:rsid w:val="00C2713B"/>
    <w:rsid w:val="00C3132A"/>
    <w:rsid w:val="00C373D7"/>
    <w:rsid w:val="00C46FB1"/>
    <w:rsid w:val="00C51444"/>
    <w:rsid w:val="00C53380"/>
    <w:rsid w:val="00C559EB"/>
    <w:rsid w:val="00C56C62"/>
    <w:rsid w:val="00C80390"/>
    <w:rsid w:val="00C809CC"/>
    <w:rsid w:val="00C92272"/>
    <w:rsid w:val="00C94F8B"/>
    <w:rsid w:val="00CA6919"/>
    <w:rsid w:val="00CB25EE"/>
    <w:rsid w:val="00CC07E5"/>
    <w:rsid w:val="00CD1F42"/>
    <w:rsid w:val="00CD3CC6"/>
    <w:rsid w:val="00CD5201"/>
    <w:rsid w:val="00CE0F21"/>
    <w:rsid w:val="00CF653E"/>
    <w:rsid w:val="00CF7959"/>
    <w:rsid w:val="00D102AA"/>
    <w:rsid w:val="00D11A0F"/>
    <w:rsid w:val="00D11EA4"/>
    <w:rsid w:val="00D22116"/>
    <w:rsid w:val="00D2462D"/>
    <w:rsid w:val="00D354E4"/>
    <w:rsid w:val="00D37B26"/>
    <w:rsid w:val="00D4192D"/>
    <w:rsid w:val="00D41DDC"/>
    <w:rsid w:val="00D5418D"/>
    <w:rsid w:val="00D55FD2"/>
    <w:rsid w:val="00D64C69"/>
    <w:rsid w:val="00D66E52"/>
    <w:rsid w:val="00D677D1"/>
    <w:rsid w:val="00D67A2F"/>
    <w:rsid w:val="00D71FDA"/>
    <w:rsid w:val="00D877F1"/>
    <w:rsid w:val="00D90068"/>
    <w:rsid w:val="00D92993"/>
    <w:rsid w:val="00D9309F"/>
    <w:rsid w:val="00D97AE1"/>
    <w:rsid w:val="00DA08FE"/>
    <w:rsid w:val="00DA0E9A"/>
    <w:rsid w:val="00DA2F66"/>
    <w:rsid w:val="00DA2FA3"/>
    <w:rsid w:val="00DB3E4C"/>
    <w:rsid w:val="00DC0E1F"/>
    <w:rsid w:val="00DD094A"/>
    <w:rsid w:val="00DD0F5B"/>
    <w:rsid w:val="00DD421E"/>
    <w:rsid w:val="00DD47E0"/>
    <w:rsid w:val="00DD4E10"/>
    <w:rsid w:val="00DD5BC9"/>
    <w:rsid w:val="00E02DA5"/>
    <w:rsid w:val="00E04136"/>
    <w:rsid w:val="00E05E05"/>
    <w:rsid w:val="00E10FB8"/>
    <w:rsid w:val="00E16213"/>
    <w:rsid w:val="00E25D8E"/>
    <w:rsid w:val="00E27170"/>
    <w:rsid w:val="00E4020D"/>
    <w:rsid w:val="00E4259C"/>
    <w:rsid w:val="00E45877"/>
    <w:rsid w:val="00E46A36"/>
    <w:rsid w:val="00E64F28"/>
    <w:rsid w:val="00E77A13"/>
    <w:rsid w:val="00E82EC7"/>
    <w:rsid w:val="00E92568"/>
    <w:rsid w:val="00E969C6"/>
    <w:rsid w:val="00E96EC7"/>
    <w:rsid w:val="00E97F55"/>
    <w:rsid w:val="00EA0FB5"/>
    <w:rsid w:val="00EB22A0"/>
    <w:rsid w:val="00EC0944"/>
    <w:rsid w:val="00EC5F7C"/>
    <w:rsid w:val="00ED122B"/>
    <w:rsid w:val="00EE445D"/>
    <w:rsid w:val="00EE5147"/>
    <w:rsid w:val="00EF1DD7"/>
    <w:rsid w:val="00F0106F"/>
    <w:rsid w:val="00F02A4B"/>
    <w:rsid w:val="00F02E17"/>
    <w:rsid w:val="00F05CB6"/>
    <w:rsid w:val="00F05E83"/>
    <w:rsid w:val="00F06894"/>
    <w:rsid w:val="00F2029A"/>
    <w:rsid w:val="00F27822"/>
    <w:rsid w:val="00F36E16"/>
    <w:rsid w:val="00F43014"/>
    <w:rsid w:val="00F60108"/>
    <w:rsid w:val="00F6232F"/>
    <w:rsid w:val="00F86AF5"/>
    <w:rsid w:val="00FA4DD8"/>
    <w:rsid w:val="00FB5CE2"/>
    <w:rsid w:val="00FB772F"/>
    <w:rsid w:val="00FC57DE"/>
    <w:rsid w:val="00FC5FD7"/>
    <w:rsid w:val="00FD7061"/>
    <w:rsid w:val="00FE0A1F"/>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274B63"/>
  <w15:chartTrackingRefBased/>
  <w15:docId w15:val="{23DFB65D-CA4D-460E-9EE6-74301AC4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character" w:customStyle="1" w:styleId="TextoindependienteCar">
    <w:name w:val="Texto independiente Car"/>
    <w:link w:val="Textoindependiente"/>
    <w:rsid w:val="00E77A13"/>
    <w:rPr>
      <w:bCs/>
      <w:sz w:val="24"/>
      <w:szCs w:val="24"/>
      <w:lang w:val="es-MX" w:eastAsia="ar-SA"/>
    </w:rPr>
  </w:style>
  <w:style w:type="paragraph" w:customStyle="1" w:styleId="paragraph">
    <w:name w:val="paragraph"/>
    <w:basedOn w:val="Normal"/>
    <w:rsid w:val="004737F6"/>
    <w:pPr>
      <w:suppressAutoHyphens w:val="0"/>
      <w:spacing w:before="100" w:beforeAutospacing="1" w:after="100" w:afterAutospacing="1"/>
    </w:pPr>
    <w:rPr>
      <w:rFonts w:eastAsia="Calibri"/>
      <w:lang w:val="es-ES_tradnl" w:eastAsia="es-ES_tradnl"/>
    </w:rPr>
  </w:style>
  <w:style w:type="character" w:customStyle="1" w:styleId="PiedepginaCar">
    <w:name w:val="Pie de página Car"/>
    <w:link w:val="Piedepgina"/>
    <w:uiPriority w:val="99"/>
    <w:rsid w:val="00A46734"/>
    <w:rPr>
      <w:sz w:val="24"/>
      <w:szCs w:val="24"/>
      <w:lang w:val="es-ES" w:eastAsia="ar-SA"/>
    </w:rPr>
  </w:style>
  <w:style w:type="character" w:customStyle="1" w:styleId="normaltextrun">
    <w:name w:val="normaltextrun"/>
    <w:basedOn w:val="Fuentedeprrafopredeter"/>
    <w:rsid w:val="0092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4639</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2012-05-07T16:40:00Z</cp:lastPrinted>
  <dcterms:created xsi:type="dcterms:W3CDTF">2021-04-14T21:28:00Z</dcterms:created>
  <dcterms:modified xsi:type="dcterms:W3CDTF">2021-04-14T21:28:00Z</dcterms:modified>
</cp:coreProperties>
</file>