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86EDA" w14:textId="12C2307C" w:rsidR="00234FE1" w:rsidRPr="007614BC" w:rsidRDefault="00234FE1" w:rsidP="00234FE1">
      <w:pPr>
        <w:jc w:val="center"/>
        <w:outlineLvl w:val="0"/>
        <w:rPr>
          <w:b/>
        </w:rPr>
      </w:pPr>
      <w:r w:rsidRPr="007614BC">
        <w:rPr>
          <w:b/>
        </w:rPr>
        <w:t xml:space="preserve">RESOLUCIÓN DE RECURSO DE IMPUGNACIÓN </w:t>
      </w:r>
      <w:proofErr w:type="spellStart"/>
      <w:r w:rsidRPr="007614BC">
        <w:rPr>
          <w:b/>
        </w:rPr>
        <w:t>N</w:t>
      </w:r>
      <w:r w:rsidR="007614BC" w:rsidRPr="007614BC">
        <w:rPr>
          <w:b/>
        </w:rPr>
        <w:t>°</w:t>
      </w:r>
      <w:proofErr w:type="spellEnd"/>
      <w:r w:rsidR="007614BC" w:rsidRPr="007614BC">
        <w:rPr>
          <w:b/>
        </w:rPr>
        <w:t xml:space="preserve"> 011/20</w:t>
      </w:r>
    </w:p>
    <w:p w14:paraId="20216921" w14:textId="77777777" w:rsidR="00234FE1" w:rsidRPr="007614BC" w:rsidRDefault="00234FE1" w:rsidP="00234FE1">
      <w:pPr>
        <w:rPr>
          <w:b/>
          <w:bCs/>
          <w:lang w:val="es-MX"/>
        </w:rPr>
      </w:pPr>
    </w:p>
    <w:p w14:paraId="3CCAD8DA" w14:textId="77777777" w:rsidR="00234FE1" w:rsidRPr="007614BC" w:rsidRDefault="00234FE1" w:rsidP="00234FE1">
      <w:pPr>
        <w:rPr>
          <w:b/>
          <w:bCs/>
          <w:lang w:val="es-MX"/>
        </w:rPr>
      </w:pPr>
    </w:p>
    <w:p w14:paraId="4CEDF012" w14:textId="77777777" w:rsidR="00234FE1" w:rsidRPr="007614BC" w:rsidRDefault="00234FE1" w:rsidP="00234FE1">
      <w:pPr>
        <w:jc w:val="both"/>
        <w:outlineLvl w:val="0"/>
        <w:rPr>
          <w:b/>
          <w:bCs/>
          <w:lang w:val="es-MX"/>
        </w:rPr>
      </w:pPr>
      <w:r w:rsidRPr="007614BC">
        <w:rPr>
          <w:b/>
          <w:bCs/>
          <w:lang w:val="es-MX"/>
        </w:rPr>
        <w:t>VISTOS:</w:t>
      </w:r>
    </w:p>
    <w:p w14:paraId="5F1FCA50" w14:textId="77777777" w:rsidR="00234FE1" w:rsidRPr="007614BC" w:rsidRDefault="00234FE1" w:rsidP="00234FE1">
      <w:pPr>
        <w:jc w:val="both"/>
        <w:rPr>
          <w:b/>
          <w:bCs/>
          <w:lang w:val="es-MX"/>
        </w:rPr>
      </w:pPr>
    </w:p>
    <w:p w14:paraId="61A14EDB" w14:textId="7C7B53C2" w:rsidR="00234FE1" w:rsidRPr="007614BC" w:rsidRDefault="00234FE1" w:rsidP="00234FE1">
      <w:pPr>
        <w:jc w:val="both"/>
      </w:pPr>
      <w:r w:rsidRPr="007614BC">
        <w:t xml:space="preserve">El recurso de impugnación presentado el 21 de enero de 2020 por </w:t>
      </w:r>
      <w:r w:rsidR="00961EBC">
        <w:t>..................</w:t>
      </w:r>
      <w:r w:rsidR="00961EBC">
        <w:t xml:space="preserve"> </w:t>
      </w:r>
      <w:r w:rsidRPr="007614BC">
        <w:t xml:space="preserve"> respecto de la Resolución Nro. 002/20, expedida por esta Defensoría del Asegurado (DEFASEG), conforme a la cual se declaró INFUNDADA la reclamación interpuesta contra </w:t>
      </w:r>
      <w:r w:rsidR="00961EBC">
        <w:t>..................</w:t>
      </w:r>
      <w:r w:rsidR="00961EBC">
        <w:t xml:space="preserve"> </w:t>
      </w:r>
      <w:r w:rsidRPr="007614BC">
        <w:t xml:space="preserve"> respecto a la cobertura del Seguro de Protección de Tarjeta Póliza Nro. </w:t>
      </w:r>
      <w:r w:rsidR="00961EBC">
        <w:t>..................</w:t>
      </w:r>
      <w:r w:rsidRPr="007614BC">
        <w:t xml:space="preserve">. </w:t>
      </w:r>
    </w:p>
    <w:p w14:paraId="045B01B4" w14:textId="77777777" w:rsidR="00234FE1" w:rsidRPr="007614BC" w:rsidRDefault="00234FE1" w:rsidP="00234FE1">
      <w:pPr>
        <w:jc w:val="both"/>
        <w:rPr>
          <w:lang w:val="es-PE"/>
        </w:rPr>
      </w:pPr>
    </w:p>
    <w:p w14:paraId="325CF736" w14:textId="2E9D102A" w:rsidR="00234FE1" w:rsidRPr="007614BC" w:rsidRDefault="00234FE1" w:rsidP="00234FE1">
      <w:pPr>
        <w:pStyle w:val="Textoindependiente"/>
      </w:pPr>
      <w:r w:rsidRPr="007614BC">
        <w:t>Que, el indicado recurso se sustenta resumidamente en lo siguiente: a) que no es cierto que no puso interés en su denuncia</w:t>
      </w:r>
      <w:r w:rsidR="005B3155" w:rsidRPr="007614BC">
        <w:t xml:space="preserve">; b) que siempre se dirigió </w:t>
      </w:r>
      <w:r w:rsidR="00A662F0" w:rsidRPr="007614BC">
        <w:t>a la comisaría de Túpac Amaru para preguntar sobre la investigación</w:t>
      </w:r>
      <w:r w:rsidR="005B74E3" w:rsidRPr="007614BC">
        <w:t xml:space="preserve">, que debido </w:t>
      </w:r>
      <w:r w:rsidRPr="007614BC">
        <w:t xml:space="preserve"> </w:t>
      </w:r>
      <w:r w:rsidR="005B74E3" w:rsidRPr="007614BC">
        <w:t xml:space="preserve">a su insistencia le </w:t>
      </w:r>
      <w:r w:rsidR="00EA357C" w:rsidRPr="007614BC">
        <w:t>entregaron</w:t>
      </w:r>
      <w:r w:rsidR="005B74E3" w:rsidRPr="007614BC">
        <w:t xml:space="preserve"> el Oficio</w:t>
      </w:r>
      <w:r w:rsidR="00317462" w:rsidRPr="007614BC">
        <w:t xml:space="preserve"> </w:t>
      </w:r>
      <w:r w:rsidR="00961EBC">
        <w:t>..................</w:t>
      </w:r>
      <w:r w:rsidR="00961EBC">
        <w:t xml:space="preserve"> </w:t>
      </w:r>
      <w:r w:rsidR="00317462" w:rsidRPr="007614BC">
        <w:t xml:space="preserve">para llevarlo a la mesa de partes de la </w:t>
      </w:r>
      <w:r w:rsidR="00DF4178" w:rsidRPr="007614BC">
        <w:t>F</w:t>
      </w:r>
      <w:r w:rsidR="00317462" w:rsidRPr="007614BC">
        <w:t xml:space="preserve">iscalía Provincial Penal Corporativa de Lima Norte, el cual adjunta; </w:t>
      </w:r>
      <w:r w:rsidR="00D76690" w:rsidRPr="007614BC">
        <w:t>que volvió a la fiscal</w:t>
      </w:r>
      <w:r w:rsidR="00EA357C" w:rsidRPr="007614BC">
        <w:t>ía</w:t>
      </w:r>
      <w:r w:rsidR="00D76690" w:rsidRPr="007614BC">
        <w:t xml:space="preserve"> en más de 3 </w:t>
      </w:r>
      <w:r w:rsidR="00EA357C" w:rsidRPr="007614BC">
        <w:t>oportunidades lo que se acredita en el cuaderno de visitas</w:t>
      </w:r>
      <w:r w:rsidR="007D5DF2" w:rsidRPr="007614BC">
        <w:t xml:space="preserve">; que </w:t>
      </w:r>
      <w:r w:rsidR="00AE3C15" w:rsidRPr="007614BC">
        <w:t xml:space="preserve">en la última oportunidad le indicaron que tendría que ir con un abogado y llevar el </w:t>
      </w:r>
      <w:proofErr w:type="spellStart"/>
      <w:r w:rsidR="00AE3C15" w:rsidRPr="007614BC">
        <w:t>voucher</w:t>
      </w:r>
      <w:proofErr w:type="spellEnd"/>
      <w:r w:rsidR="00AE3C15" w:rsidRPr="007614BC">
        <w:t xml:space="preserve"> de retiro, que luego </w:t>
      </w:r>
      <w:r w:rsidR="007D5DF2" w:rsidRPr="007614BC">
        <w:t>se le complic</w:t>
      </w:r>
      <w:r w:rsidR="00AE3C15" w:rsidRPr="007614BC">
        <w:t xml:space="preserve">ó volver </w:t>
      </w:r>
      <w:r w:rsidR="007D5DF2" w:rsidRPr="007614BC">
        <w:t>por motivos laborales</w:t>
      </w:r>
      <w:r w:rsidR="00BE1DC4" w:rsidRPr="007614BC">
        <w:t>,</w:t>
      </w:r>
      <w:r w:rsidR="003A6CA9" w:rsidRPr="007614BC">
        <w:t xml:space="preserve"> y porque no tenía </w:t>
      </w:r>
      <w:r w:rsidR="00671038" w:rsidRPr="007614BC">
        <w:t>un abogado</w:t>
      </w:r>
      <w:r w:rsidR="003A6CA9" w:rsidRPr="007614BC">
        <w:t>,</w:t>
      </w:r>
      <w:r w:rsidR="00BE1DC4" w:rsidRPr="007614BC">
        <w:t xml:space="preserve"> que no podía recordar los rasgos físicos po</w:t>
      </w:r>
      <w:r w:rsidR="00275D39" w:rsidRPr="007614BC">
        <w:t>r la situación de temor</w:t>
      </w:r>
      <w:r w:rsidR="00A343CA" w:rsidRPr="007614BC">
        <w:t xml:space="preserve">; que adjunta el estado de cuenta de </w:t>
      </w:r>
      <w:r w:rsidR="00746ED0" w:rsidRPr="007614BC">
        <w:t>enero 2019 donde se acredita la preexistencia y titularidad de lo sustraído.</w:t>
      </w:r>
      <w:r w:rsidRPr="007614BC">
        <w:t xml:space="preserve"> </w:t>
      </w:r>
    </w:p>
    <w:p w14:paraId="33849B86" w14:textId="77777777" w:rsidR="00234FE1" w:rsidRPr="007614BC" w:rsidRDefault="00234FE1" w:rsidP="00234FE1">
      <w:pPr>
        <w:pStyle w:val="Textoindependiente"/>
      </w:pPr>
    </w:p>
    <w:p w14:paraId="54AB92AE" w14:textId="50A8B1BB" w:rsidR="00490E7A" w:rsidRPr="007614BC" w:rsidRDefault="00234FE1" w:rsidP="00234FE1">
      <w:pPr>
        <w:pStyle w:val="Textoindependiente"/>
      </w:pPr>
      <w:r w:rsidRPr="007614BC">
        <w:t xml:space="preserve">Que, habiéndose corrido traslado de la respectiva impugnación a la empresa aseguradora, esta </w:t>
      </w:r>
      <w:r w:rsidR="00BB2033" w:rsidRPr="007614BC">
        <w:t xml:space="preserve">presentó un escrito con fecha </w:t>
      </w:r>
      <w:r w:rsidR="002D6BA1" w:rsidRPr="007614BC">
        <w:t>06 de febrero del año en curso, en la que considera que no se h identificado un error ni aportado nueva prueba que contradiga la decisión adoptada, que el reclamante no concurrió a rendir su manifestación mostrando desinterés</w:t>
      </w:r>
      <w:r w:rsidR="00957F9C" w:rsidRPr="007614BC">
        <w:t>, ni ha acreditado haber impugnado las conclusiones fiscales, lo que implica que consiente en el contenido de la misma</w:t>
      </w:r>
      <w:r w:rsidR="00490E7A" w:rsidRPr="007614BC">
        <w:t>, por lo que su recurso debe ser declarado infundado.</w:t>
      </w:r>
    </w:p>
    <w:p w14:paraId="515F50B9" w14:textId="77777777" w:rsidR="00490E7A" w:rsidRPr="007614BC" w:rsidRDefault="00490E7A" w:rsidP="00234FE1">
      <w:pPr>
        <w:pStyle w:val="Textoindependiente"/>
      </w:pPr>
    </w:p>
    <w:p w14:paraId="35903410" w14:textId="77777777" w:rsidR="00234FE1" w:rsidRPr="007614BC" w:rsidRDefault="00234FE1" w:rsidP="00234FE1">
      <w:pPr>
        <w:pStyle w:val="Textoindependiente"/>
        <w:tabs>
          <w:tab w:val="left" w:pos="930"/>
        </w:tabs>
      </w:pPr>
      <w:r w:rsidRPr="007614BC">
        <w:t>Que, atendiendo a lo expuesto, esta Defensoría resuelve finalmente lo siguiente:</w:t>
      </w:r>
    </w:p>
    <w:p w14:paraId="782A1749" w14:textId="77777777" w:rsidR="00234FE1" w:rsidRPr="007614BC" w:rsidRDefault="00234FE1" w:rsidP="00234FE1">
      <w:pPr>
        <w:jc w:val="both"/>
        <w:rPr>
          <w:b/>
          <w:u w:val="single"/>
          <w:lang w:val="es-PE"/>
        </w:rPr>
      </w:pPr>
    </w:p>
    <w:p w14:paraId="01CC44AF" w14:textId="77777777" w:rsidR="00234FE1" w:rsidRPr="007614BC" w:rsidRDefault="00234FE1" w:rsidP="00234FE1">
      <w:pPr>
        <w:jc w:val="both"/>
        <w:rPr>
          <w:lang w:val="es-PE"/>
        </w:rPr>
      </w:pPr>
      <w:r w:rsidRPr="007614BC">
        <w:rPr>
          <w:b/>
          <w:u w:val="single"/>
          <w:lang w:val="es-PE"/>
        </w:rPr>
        <w:t>PRIMERO</w:t>
      </w:r>
      <w:r w:rsidRPr="007614BC">
        <w:rPr>
          <w:b/>
          <w:lang w:val="es-PE"/>
        </w:rPr>
        <w:t>:</w:t>
      </w:r>
      <w:r w:rsidRPr="007614BC">
        <w:rPr>
          <w:lang w:val="es-PE"/>
        </w:rPr>
        <w:t xml:space="preserve"> El artículo 10 (Procedimiento) del Reglamento de la DEFASEG </w:t>
      </w:r>
      <w:r w:rsidRPr="007614BC">
        <w:rPr>
          <w:rFonts w:eastAsia="Arial Unicode MS"/>
          <w:lang w:val="es-PE"/>
        </w:rPr>
        <w:t>(http://www.defaseg.com.pe/reglamento)</w:t>
      </w:r>
      <w:r w:rsidRPr="007614BC">
        <w:rPr>
          <w:lang w:val="es-PE"/>
        </w:rPr>
        <w:t xml:space="preserve"> establece que cualquiera de las partes que no se encuentre de acuerdo con la decisión adoptada por el colegiado sobre la materia reclamada, podrá impugnarla, interponiendo el correspondiente recurso de impugnación.  </w:t>
      </w:r>
    </w:p>
    <w:p w14:paraId="1473961D" w14:textId="77777777" w:rsidR="00234FE1" w:rsidRPr="007614BC" w:rsidRDefault="00234FE1" w:rsidP="00234FE1">
      <w:pPr>
        <w:jc w:val="both"/>
        <w:rPr>
          <w:lang w:val="es-PE"/>
        </w:rPr>
      </w:pPr>
    </w:p>
    <w:p w14:paraId="31529448" w14:textId="77777777" w:rsidR="00234FE1" w:rsidRPr="007614BC" w:rsidRDefault="00234FE1" w:rsidP="00234FE1">
      <w:pPr>
        <w:jc w:val="both"/>
        <w:rPr>
          <w:lang w:val="es-PE"/>
        </w:rPr>
      </w:pPr>
      <w:r w:rsidRPr="007614BC">
        <w:rPr>
          <w:lang w:val="es-PE"/>
        </w:rPr>
        <w:t>Conforme a ello, en el caso concreto, al interponer el recurso de impugnación el reclamante ha ejercido formalmente su derecho a contradecir lo resuelto por la Defensoría.</w:t>
      </w:r>
    </w:p>
    <w:p w14:paraId="480F4C0C" w14:textId="77777777" w:rsidR="00234FE1" w:rsidRPr="007614BC" w:rsidRDefault="00234FE1" w:rsidP="00234FE1">
      <w:pPr>
        <w:pStyle w:val="Textoindependiente"/>
        <w:tabs>
          <w:tab w:val="left" w:pos="0"/>
          <w:tab w:val="left" w:pos="720"/>
        </w:tabs>
        <w:rPr>
          <w:u w:val="single"/>
          <w:lang w:val="es-PE"/>
        </w:rPr>
      </w:pPr>
    </w:p>
    <w:p w14:paraId="2C92555F" w14:textId="77777777" w:rsidR="00B16C7D" w:rsidRPr="007614BC" w:rsidRDefault="00234FE1" w:rsidP="00234FE1">
      <w:pPr>
        <w:jc w:val="both"/>
        <w:rPr>
          <w:lang w:val="es-PE"/>
        </w:rPr>
      </w:pPr>
      <w:r w:rsidRPr="007614BC">
        <w:rPr>
          <w:b/>
          <w:bCs/>
          <w:u w:val="single"/>
        </w:rPr>
        <w:t>SEGUNDO</w:t>
      </w:r>
      <w:r w:rsidRPr="007614BC">
        <w:rPr>
          <w:b/>
          <w:bCs/>
        </w:rPr>
        <w:t>:</w:t>
      </w:r>
      <w:r w:rsidRPr="007614BC">
        <w:rPr>
          <w:bCs/>
        </w:rPr>
        <w:t xml:space="preserve"> </w:t>
      </w:r>
      <w:r w:rsidRPr="007614BC">
        <w:rPr>
          <w:lang w:val="es-PE"/>
        </w:rPr>
        <w:t xml:space="preserve">De la lectura del recurso de vistos se aprecia que </w:t>
      </w:r>
      <w:r w:rsidR="00917B63" w:rsidRPr="007614BC">
        <w:rPr>
          <w:lang w:val="es-PE"/>
        </w:rPr>
        <w:t>el</w:t>
      </w:r>
      <w:r w:rsidRPr="007614BC">
        <w:rPr>
          <w:lang w:val="es-PE"/>
        </w:rPr>
        <w:t xml:space="preserve"> asegurad</w:t>
      </w:r>
      <w:r w:rsidR="00917B63" w:rsidRPr="007614BC">
        <w:rPr>
          <w:lang w:val="es-PE"/>
        </w:rPr>
        <w:t>o</w:t>
      </w:r>
      <w:r w:rsidRPr="007614BC">
        <w:rPr>
          <w:lang w:val="es-PE"/>
        </w:rPr>
        <w:t xml:space="preserve"> impugna lo resuelto por la DEFASEG manifestando su disconformidad pues considera que </w:t>
      </w:r>
      <w:r w:rsidR="00E97408" w:rsidRPr="007614BC">
        <w:rPr>
          <w:lang w:val="es-PE"/>
        </w:rPr>
        <w:t xml:space="preserve">sí está acreditado su interés </w:t>
      </w:r>
      <w:r w:rsidR="00DF4178" w:rsidRPr="007614BC">
        <w:rPr>
          <w:lang w:val="es-PE"/>
        </w:rPr>
        <w:t>con su visitas reiteradas a la comisaría de T</w:t>
      </w:r>
      <w:r w:rsidR="0094074E" w:rsidRPr="007614BC">
        <w:rPr>
          <w:lang w:val="es-PE"/>
        </w:rPr>
        <w:t>ú</w:t>
      </w:r>
      <w:r w:rsidR="00DF4178" w:rsidRPr="007614BC">
        <w:rPr>
          <w:lang w:val="es-PE"/>
        </w:rPr>
        <w:t>pac Amaru y posteriormente a la Fiscalía Provincial</w:t>
      </w:r>
      <w:r w:rsidR="00A61987" w:rsidRPr="007614BC">
        <w:rPr>
          <w:lang w:val="es-PE"/>
        </w:rPr>
        <w:t xml:space="preserve"> Corporativa de Lima Norte</w:t>
      </w:r>
      <w:r w:rsidR="00EF3F23" w:rsidRPr="007614BC">
        <w:rPr>
          <w:lang w:val="es-PE"/>
        </w:rPr>
        <w:t xml:space="preserve">, así como con los actos que </w:t>
      </w:r>
      <w:r w:rsidR="0094074E" w:rsidRPr="007614BC">
        <w:rPr>
          <w:lang w:val="es-PE"/>
        </w:rPr>
        <w:t xml:space="preserve">se </w:t>
      </w:r>
      <w:r w:rsidR="00E97408" w:rsidRPr="007614BC">
        <w:rPr>
          <w:lang w:val="es-PE"/>
        </w:rPr>
        <w:t>resumen en la introducción de esta resolución</w:t>
      </w:r>
      <w:r w:rsidR="000E030C" w:rsidRPr="007614BC">
        <w:rPr>
          <w:lang w:val="es-PE"/>
        </w:rPr>
        <w:t xml:space="preserve">; que si no acudió a la citación que le fue realizada fue por motivos laborales y porque no tenía abogado ni encontraba el </w:t>
      </w:r>
      <w:proofErr w:type="spellStart"/>
      <w:r w:rsidR="000E030C" w:rsidRPr="007614BC">
        <w:rPr>
          <w:lang w:val="es-PE"/>
        </w:rPr>
        <w:t>voucher</w:t>
      </w:r>
      <w:proofErr w:type="spellEnd"/>
      <w:r w:rsidR="000E030C" w:rsidRPr="007614BC">
        <w:rPr>
          <w:lang w:val="es-PE"/>
        </w:rPr>
        <w:t xml:space="preserve"> de retiro, pero que sin perjuicio de ello acredita la preexistencia del dinero con el estado de cuenta del mes de enero 2019 que adjunta</w:t>
      </w:r>
      <w:r w:rsidR="00E97408" w:rsidRPr="007614BC">
        <w:rPr>
          <w:lang w:val="es-PE"/>
        </w:rPr>
        <w:t>.</w:t>
      </w:r>
    </w:p>
    <w:p w14:paraId="68E14BA3" w14:textId="77777777" w:rsidR="00B16C7D" w:rsidRPr="007614BC" w:rsidRDefault="00B16C7D" w:rsidP="00234FE1">
      <w:pPr>
        <w:jc w:val="both"/>
        <w:rPr>
          <w:lang w:val="es-PE"/>
        </w:rPr>
      </w:pPr>
    </w:p>
    <w:p w14:paraId="0DE5438D" w14:textId="17587BE2" w:rsidR="00234FE1" w:rsidRPr="007614BC" w:rsidRDefault="00B16C7D" w:rsidP="00234FE1">
      <w:pPr>
        <w:jc w:val="both"/>
        <w:rPr>
          <w:i/>
          <w:iCs/>
          <w:lang w:val="es-PE"/>
        </w:rPr>
      </w:pPr>
      <w:r w:rsidRPr="007614BC">
        <w:rPr>
          <w:lang w:val="es-PE"/>
        </w:rPr>
        <w:t xml:space="preserve">Que del estado de cuenta </w:t>
      </w:r>
      <w:r w:rsidR="00991240" w:rsidRPr="007614BC">
        <w:rPr>
          <w:lang w:val="es-PE"/>
        </w:rPr>
        <w:t>presentado se a</w:t>
      </w:r>
      <w:r w:rsidR="005C28A2" w:rsidRPr="007614BC">
        <w:rPr>
          <w:lang w:val="es-PE"/>
        </w:rPr>
        <w:t xml:space="preserve">precia que el día del siniestro se realizaron dos depósitos </w:t>
      </w:r>
      <w:r w:rsidR="00EC2C0C" w:rsidRPr="007614BC">
        <w:rPr>
          <w:lang w:val="es-PE"/>
        </w:rPr>
        <w:t xml:space="preserve">uno por </w:t>
      </w:r>
      <w:r w:rsidR="00EC532E" w:rsidRPr="007614BC">
        <w:rPr>
          <w:lang w:val="es-PE"/>
        </w:rPr>
        <w:t xml:space="preserve">S/ </w:t>
      </w:r>
      <w:r w:rsidR="00EC2C0C" w:rsidRPr="007614BC">
        <w:rPr>
          <w:lang w:val="es-PE"/>
        </w:rPr>
        <w:t xml:space="preserve">2,110, y otro por </w:t>
      </w:r>
      <w:r w:rsidR="00EC532E" w:rsidRPr="007614BC">
        <w:rPr>
          <w:lang w:val="es-PE"/>
        </w:rPr>
        <w:t xml:space="preserve">S/ </w:t>
      </w:r>
      <w:r w:rsidR="00EC2C0C" w:rsidRPr="007614BC">
        <w:rPr>
          <w:lang w:val="es-PE"/>
        </w:rPr>
        <w:t xml:space="preserve">900 (bajo la glosa </w:t>
      </w:r>
      <w:r w:rsidR="00961EBC">
        <w:t>..................</w:t>
      </w:r>
      <w:r w:rsidR="00EC2C0C" w:rsidRPr="007614BC">
        <w:rPr>
          <w:lang w:val="es-PE"/>
        </w:rPr>
        <w:t xml:space="preserve">), </w:t>
      </w:r>
      <w:r w:rsidR="00B43233" w:rsidRPr="007614BC">
        <w:rPr>
          <w:lang w:val="es-PE"/>
        </w:rPr>
        <w:t xml:space="preserve">así como </w:t>
      </w:r>
      <w:r w:rsidR="00A9370E" w:rsidRPr="007614BC">
        <w:rPr>
          <w:lang w:val="es-PE"/>
        </w:rPr>
        <w:t xml:space="preserve">un retiro </w:t>
      </w:r>
      <w:r w:rsidR="00A9370E" w:rsidRPr="007614BC">
        <w:rPr>
          <w:lang w:val="es-PE"/>
        </w:rPr>
        <w:lastRenderedPageBreak/>
        <w:t>por la suma de S/3,000 (bajo la glos</w:t>
      </w:r>
      <w:r w:rsidR="004F4A79" w:rsidRPr="007614BC">
        <w:rPr>
          <w:lang w:val="es-PE"/>
        </w:rPr>
        <w:t>a</w:t>
      </w:r>
      <w:r w:rsidR="00A9370E" w:rsidRPr="007614BC">
        <w:rPr>
          <w:lang w:val="es-PE"/>
        </w:rPr>
        <w:t xml:space="preserve"> </w:t>
      </w:r>
      <w:r w:rsidR="00961EBC">
        <w:t>..................</w:t>
      </w:r>
      <w:r w:rsidR="004F4A79" w:rsidRPr="007614BC">
        <w:rPr>
          <w:lang w:val="es-PE"/>
        </w:rPr>
        <w:t xml:space="preserve">). Que si bien ello evidenciaría que el día del siniestro se realizó el retiro que </w:t>
      </w:r>
      <w:r w:rsidR="00BC3D6E" w:rsidRPr="007614BC">
        <w:rPr>
          <w:lang w:val="es-PE"/>
        </w:rPr>
        <w:t xml:space="preserve">el asegurado </w:t>
      </w:r>
      <w:r w:rsidR="004F4A79" w:rsidRPr="007614BC">
        <w:rPr>
          <w:lang w:val="es-PE"/>
        </w:rPr>
        <w:t>indica habría sido objeto de robo, ello no desvirtúa las conclusi</w:t>
      </w:r>
      <w:r w:rsidR="005C60AF" w:rsidRPr="007614BC">
        <w:rPr>
          <w:lang w:val="es-PE"/>
        </w:rPr>
        <w:t>o</w:t>
      </w:r>
      <w:r w:rsidR="004F4A79" w:rsidRPr="007614BC">
        <w:rPr>
          <w:lang w:val="es-PE"/>
        </w:rPr>
        <w:t>nes de</w:t>
      </w:r>
      <w:r w:rsidR="005C60AF" w:rsidRPr="007614BC">
        <w:rPr>
          <w:lang w:val="es-PE"/>
        </w:rPr>
        <w:t xml:space="preserve"> la Disposici</w:t>
      </w:r>
      <w:r w:rsidR="005F064F" w:rsidRPr="007614BC">
        <w:rPr>
          <w:lang w:val="es-PE"/>
        </w:rPr>
        <w:t>ón</w:t>
      </w:r>
      <w:r w:rsidR="005C60AF" w:rsidRPr="007614BC">
        <w:rPr>
          <w:lang w:val="es-PE"/>
        </w:rPr>
        <w:t xml:space="preserve"> N</w:t>
      </w:r>
      <w:r w:rsidR="005F064F" w:rsidRPr="007614BC">
        <w:rPr>
          <w:lang w:val="es-PE"/>
        </w:rPr>
        <w:t>o. 03 emitida por el Minis</w:t>
      </w:r>
      <w:r w:rsidR="009E717E" w:rsidRPr="007614BC">
        <w:rPr>
          <w:lang w:val="es-PE"/>
        </w:rPr>
        <w:t>t</w:t>
      </w:r>
      <w:r w:rsidR="005F064F" w:rsidRPr="007614BC">
        <w:rPr>
          <w:lang w:val="es-PE"/>
        </w:rPr>
        <w:t>erio Público que dispone el archivo de la investigación por no haberse acredita</w:t>
      </w:r>
      <w:r w:rsidR="00392D65" w:rsidRPr="007614BC">
        <w:rPr>
          <w:lang w:val="es-PE"/>
        </w:rPr>
        <w:t>do</w:t>
      </w:r>
      <w:r w:rsidR="005F064F" w:rsidRPr="007614BC">
        <w:rPr>
          <w:lang w:val="es-PE"/>
        </w:rPr>
        <w:t xml:space="preserve"> la existencia del delito</w:t>
      </w:r>
      <w:r w:rsidR="00392D65" w:rsidRPr="007614BC">
        <w:rPr>
          <w:lang w:val="es-PE"/>
        </w:rPr>
        <w:t xml:space="preserve"> </w:t>
      </w:r>
      <w:r w:rsidR="00B63611" w:rsidRPr="007614BC">
        <w:rPr>
          <w:lang w:val="es-PE"/>
        </w:rPr>
        <w:t xml:space="preserve">al </w:t>
      </w:r>
      <w:r w:rsidR="005D38E1" w:rsidRPr="007614BC">
        <w:rPr>
          <w:lang w:val="es-PE"/>
        </w:rPr>
        <w:t xml:space="preserve">no </w:t>
      </w:r>
      <w:r w:rsidR="00B63611" w:rsidRPr="007614BC">
        <w:rPr>
          <w:lang w:val="es-PE"/>
        </w:rPr>
        <w:t xml:space="preserve">haberse “recabado suficientes elementos de </w:t>
      </w:r>
      <w:r w:rsidR="001E31C2" w:rsidRPr="007614BC">
        <w:rPr>
          <w:lang w:val="es-PE"/>
        </w:rPr>
        <w:t>c</w:t>
      </w:r>
      <w:r w:rsidR="00B63611" w:rsidRPr="007614BC">
        <w:rPr>
          <w:lang w:val="es-PE"/>
        </w:rPr>
        <w:t xml:space="preserve">onvicción que permitan esclarecer los hechos”, </w:t>
      </w:r>
      <w:r w:rsidR="00797750" w:rsidRPr="007614BC">
        <w:rPr>
          <w:lang w:val="es-PE"/>
        </w:rPr>
        <w:t>y e</w:t>
      </w:r>
      <w:r w:rsidR="00DA078C" w:rsidRPr="007614BC">
        <w:rPr>
          <w:lang w:val="es-PE"/>
        </w:rPr>
        <w:t>l desinterés mostrado por el propio agraviado</w:t>
      </w:r>
      <w:r w:rsidR="001E31C2" w:rsidRPr="007614BC">
        <w:rPr>
          <w:lang w:val="es-PE"/>
        </w:rPr>
        <w:t xml:space="preserve">, todo lo cual determina que </w:t>
      </w:r>
      <w:r w:rsidR="00392D65" w:rsidRPr="007614BC">
        <w:rPr>
          <w:i/>
          <w:iCs/>
          <w:lang w:val="es-PE"/>
        </w:rPr>
        <w:t>“no se cuenta con una teoría concreta y objetiva del caso”</w:t>
      </w:r>
      <w:r w:rsidR="009E717E" w:rsidRPr="007614BC">
        <w:rPr>
          <w:i/>
          <w:iCs/>
          <w:lang w:val="es-PE"/>
        </w:rPr>
        <w:t xml:space="preserve">. </w:t>
      </w:r>
    </w:p>
    <w:p w14:paraId="2F5D2DDF" w14:textId="77777777" w:rsidR="00234FE1" w:rsidRPr="007614BC" w:rsidRDefault="00234FE1" w:rsidP="00234FE1">
      <w:pPr>
        <w:jc w:val="both"/>
        <w:rPr>
          <w:lang w:val="es-PE"/>
        </w:rPr>
      </w:pPr>
    </w:p>
    <w:p w14:paraId="24B59FF3" w14:textId="612AD590" w:rsidR="00234FE1" w:rsidRPr="007614BC" w:rsidRDefault="00234FE1" w:rsidP="00234FE1">
      <w:pPr>
        <w:jc w:val="both"/>
        <w:rPr>
          <w:lang w:val="es-PE"/>
        </w:rPr>
      </w:pPr>
      <w:r w:rsidRPr="007614BC">
        <w:rPr>
          <w:lang w:val="es-PE"/>
        </w:rPr>
        <w:t>A juicio de este colegiado, el recurso impugnativo interpuesto puede ser categorizado, por su contenido mismo, como una solicitud de revisión general, sustentado en el muy respetable criterio de</w:t>
      </w:r>
      <w:r w:rsidR="00E97408" w:rsidRPr="007614BC">
        <w:rPr>
          <w:lang w:val="es-PE"/>
        </w:rPr>
        <w:t>l</w:t>
      </w:r>
      <w:r w:rsidRPr="007614BC">
        <w:rPr>
          <w:lang w:val="es-PE"/>
        </w:rPr>
        <w:t xml:space="preserve"> reclamante que este colegiado no comparte definitivamente, pero sin aportar argumento o medio probatorio </w:t>
      </w:r>
      <w:r w:rsidR="00E97408" w:rsidRPr="007614BC">
        <w:rPr>
          <w:lang w:val="es-PE"/>
        </w:rPr>
        <w:t xml:space="preserve">suficiente </w:t>
      </w:r>
      <w:r w:rsidRPr="007614BC">
        <w:rPr>
          <w:lang w:val="es-PE"/>
        </w:rPr>
        <w:t>que permita objetivamente a este colegiado apreciar que habría incurrido efectivamente en un error o vicio al momento de resolver, por lo que la DEFASEG reitera lo analizado y concluido en su oportunidad.</w:t>
      </w:r>
    </w:p>
    <w:p w14:paraId="66C6023E" w14:textId="77777777" w:rsidR="00234FE1" w:rsidRPr="007614BC" w:rsidRDefault="00234FE1" w:rsidP="00234FE1">
      <w:pPr>
        <w:jc w:val="both"/>
        <w:rPr>
          <w:lang w:val="es-PE"/>
        </w:rPr>
      </w:pPr>
    </w:p>
    <w:p w14:paraId="7CF47201" w14:textId="0E3911A0" w:rsidR="00234FE1" w:rsidRPr="007614BC" w:rsidRDefault="00E97408" w:rsidP="00EE3391">
      <w:pPr>
        <w:jc w:val="both"/>
      </w:pPr>
      <w:r w:rsidRPr="007614BC">
        <w:t xml:space="preserve">En efecto, el reclamante hace referencia </w:t>
      </w:r>
      <w:r w:rsidR="00EE3391" w:rsidRPr="007614BC">
        <w:t>a una serie de actos realizados</w:t>
      </w:r>
      <w:r w:rsidR="004366EC" w:rsidRPr="007614BC">
        <w:t xml:space="preserve"> que demostrarían que sí tuvo interés en el esclarecimiento de los hechos</w:t>
      </w:r>
      <w:r w:rsidR="00EE3391" w:rsidRPr="007614BC">
        <w:t>, los cuales m</w:t>
      </w:r>
      <w:r w:rsidR="00530BBF" w:rsidRPr="007614BC">
        <w:t>á</w:t>
      </w:r>
      <w:r w:rsidR="00EE3391" w:rsidRPr="007614BC">
        <w:t>s allá de su dicho no se encuentran debidamente acreditados</w:t>
      </w:r>
      <w:r w:rsidR="00A368F0" w:rsidRPr="007614BC">
        <w:t>, ni desvirtúan las conclusiones del ministerio público.</w:t>
      </w:r>
      <w:r w:rsidR="009807B8" w:rsidRPr="007614BC">
        <w:t xml:space="preserve"> Por lo que este colegiado no encuentra razones suficientes que le permitan apreciar que se habría incurrido en error o en una equivocada apreciación de los hechos</w:t>
      </w:r>
      <w:r w:rsidR="009F7A0E" w:rsidRPr="007614BC">
        <w:t xml:space="preserve"> </w:t>
      </w:r>
      <w:r w:rsidR="00D169EF" w:rsidRPr="007614BC">
        <w:t xml:space="preserve">que justifiquen revocar la resolución emitida. </w:t>
      </w:r>
    </w:p>
    <w:p w14:paraId="48C68135" w14:textId="77777777" w:rsidR="00234FE1" w:rsidRPr="007614BC" w:rsidRDefault="00234FE1" w:rsidP="00234FE1">
      <w:pPr>
        <w:jc w:val="both"/>
      </w:pPr>
    </w:p>
    <w:p w14:paraId="39B8DA75" w14:textId="77777777" w:rsidR="00234FE1" w:rsidRPr="007614BC" w:rsidRDefault="00234FE1" w:rsidP="00234FE1">
      <w:pPr>
        <w:jc w:val="both"/>
        <w:rPr>
          <w:b/>
          <w:lang w:val="es-PE"/>
        </w:rPr>
      </w:pPr>
      <w:r w:rsidRPr="007614BC">
        <w:rPr>
          <w:b/>
          <w:lang w:val="es-PE"/>
        </w:rPr>
        <w:t>Atendiendo a lo expresado, conforme a su Reglamento, este colegiado resuelve:</w:t>
      </w:r>
    </w:p>
    <w:p w14:paraId="03A198FE" w14:textId="77777777" w:rsidR="00234FE1" w:rsidRPr="007614BC" w:rsidRDefault="00234FE1" w:rsidP="00234FE1">
      <w:pPr>
        <w:jc w:val="both"/>
        <w:rPr>
          <w:rFonts w:eastAsia="Arial Unicode MS"/>
          <w:b/>
          <w:lang w:val="es-PE"/>
        </w:rPr>
      </w:pPr>
    </w:p>
    <w:p w14:paraId="6976FD9F" w14:textId="76F69A4D" w:rsidR="00234FE1" w:rsidRPr="007614BC" w:rsidRDefault="00234FE1" w:rsidP="00234FE1">
      <w:pPr>
        <w:jc w:val="both"/>
      </w:pPr>
      <w:r w:rsidRPr="007614BC">
        <w:rPr>
          <w:rFonts w:eastAsia="Arial Unicode MS"/>
          <w:b/>
          <w:lang w:val="es-PE"/>
        </w:rPr>
        <w:t xml:space="preserve">Declarar INFUNDADO el recurso impugnativo </w:t>
      </w:r>
      <w:r w:rsidRPr="007614BC">
        <w:rPr>
          <w:rFonts w:eastAsia="Arial Unicode MS"/>
          <w:lang w:val="es-PE"/>
        </w:rPr>
        <w:t xml:space="preserve">interpuesto por </w:t>
      </w:r>
      <w:r w:rsidR="00961EBC">
        <w:t>..................</w:t>
      </w:r>
      <w:r w:rsidR="00961EBC">
        <w:t xml:space="preserve"> </w:t>
      </w:r>
      <w:r w:rsidRPr="007614BC">
        <w:t xml:space="preserve">y, por consiguiente, </w:t>
      </w:r>
      <w:r w:rsidRPr="007614BC">
        <w:rPr>
          <w:b/>
        </w:rPr>
        <w:t xml:space="preserve">CONFIRMAR </w:t>
      </w:r>
      <w:r w:rsidRPr="007614BC">
        <w:t xml:space="preserve">la Resolución Nro. </w:t>
      </w:r>
      <w:r w:rsidR="00EB0487" w:rsidRPr="007614BC">
        <w:t>002</w:t>
      </w:r>
      <w:r w:rsidRPr="007614BC">
        <w:t>/</w:t>
      </w:r>
      <w:r w:rsidR="00EB0487" w:rsidRPr="007614BC">
        <w:t>20</w:t>
      </w:r>
      <w:r w:rsidRPr="007614BC">
        <w:t xml:space="preserve">, de fecha </w:t>
      </w:r>
      <w:r w:rsidR="00AE24AD" w:rsidRPr="007614BC">
        <w:t>13</w:t>
      </w:r>
      <w:r w:rsidRPr="007614BC">
        <w:t xml:space="preserve"> de </w:t>
      </w:r>
      <w:r w:rsidR="00AE24AD" w:rsidRPr="007614BC">
        <w:t xml:space="preserve">enero </w:t>
      </w:r>
      <w:r w:rsidRPr="007614BC">
        <w:t>de 20</w:t>
      </w:r>
      <w:r w:rsidR="00AE24AD" w:rsidRPr="007614BC">
        <w:t>20.</w:t>
      </w:r>
    </w:p>
    <w:p w14:paraId="14ECA331" w14:textId="77777777" w:rsidR="00234FE1" w:rsidRPr="007614BC" w:rsidRDefault="00234FE1" w:rsidP="00234FE1">
      <w:pPr>
        <w:jc w:val="right"/>
        <w:outlineLvl w:val="0"/>
        <w:rPr>
          <w:rFonts w:eastAsia="Arial Unicode MS"/>
        </w:rPr>
      </w:pPr>
    </w:p>
    <w:p w14:paraId="2BE1FB6C" w14:textId="5427BE73" w:rsidR="00234FE1" w:rsidRDefault="007614BC" w:rsidP="00234FE1">
      <w:pPr>
        <w:jc w:val="right"/>
        <w:rPr>
          <w:rFonts w:eastAsia="Arial Unicode MS"/>
        </w:rPr>
      </w:pPr>
      <w:r>
        <w:rPr>
          <w:rFonts w:eastAsia="Arial Unicode MS"/>
        </w:rPr>
        <w:t>L</w:t>
      </w:r>
      <w:r w:rsidR="00234FE1" w:rsidRPr="007614BC">
        <w:rPr>
          <w:rFonts w:eastAsia="Arial Unicode MS"/>
        </w:rPr>
        <w:t xml:space="preserve">ima, </w:t>
      </w:r>
      <w:r>
        <w:rPr>
          <w:rFonts w:eastAsia="Arial Unicode MS"/>
        </w:rPr>
        <w:t>24 de febrero de 2020</w:t>
      </w:r>
    </w:p>
    <w:p w14:paraId="13C21A1F" w14:textId="1870D0A9" w:rsidR="007614BC" w:rsidRDefault="007614BC" w:rsidP="007614BC">
      <w:pPr>
        <w:rPr>
          <w:rFonts w:eastAsia="Arial Unicode MS"/>
        </w:rPr>
      </w:pPr>
    </w:p>
    <w:p w14:paraId="3B019C1E" w14:textId="47CEF1A1" w:rsidR="007614BC" w:rsidRDefault="007614BC" w:rsidP="007614BC">
      <w:pPr>
        <w:rPr>
          <w:rFonts w:eastAsia="Arial Unicode MS"/>
        </w:rPr>
      </w:pPr>
    </w:p>
    <w:p w14:paraId="6FBE5426" w14:textId="77777777" w:rsidR="007614BC" w:rsidRDefault="007614BC" w:rsidP="007614BC">
      <w:pPr>
        <w:rPr>
          <w:sz w:val="23"/>
          <w:szCs w:val="23"/>
        </w:rPr>
      </w:pPr>
    </w:p>
    <w:p w14:paraId="73AF1795" w14:textId="1E06B95C" w:rsidR="007614BC" w:rsidRDefault="007614BC" w:rsidP="007614BC">
      <w:pPr>
        <w:rPr>
          <w:sz w:val="23"/>
          <w:szCs w:val="23"/>
        </w:rPr>
      </w:pPr>
    </w:p>
    <w:p w14:paraId="47DF9FA2" w14:textId="77777777" w:rsidR="00961EBC" w:rsidRDefault="00961EBC" w:rsidP="007614BC">
      <w:pPr>
        <w:rPr>
          <w:sz w:val="23"/>
          <w:szCs w:val="23"/>
        </w:rPr>
      </w:pPr>
    </w:p>
    <w:p w14:paraId="41388989" w14:textId="77777777" w:rsidR="007614BC" w:rsidRDefault="007614BC" w:rsidP="007614BC">
      <w:pPr>
        <w:rPr>
          <w:sz w:val="23"/>
          <w:szCs w:val="23"/>
        </w:rPr>
      </w:pPr>
    </w:p>
    <w:p w14:paraId="1F28B0FB" w14:textId="74F960E2" w:rsidR="007614BC" w:rsidRDefault="007614BC" w:rsidP="007614BC">
      <w:pPr>
        <w:rPr>
          <w:sz w:val="23"/>
          <w:szCs w:val="23"/>
        </w:rPr>
      </w:pPr>
      <w:r>
        <w:rPr>
          <w:sz w:val="23"/>
          <w:szCs w:val="23"/>
        </w:rPr>
        <w:tab/>
      </w:r>
      <w:r>
        <w:rPr>
          <w:sz w:val="23"/>
          <w:szCs w:val="23"/>
        </w:rPr>
        <w:tab/>
      </w:r>
      <w:r w:rsidR="00961EBC">
        <w:rPr>
          <w:sz w:val="23"/>
          <w:szCs w:val="23"/>
        </w:rPr>
        <w:t xml:space="preserve">                          </w:t>
      </w:r>
      <w:r>
        <w:rPr>
          <w:sz w:val="23"/>
          <w:szCs w:val="23"/>
        </w:rPr>
        <w:t>Marco Antonio Ortega Piana</w:t>
      </w: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t xml:space="preserve">                 </w:t>
      </w:r>
      <w:r w:rsidR="00961EBC">
        <w:rPr>
          <w:sz w:val="23"/>
          <w:szCs w:val="23"/>
        </w:rPr>
        <w:t xml:space="preserve">                         </w:t>
      </w:r>
      <w:r>
        <w:rPr>
          <w:sz w:val="23"/>
          <w:szCs w:val="23"/>
        </w:rPr>
        <w:t xml:space="preserve"> Vocal                                   </w:t>
      </w:r>
    </w:p>
    <w:p w14:paraId="771A5EC7" w14:textId="77777777" w:rsidR="007614BC" w:rsidRDefault="007614BC" w:rsidP="007614BC">
      <w:pPr>
        <w:rPr>
          <w:sz w:val="23"/>
          <w:szCs w:val="23"/>
        </w:rPr>
      </w:pPr>
    </w:p>
    <w:p w14:paraId="49B2F114" w14:textId="77777777" w:rsidR="007614BC" w:rsidRDefault="007614BC" w:rsidP="007614BC">
      <w:pPr>
        <w:rPr>
          <w:sz w:val="23"/>
          <w:szCs w:val="23"/>
        </w:rPr>
      </w:pPr>
    </w:p>
    <w:p w14:paraId="1155786B" w14:textId="77777777" w:rsidR="007614BC" w:rsidRDefault="007614BC" w:rsidP="007614BC">
      <w:pPr>
        <w:rPr>
          <w:sz w:val="23"/>
          <w:szCs w:val="23"/>
        </w:rPr>
      </w:pPr>
    </w:p>
    <w:p w14:paraId="16F94A29" w14:textId="77777777" w:rsidR="007614BC" w:rsidRDefault="007614BC" w:rsidP="007614BC">
      <w:pPr>
        <w:rPr>
          <w:sz w:val="23"/>
          <w:szCs w:val="23"/>
        </w:rPr>
      </w:pPr>
    </w:p>
    <w:p w14:paraId="749EBD97" w14:textId="77777777" w:rsidR="007614BC" w:rsidRDefault="007614BC" w:rsidP="007614BC">
      <w:pPr>
        <w:rPr>
          <w:sz w:val="23"/>
          <w:szCs w:val="23"/>
        </w:rPr>
      </w:pPr>
    </w:p>
    <w:p w14:paraId="08DC3AA0" w14:textId="77777777" w:rsidR="007614BC" w:rsidRDefault="007614BC" w:rsidP="007614BC">
      <w:pPr>
        <w:rPr>
          <w:sz w:val="23"/>
          <w:szCs w:val="23"/>
        </w:rPr>
      </w:pPr>
    </w:p>
    <w:p w14:paraId="03C1CDD7" w14:textId="77777777" w:rsidR="007614BC" w:rsidRDefault="007614BC" w:rsidP="007614BC">
      <w:pPr>
        <w:rPr>
          <w:sz w:val="23"/>
          <w:szCs w:val="23"/>
        </w:rPr>
      </w:pPr>
      <w:r>
        <w:rPr>
          <w:sz w:val="23"/>
          <w:szCs w:val="23"/>
        </w:rPr>
        <w:t xml:space="preserve">Rolando Eyzaguirre </w:t>
      </w:r>
      <w:proofErr w:type="spellStart"/>
      <w:r>
        <w:rPr>
          <w:sz w:val="23"/>
          <w:szCs w:val="23"/>
        </w:rPr>
        <w:t>Maccan</w:t>
      </w:r>
      <w:proofErr w:type="spellEnd"/>
      <w:r>
        <w:rPr>
          <w:sz w:val="23"/>
          <w:szCs w:val="23"/>
        </w:rPr>
        <w:t xml:space="preserve"> </w:t>
      </w:r>
      <w:r>
        <w:rPr>
          <w:sz w:val="23"/>
          <w:szCs w:val="23"/>
        </w:rPr>
        <w:tab/>
      </w:r>
      <w:r>
        <w:rPr>
          <w:sz w:val="23"/>
          <w:szCs w:val="23"/>
        </w:rPr>
        <w:tab/>
      </w:r>
      <w:r>
        <w:rPr>
          <w:sz w:val="23"/>
          <w:szCs w:val="23"/>
        </w:rPr>
        <w:tab/>
      </w:r>
      <w:r>
        <w:rPr>
          <w:sz w:val="23"/>
          <w:szCs w:val="23"/>
        </w:rPr>
        <w:tab/>
        <w:t xml:space="preserve">   Gonzalo Abad del Busto</w:t>
      </w:r>
    </w:p>
    <w:p w14:paraId="3D02700C" w14:textId="77777777" w:rsidR="007614BC" w:rsidRPr="00B1296B" w:rsidRDefault="007614BC" w:rsidP="007614BC">
      <w:pPr>
        <w:rPr>
          <w:sz w:val="23"/>
          <w:szCs w:val="23"/>
        </w:rPr>
      </w:pPr>
      <w:r>
        <w:rPr>
          <w:sz w:val="23"/>
          <w:szCs w:val="23"/>
        </w:rPr>
        <w:t xml:space="preserve">               Vocal</w:t>
      </w:r>
      <w:r>
        <w:rPr>
          <w:sz w:val="23"/>
          <w:szCs w:val="23"/>
        </w:rPr>
        <w:tab/>
        <w:t xml:space="preserve">                                                                 </w:t>
      </w:r>
      <w:r>
        <w:rPr>
          <w:sz w:val="23"/>
          <w:szCs w:val="23"/>
        </w:rPr>
        <w:tab/>
        <w:t xml:space="preserve">      Vocal</w:t>
      </w:r>
    </w:p>
    <w:p w14:paraId="2F9A1A1E" w14:textId="77777777" w:rsidR="007614BC" w:rsidRPr="007614BC" w:rsidRDefault="007614BC"/>
    <w:sectPr w:rsidR="007614BC" w:rsidRPr="007614BC" w:rsidSect="007614BC">
      <w:footerReference w:type="default" r:id="rId6"/>
      <w:pgSz w:w="11906" w:h="16838"/>
      <w:pgMar w:top="1843"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40B13" w14:textId="77777777" w:rsidR="00457B45" w:rsidRDefault="00457B45" w:rsidP="00961EBC">
      <w:r>
        <w:separator/>
      </w:r>
    </w:p>
  </w:endnote>
  <w:endnote w:type="continuationSeparator" w:id="0">
    <w:p w14:paraId="380A006B" w14:textId="77777777" w:rsidR="00457B45" w:rsidRDefault="00457B45" w:rsidP="0096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77173"/>
      <w:docPartObj>
        <w:docPartGallery w:val="Page Numbers (Bottom of Page)"/>
        <w:docPartUnique/>
      </w:docPartObj>
    </w:sdtPr>
    <w:sdtContent>
      <w:sdt>
        <w:sdtPr>
          <w:id w:val="-1769616900"/>
          <w:docPartObj>
            <w:docPartGallery w:val="Page Numbers (Top of Page)"/>
            <w:docPartUnique/>
          </w:docPartObj>
        </w:sdtPr>
        <w:sdtContent>
          <w:p w14:paraId="42729321" w14:textId="022B18BF" w:rsidR="00961EBC" w:rsidRDefault="00961EBC">
            <w:pPr>
              <w:pStyle w:val="Piedepgina"/>
              <w:jc w:val="right"/>
            </w:pPr>
            <w:r w:rsidRPr="00961EBC">
              <w:rPr>
                <w:sz w:val="18"/>
                <w:szCs w:val="18"/>
              </w:rPr>
              <w:t xml:space="preserve">Página </w:t>
            </w:r>
            <w:r w:rsidRPr="00961EBC">
              <w:rPr>
                <w:b/>
                <w:bCs/>
                <w:sz w:val="18"/>
                <w:szCs w:val="18"/>
              </w:rPr>
              <w:fldChar w:fldCharType="begin"/>
            </w:r>
            <w:r w:rsidRPr="00961EBC">
              <w:rPr>
                <w:b/>
                <w:bCs/>
                <w:sz w:val="18"/>
                <w:szCs w:val="18"/>
              </w:rPr>
              <w:instrText>PAGE</w:instrText>
            </w:r>
            <w:r w:rsidRPr="00961EBC">
              <w:rPr>
                <w:b/>
                <w:bCs/>
                <w:sz w:val="18"/>
                <w:szCs w:val="18"/>
              </w:rPr>
              <w:fldChar w:fldCharType="separate"/>
            </w:r>
            <w:r w:rsidRPr="00961EBC">
              <w:rPr>
                <w:b/>
                <w:bCs/>
                <w:sz w:val="18"/>
                <w:szCs w:val="18"/>
              </w:rPr>
              <w:t>2</w:t>
            </w:r>
            <w:r w:rsidRPr="00961EBC">
              <w:rPr>
                <w:b/>
                <w:bCs/>
                <w:sz w:val="18"/>
                <w:szCs w:val="18"/>
              </w:rPr>
              <w:fldChar w:fldCharType="end"/>
            </w:r>
            <w:r w:rsidRPr="00961EBC">
              <w:rPr>
                <w:sz w:val="18"/>
                <w:szCs w:val="18"/>
              </w:rPr>
              <w:t xml:space="preserve"> de </w:t>
            </w:r>
            <w:r w:rsidRPr="00961EBC">
              <w:rPr>
                <w:b/>
                <w:bCs/>
                <w:sz w:val="18"/>
                <w:szCs w:val="18"/>
              </w:rPr>
              <w:fldChar w:fldCharType="begin"/>
            </w:r>
            <w:r w:rsidRPr="00961EBC">
              <w:rPr>
                <w:b/>
                <w:bCs/>
                <w:sz w:val="18"/>
                <w:szCs w:val="18"/>
              </w:rPr>
              <w:instrText>NUMPAGES</w:instrText>
            </w:r>
            <w:r w:rsidRPr="00961EBC">
              <w:rPr>
                <w:b/>
                <w:bCs/>
                <w:sz w:val="18"/>
                <w:szCs w:val="18"/>
              </w:rPr>
              <w:fldChar w:fldCharType="separate"/>
            </w:r>
            <w:r w:rsidRPr="00961EBC">
              <w:rPr>
                <w:b/>
                <w:bCs/>
                <w:sz w:val="18"/>
                <w:szCs w:val="18"/>
              </w:rPr>
              <w:t>2</w:t>
            </w:r>
            <w:r w:rsidRPr="00961EBC">
              <w:rPr>
                <w:b/>
                <w:bCs/>
                <w:sz w:val="18"/>
                <w:szCs w:val="18"/>
              </w:rPr>
              <w:fldChar w:fldCharType="end"/>
            </w:r>
          </w:p>
        </w:sdtContent>
      </w:sdt>
    </w:sdtContent>
  </w:sdt>
  <w:p w14:paraId="29FC7F9B" w14:textId="77777777" w:rsidR="00961EBC" w:rsidRDefault="00961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64BC1" w14:textId="77777777" w:rsidR="00457B45" w:rsidRDefault="00457B45" w:rsidP="00961EBC">
      <w:r>
        <w:separator/>
      </w:r>
    </w:p>
  </w:footnote>
  <w:footnote w:type="continuationSeparator" w:id="0">
    <w:p w14:paraId="4BADC7D4" w14:textId="77777777" w:rsidR="00457B45" w:rsidRDefault="00457B45" w:rsidP="0096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E1"/>
    <w:rsid w:val="00032526"/>
    <w:rsid w:val="00084E51"/>
    <w:rsid w:val="000E030C"/>
    <w:rsid w:val="001E31C2"/>
    <w:rsid w:val="00234FE1"/>
    <w:rsid w:val="00275D39"/>
    <w:rsid w:val="002D6BA1"/>
    <w:rsid w:val="00317462"/>
    <w:rsid w:val="00392D65"/>
    <w:rsid w:val="003A6CA9"/>
    <w:rsid w:val="00417E23"/>
    <w:rsid w:val="004366EC"/>
    <w:rsid w:val="00457B45"/>
    <w:rsid w:val="00490E7A"/>
    <w:rsid w:val="004F4A79"/>
    <w:rsid w:val="00530BBF"/>
    <w:rsid w:val="0058358B"/>
    <w:rsid w:val="005B3155"/>
    <w:rsid w:val="005B74E3"/>
    <w:rsid w:val="005C28A2"/>
    <w:rsid w:val="005C60AF"/>
    <w:rsid w:val="005D38E1"/>
    <w:rsid w:val="005F064F"/>
    <w:rsid w:val="00671038"/>
    <w:rsid w:val="00746ED0"/>
    <w:rsid w:val="007614BC"/>
    <w:rsid w:val="00797750"/>
    <w:rsid w:val="007C2FC5"/>
    <w:rsid w:val="007D5DF2"/>
    <w:rsid w:val="008930FB"/>
    <w:rsid w:val="00917B63"/>
    <w:rsid w:val="0094074E"/>
    <w:rsid w:val="009565EF"/>
    <w:rsid w:val="00957F9C"/>
    <w:rsid w:val="00961EBC"/>
    <w:rsid w:val="009807B8"/>
    <w:rsid w:val="00991240"/>
    <w:rsid w:val="009E717E"/>
    <w:rsid w:val="009F7A0E"/>
    <w:rsid w:val="00A223FC"/>
    <w:rsid w:val="00A343CA"/>
    <w:rsid w:val="00A368F0"/>
    <w:rsid w:val="00A61987"/>
    <w:rsid w:val="00A662F0"/>
    <w:rsid w:val="00A9370E"/>
    <w:rsid w:val="00AE24AD"/>
    <w:rsid w:val="00AE3C15"/>
    <w:rsid w:val="00B16C7D"/>
    <w:rsid w:val="00B43233"/>
    <w:rsid w:val="00B63611"/>
    <w:rsid w:val="00BB2033"/>
    <w:rsid w:val="00BC3D6E"/>
    <w:rsid w:val="00BE1DC4"/>
    <w:rsid w:val="00D15C1E"/>
    <w:rsid w:val="00D169EF"/>
    <w:rsid w:val="00D76690"/>
    <w:rsid w:val="00D86E87"/>
    <w:rsid w:val="00DA078C"/>
    <w:rsid w:val="00DF4178"/>
    <w:rsid w:val="00E97408"/>
    <w:rsid w:val="00EA357C"/>
    <w:rsid w:val="00EB0487"/>
    <w:rsid w:val="00EC2C0C"/>
    <w:rsid w:val="00EC532E"/>
    <w:rsid w:val="00EE3391"/>
    <w:rsid w:val="00EF3F23"/>
    <w:rsid w:val="00F029DD"/>
    <w:rsid w:val="00F0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3D2A"/>
  <w15:chartTrackingRefBased/>
  <w15:docId w15:val="{6AC4B254-6DB3-485D-9C1A-FFEEB2E1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E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4FE1"/>
    <w:pPr>
      <w:jc w:val="both"/>
    </w:pPr>
    <w:rPr>
      <w:bCs/>
      <w:lang w:val="es-MX"/>
    </w:rPr>
  </w:style>
  <w:style w:type="character" w:customStyle="1" w:styleId="TextoindependienteCar">
    <w:name w:val="Texto independiente Car"/>
    <w:basedOn w:val="Fuentedeprrafopredeter"/>
    <w:link w:val="Textoindependiente"/>
    <w:rsid w:val="00234FE1"/>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34FE1"/>
    <w:rPr>
      <w:color w:val="0563C1" w:themeColor="hyperlink"/>
      <w:u w:val="single"/>
    </w:rPr>
  </w:style>
  <w:style w:type="paragraph" w:styleId="Encabezado">
    <w:name w:val="header"/>
    <w:basedOn w:val="Normal"/>
    <w:link w:val="EncabezadoCar"/>
    <w:uiPriority w:val="99"/>
    <w:unhideWhenUsed/>
    <w:rsid w:val="00961EBC"/>
    <w:pPr>
      <w:tabs>
        <w:tab w:val="center" w:pos="4252"/>
        <w:tab w:val="right" w:pos="8504"/>
      </w:tabs>
    </w:pPr>
  </w:style>
  <w:style w:type="character" w:customStyle="1" w:styleId="EncabezadoCar">
    <w:name w:val="Encabezado Car"/>
    <w:basedOn w:val="Fuentedeprrafopredeter"/>
    <w:link w:val="Encabezado"/>
    <w:uiPriority w:val="99"/>
    <w:rsid w:val="00961EBC"/>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961EBC"/>
    <w:pPr>
      <w:tabs>
        <w:tab w:val="center" w:pos="4252"/>
        <w:tab w:val="right" w:pos="8504"/>
      </w:tabs>
    </w:pPr>
  </w:style>
  <w:style w:type="character" w:customStyle="1" w:styleId="PiedepginaCar">
    <w:name w:val="Pie de página Car"/>
    <w:basedOn w:val="Fuentedeprrafopredeter"/>
    <w:link w:val="Piedepgina"/>
    <w:uiPriority w:val="99"/>
    <w:rsid w:val="00961EBC"/>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842</Words>
  <Characters>4632</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3</cp:revision>
  <dcterms:created xsi:type="dcterms:W3CDTF">2020-02-24T18:47:00Z</dcterms:created>
  <dcterms:modified xsi:type="dcterms:W3CDTF">2021-02-21T20:06:00Z</dcterms:modified>
</cp:coreProperties>
</file>