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4ACF" w14:textId="77777777" w:rsidR="00E64F28" w:rsidRPr="004F150F" w:rsidRDefault="00E64F28" w:rsidP="00400C84">
      <w:pPr>
        <w:pStyle w:val="Puesto"/>
        <w:outlineLvl w:val="0"/>
      </w:pPr>
      <w:r w:rsidRPr="004F150F">
        <w:t xml:space="preserve">RESOLUCIÓN DE RECURSO DE </w:t>
      </w:r>
      <w:r w:rsidR="00F05CB6" w:rsidRPr="004F150F">
        <w:t>IMPUGNACIÓN</w:t>
      </w:r>
      <w:r w:rsidRPr="004F150F">
        <w:t xml:space="preserve"> N</w:t>
      </w:r>
      <w:r w:rsidR="00F106F7" w:rsidRPr="004F150F">
        <w:t>° 018/20</w:t>
      </w:r>
    </w:p>
    <w:p w14:paraId="6CBBE740" w14:textId="77777777" w:rsidR="00E64F28" w:rsidRPr="004F150F" w:rsidRDefault="00E64F28">
      <w:pPr>
        <w:rPr>
          <w:b/>
          <w:bCs/>
          <w:lang w:val="es-MX"/>
        </w:rPr>
      </w:pPr>
    </w:p>
    <w:p w14:paraId="7FA36C58" w14:textId="77777777" w:rsidR="00E64F28" w:rsidRPr="004F150F" w:rsidRDefault="00E64F28">
      <w:pPr>
        <w:rPr>
          <w:b/>
          <w:bCs/>
          <w:lang w:val="es-MX"/>
        </w:rPr>
      </w:pPr>
    </w:p>
    <w:p w14:paraId="3B8073F7" w14:textId="77777777" w:rsidR="00E64F28" w:rsidRPr="004F150F" w:rsidRDefault="00F05CB6" w:rsidP="00400C84">
      <w:pPr>
        <w:jc w:val="both"/>
        <w:outlineLvl w:val="0"/>
        <w:rPr>
          <w:b/>
          <w:bCs/>
          <w:lang w:val="es-MX"/>
        </w:rPr>
      </w:pPr>
      <w:r w:rsidRPr="004F150F">
        <w:rPr>
          <w:b/>
          <w:bCs/>
          <w:lang w:val="es-MX"/>
        </w:rPr>
        <w:t>VISTOS:</w:t>
      </w:r>
    </w:p>
    <w:p w14:paraId="49ED9848" w14:textId="77777777" w:rsidR="00E64F28" w:rsidRPr="004F150F" w:rsidRDefault="00E64F28">
      <w:pPr>
        <w:jc w:val="both"/>
        <w:rPr>
          <w:b/>
          <w:bCs/>
          <w:lang w:val="es-MX"/>
        </w:rPr>
      </w:pPr>
    </w:p>
    <w:p w14:paraId="3AF7DBEC" w14:textId="77777777" w:rsidR="00F60108" w:rsidRPr="004F150F" w:rsidRDefault="00E64F28">
      <w:pPr>
        <w:jc w:val="both"/>
      </w:pPr>
      <w:r w:rsidRPr="004F150F">
        <w:t>El recurso de</w:t>
      </w:r>
      <w:r w:rsidR="00191416" w:rsidRPr="004F150F">
        <w:t xml:space="preserve"> </w:t>
      </w:r>
      <w:r w:rsidR="00F05CB6" w:rsidRPr="004F150F">
        <w:t>impugnación</w:t>
      </w:r>
      <w:r w:rsidR="00191416" w:rsidRPr="004F150F">
        <w:t xml:space="preserve"> presentado</w:t>
      </w:r>
      <w:r w:rsidR="00A921BD" w:rsidRPr="004F150F">
        <w:t xml:space="preserve"> </w:t>
      </w:r>
      <w:r w:rsidRPr="004F150F">
        <w:t xml:space="preserve">por </w:t>
      </w:r>
      <w:r w:rsidR="004F150F">
        <w:t xml:space="preserve">.................. </w:t>
      </w:r>
      <w:r w:rsidRPr="004F150F">
        <w:t>re</w:t>
      </w:r>
      <w:r w:rsidR="000149BA" w:rsidRPr="004F150F">
        <w:t>specto de la Resolución Nro.</w:t>
      </w:r>
      <w:r w:rsidR="00C56C62" w:rsidRPr="004F150F">
        <w:t xml:space="preserve"> </w:t>
      </w:r>
      <w:r w:rsidR="00390334" w:rsidRPr="004F150F">
        <w:t>016</w:t>
      </w:r>
      <w:r w:rsidR="00A01D42" w:rsidRPr="004F150F">
        <w:t>/</w:t>
      </w:r>
      <w:r w:rsidR="00390334" w:rsidRPr="004F150F">
        <w:t>20</w:t>
      </w:r>
      <w:r w:rsidR="00EC5F7C" w:rsidRPr="004F150F">
        <w:t>,</w:t>
      </w:r>
      <w:r w:rsidR="000F1FEA" w:rsidRPr="004F150F">
        <w:t xml:space="preserve"> </w:t>
      </w:r>
      <w:r w:rsidR="00A01D42" w:rsidRPr="004F150F">
        <w:t>ex</w:t>
      </w:r>
      <w:r w:rsidRPr="004F150F">
        <w:t>pedida</w:t>
      </w:r>
      <w:r w:rsidR="005A4ED4" w:rsidRPr="004F150F">
        <w:t xml:space="preserve"> </w:t>
      </w:r>
      <w:r w:rsidRPr="004F150F">
        <w:t xml:space="preserve">por </w:t>
      </w:r>
      <w:r w:rsidR="005472E5" w:rsidRPr="004F150F">
        <w:t xml:space="preserve">el Órgano Resolutivo Unipersonal de </w:t>
      </w:r>
      <w:r w:rsidRPr="004F150F">
        <w:t>esta Defensoría del Asegurado (DEFASEG)</w:t>
      </w:r>
      <w:r w:rsidR="00BF5EDD" w:rsidRPr="004F150F">
        <w:t>,</w:t>
      </w:r>
      <w:r w:rsidRPr="004F150F">
        <w:t xml:space="preserve"> conforme a l</w:t>
      </w:r>
      <w:r w:rsidR="00A667CA" w:rsidRPr="004F150F">
        <w:t>a cual se declaró</w:t>
      </w:r>
      <w:r w:rsidR="00D92993" w:rsidRPr="004F150F">
        <w:t xml:space="preserve"> </w:t>
      </w:r>
      <w:r w:rsidR="00FB03D0" w:rsidRPr="004F150F">
        <w:t>FUNDADA</w:t>
      </w:r>
      <w:r w:rsidR="008011E0" w:rsidRPr="004F150F">
        <w:t xml:space="preserve"> la reclamación interpuesta </w:t>
      </w:r>
      <w:r w:rsidR="00FB03D0" w:rsidRPr="004F150F">
        <w:t xml:space="preserve">por </w:t>
      </w:r>
      <w:r w:rsidR="004F150F">
        <w:t xml:space="preserve">.................. </w:t>
      </w:r>
      <w:r w:rsidR="008011E0" w:rsidRPr="004F150F">
        <w:t>respecto al S</w:t>
      </w:r>
      <w:r w:rsidR="00166E2C" w:rsidRPr="004F150F">
        <w:t xml:space="preserve">EGURO </w:t>
      </w:r>
      <w:r w:rsidR="00390334" w:rsidRPr="004F150F">
        <w:t xml:space="preserve">DE PROTECCIÓN DE TARJETA </w:t>
      </w:r>
      <w:r w:rsidR="004F150F">
        <w:t>..................</w:t>
      </w:r>
      <w:r w:rsidR="00390334" w:rsidRPr="004F150F">
        <w:t>,</w:t>
      </w:r>
      <w:r w:rsidR="00166E2C" w:rsidRPr="004F150F">
        <w:t xml:space="preserve"> por el </w:t>
      </w:r>
      <w:r w:rsidR="00390334" w:rsidRPr="004F150F">
        <w:t>siniestro ocurrido el 3 de septiembre de 2019</w:t>
      </w:r>
      <w:r w:rsidR="0020511C" w:rsidRPr="004F150F">
        <w:t>;</w:t>
      </w:r>
    </w:p>
    <w:p w14:paraId="51BCB770" w14:textId="77777777" w:rsidR="00F60108" w:rsidRPr="004F150F" w:rsidRDefault="00F60108">
      <w:pPr>
        <w:jc w:val="both"/>
      </w:pPr>
    </w:p>
    <w:p w14:paraId="4FD62133" w14:textId="77777777" w:rsidR="00F05CB6" w:rsidRPr="004F150F" w:rsidRDefault="00E64F28" w:rsidP="00F05CB6">
      <w:pPr>
        <w:pStyle w:val="Textoindependiente"/>
      </w:pPr>
      <w:r w:rsidRPr="004F150F">
        <w:t xml:space="preserve">Que, </w:t>
      </w:r>
      <w:r w:rsidR="0090008D" w:rsidRPr="004F150F">
        <w:t>el</w:t>
      </w:r>
      <w:r w:rsidRPr="004F150F">
        <w:t xml:space="preserve"> </w:t>
      </w:r>
      <w:r w:rsidR="0090008D" w:rsidRPr="004F150F">
        <w:t>indicado recurso se sustenta</w:t>
      </w:r>
      <w:r w:rsidR="00FE2DDD" w:rsidRPr="004F150F">
        <w:t xml:space="preserve"> </w:t>
      </w:r>
      <w:r w:rsidR="005A0CBC" w:rsidRPr="004F150F">
        <w:t xml:space="preserve">resumidamente en </w:t>
      </w:r>
      <w:r w:rsidR="00D102AA" w:rsidRPr="004F150F">
        <w:t>lo siguiente: (1)</w:t>
      </w:r>
      <w:r w:rsidR="00FB6D44" w:rsidRPr="004F150F">
        <w:t xml:space="preserve"> </w:t>
      </w:r>
      <w:r w:rsidR="005D249C" w:rsidRPr="004F150F">
        <w:t xml:space="preserve">el asegurado recibió correctamente el Certificado de Seguro Protección de Tarjeta </w:t>
      </w:r>
      <w:r w:rsidR="004F150F">
        <w:t>..................</w:t>
      </w:r>
      <w:r w:rsidR="005D249C" w:rsidRPr="004F150F">
        <w:t xml:space="preserve"> con fecha 02 de septiembre de 2019, conforme a la copia del cargo de entrega del certificado de seguro que se adjunta con el recurso de impugnación; </w:t>
      </w:r>
      <w:r w:rsidR="00DE57E6" w:rsidRPr="004F150F">
        <w:t xml:space="preserve">(2) con la presentación del cargo de entrega del certificado de seguro, se acredita que el asegurado era conocedor de la totalidad de términos y condiciones del contrato de seguro, de este modo la cláusula de Uso Indebido es totalmente oponible al reclamante, pues forma parte del contrato de seguro; (3) de acuerdo al certificado de seguro, se advierte que únicamente se brindará cobertura de Uso Indebido: si es que por el robo, hurto de la tarjeta asegurada, sea de crédito y/o débito, personas terceras hacen uso indebido de la misma únicamente en establecimientos comerciales; (4) el hecho que ha dado origen a la reclamación no ha sido a causa de robo o hurto, pues el reclamante ha manifestado que el día 03 de septiembre de 2019 sufrió la pérdida de sus documentos, incluyendo su tarjeta de débito del </w:t>
      </w:r>
      <w:r w:rsidR="004F150F">
        <w:t>..................</w:t>
      </w:r>
      <w:r w:rsidR="00DE57E6" w:rsidRPr="004F150F">
        <w:t>, es decir, el uso indebido de la tarjeta se dio a causa de un extravío (no hurto ni robo), razón por la cual el siniestro no tiene cobertura; (5) además, las operaciones no reconocidas no han sido realizadas en establecimientos comerciales, sino en cajero automático, siendo este un hecho adicional por el que no corresponde acceder a la cobertura del seguro.</w:t>
      </w:r>
    </w:p>
    <w:p w14:paraId="64C46F60" w14:textId="77777777" w:rsidR="00BE04C2" w:rsidRPr="004F150F" w:rsidRDefault="00BE04C2" w:rsidP="00F05CB6">
      <w:pPr>
        <w:pStyle w:val="Textoindependiente"/>
      </w:pPr>
    </w:p>
    <w:p w14:paraId="5EF1AB83" w14:textId="77777777" w:rsidR="00120043" w:rsidRPr="004F150F" w:rsidRDefault="00E64F28" w:rsidP="00F05CB6">
      <w:pPr>
        <w:pStyle w:val="Textoindependiente"/>
      </w:pPr>
      <w:r w:rsidRPr="004F150F">
        <w:t xml:space="preserve">Que, </w:t>
      </w:r>
      <w:r w:rsidR="0011425F" w:rsidRPr="004F150F">
        <w:t>el reclamante</w:t>
      </w:r>
      <w:r w:rsidR="00062F62" w:rsidRPr="004F150F">
        <w:t xml:space="preserve"> absolvió el traslado del recurso interpuesto</w:t>
      </w:r>
      <w:r w:rsidR="003C1036" w:rsidRPr="004F150F">
        <w:t>, manifestando en síntesis lo siguiente: (1)</w:t>
      </w:r>
      <w:r w:rsidR="005472E5" w:rsidRPr="004F150F">
        <w:t xml:space="preserve"> es totalmente mentira que fueron retiros de cajeros automáticos; (2) los cuatro montos no reconocidos fueron hechos por consumos en establecimientos, siendo uno de ellos </w:t>
      </w:r>
      <w:r w:rsidR="004F150F">
        <w:t>..................</w:t>
      </w:r>
      <w:r w:rsidR="00A35085" w:rsidRPr="004F150F">
        <w:t>.</w:t>
      </w:r>
    </w:p>
    <w:p w14:paraId="784DA12B" w14:textId="77777777" w:rsidR="00664A65" w:rsidRPr="004F150F" w:rsidRDefault="00664A65">
      <w:pPr>
        <w:pStyle w:val="Textoindependiente"/>
      </w:pPr>
    </w:p>
    <w:p w14:paraId="552CF3FE" w14:textId="77777777" w:rsidR="00A206E5" w:rsidRPr="004F150F" w:rsidRDefault="00A206E5">
      <w:pPr>
        <w:pStyle w:val="Textoindependiente"/>
        <w:tabs>
          <w:tab w:val="left" w:pos="930"/>
        </w:tabs>
      </w:pPr>
      <w:r w:rsidRPr="004F150F">
        <w:t xml:space="preserve">Que, </w:t>
      </w:r>
      <w:r w:rsidR="00F36E16" w:rsidRPr="004F150F">
        <w:t xml:space="preserve">atendiendo a lo expuesto, </w:t>
      </w:r>
      <w:r w:rsidRPr="004F150F">
        <w:t xml:space="preserve">esta Defensoría </w:t>
      </w:r>
      <w:r w:rsidR="004B6936" w:rsidRPr="004F150F">
        <w:t>resuelve finalmente</w:t>
      </w:r>
      <w:r w:rsidRPr="004F150F">
        <w:t xml:space="preserve"> lo siguiente:</w:t>
      </w:r>
    </w:p>
    <w:p w14:paraId="38993D67" w14:textId="77777777" w:rsidR="00B604C0" w:rsidRPr="004F150F" w:rsidRDefault="00B604C0" w:rsidP="007E111C">
      <w:pPr>
        <w:jc w:val="both"/>
        <w:rPr>
          <w:b/>
          <w:u w:val="single"/>
          <w:lang w:val="es-PE"/>
        </w:rPr>
      </w:pPr>
    </w:p>
    <w:p w14:paraId="69D561FF" w14:textId="77777777" w:rsidR="006F22C5" w:rsidRPr="004F150F" w:rsidRDefault="00E45877" w:rsidP="00266A9B">
      <w:pPr>
        <w:jc w:val="both"/>
        <w:rPr>
          <w:lang w:val="es-PE"/>
        </w:rPr>
      </w:pPr>
      <w:r w:rsidRPr="004F150F">
        <w:rPr>
          <w:b/>
          <w:u w:val="single"/>
          <w:lang w:val="es-PE"/>
        </w:rPr>
        <w:t>PRIMERO</w:t>
      </w:r>
      <w:r w:rsidR="007E111C" w:rsidRPr="004F150F">
        <w:rPr>
          <w:b/>
          <w:lang w:val="es-PE"/>
        </w:rPr>
        <w:t>:</w:t>
      </w:r>
      <w:r w:rsidR="001C3467" w:rsidRPr="004F150F">
        <w:rPr>
          <w:lang w:val="es-PE"/>
        </w:rPr>
        <w:t xml:space="preserve"> </w:t>
      </w:r>
      <w:r w:rsidR="00266A9B" w:rsidRPr="004F150F">
        <w:rPr>
          <w:lang w:val="es-PE"/>
        </w:rPr>
        <w:t xml:space="preserve">El artículo 10 (Procedimiento) del Reglamento de la DEFASEG </w:t>
      </w:r>
      <w:r w:rsidR="00266A9B" w:rsidRPr="004F150F">
        <w:rPr>
          <w:rFonts w:eastAsia="Arial Unicode MS"/>
          <w:lang w:val="es-PE"/>
        </w:rPr>
        <w:t>(http://www.defaseg.com.pe/reglamento)</w:t>
      </w:r>
      <w:r w:rsidR="00266A9B" w:rsidRPr="004F150F">
        <w:rPr>
          <w:lang w:val="es-PE"/>
        </w:rPr>
        <w:t xml:space="preserve"> establece que cualquiera de las partes que no se encuentre de acuerdo con la decisión adoptada por el </w:t>
      </w:r>
      <w:r w:rsidR="0011425F" w:rsidRPr="004F150F">
        <w:t>Órgano Resolutivo Unipersonal</w:t>
      </w:r>
      <w:r w:rsidR="0011425F" w:rsidRPr="004F150F">
        <w:rPr>
          <w:lang w:val="es-PE"/>
        </w:rPr>
        <w:t xml:space="preserve"> </w:t>
      </w:r>
      <w:r w:rsidR="00266A9B" w:rsidRPr="004F150F">
        <w:rPr>
          <w:lang w:val="es-PE"/>
        </w:rPr>
        <w:t xml:space="preserve">sobre la materia reclamada, podrá impugnarla, interponiendo el correspondiente recurso de </w:t>
      </w:r>
      <w:r w:rsidR="00E04136" w:rsidRPr="004F150F">
        <w:rPr>
          <w:lang w:val="es-PE"/>
        </w:rPr>
        <w:t>impugnación</w:t>
      </w:r>
      <w:r w:rsidR="00266A9B" w:rsidRPr="004F150F">
        <w:rPr>
          <w:lang w:val="es-PE"/>
        </w:rPr>
        <w:t xml:space="preserve">.  </w:t>
      </w:r>
    </w:p>
    <w:p w14:paraId="3A1D5BB6" w14:textId="77777777" w:rsidR="006F22C5" w:rsidRPr="004F150F" w:rsidRDefault="006F22C5" w:rsidP="00266A9B">
      <w:pPr>
        <w:jc w:val="both"/>
        <w:rPr>
          <w:lang w:val="es-PE"/>
        </w:rPr>
      </w:pPr>
    </w:p>
    <w:p w14:paraId="13543A6C" w14:textId="77777777" w:rsidR="00266A9B" w:rsidRPr="004F150F" w:rsidRDefault="00266A9B" w:rsidP="00266A9B">
      <w:pPr>
        <w:jc w:val="both"/>
        <w:rPr>
          <w:lang w:val="es-PE"/>
        </w:rPr>
      </w:pPr>
      <w:r w:rsidRPr="004F150F">
        <w:rPr>
          <w:lang w:val="es-PE"/>
        </w:rPr>
        <w:t xml:space="preserve">Conforme a ello, en el caso concreto, al interponer el recurso de </w:t>
      </w:r>
      <w:r w:rsidR="00E04136" w:rsidRPr="004F150F">
        <w:rPr>
          <w:lang w:val="es-PE"/>
        </w:rPr>
        <w:t>impugnación</w:t>
      </w:r>
      <w:r w:rsidRPr="004F150F">
        <w:rPr>
          <w:lang w:val="es-PE"/>
        </w:rPr>
        <w:t xml:space="preserve"> la </w:t>
      </w:r>
      <w:r w:rsidR="00120043" w:rsidRPr="004F150F">
        <w:rPr>
          <w:lang w:val="es-PE"/>
        </w:rPr>
        <w:t>aseguradora</w:t>
      </w:r>
      <w:r w:rsidRPr="004F150F">
        <w:rPr>
          <w:lang w:val="es-PE"/>
        </w:rPr>
        <w:t xml:space="preserve"> ha ejercido formalmente su derecho a contradecir</w:t>
      </w:r>
      <w:r w:rsidR="00E04136" w:rsidRPr="004F150F">
        <w:rPr>
          <w:lang w:val="es-PE"/>
        </w:rPr>
        <w:t xml:space="preserve"> lo resuelto por la Defensoría</w:t>
      </w:r>
      <w:r w:rsidRPr="004F150F">
        <w:rPr>
          <w:lang w:val="es-PE"/>
        </w:rPr>
        <w:t>.</w:t>
      </w:r>
    </w:p>
    <w:p w14:paraId="21520AE4" w14:textId="77777777" w:rsidR="007E111C" w:rsidRPr="004F150F" w:rsidRDefault="007E111C" w:rsidP="007E111C">
      <w:pPr>
        <w:pStyle w:val="Textoindependiente"/>
        <w:tabs>
          <w:tab w:val="left" w:pos="0"/>
          <w:tab w:val="left" w:pos="720"/>
        </w:tabs>
        <w:rPr>
          <w:u w:val="single"/>
          <w:lang w:val="es-PE"/>
        </w:rPr>
      </w:pPr>
    </w:p>
    <w:p w14:paraId="63789582" w14:textId="77777777" w:rsidR="00D36FA3" w:rsidRPr="004F150F" w:rsidRDefault="00E45877" w:rsidP="0024585B">
      <w:pPr>
        <w:jc w:val="both"/>
      </w:pPr>
      <w:r w:rsidRPr="004F150F">
        <w:rPr>
          <w:b/>
          <w:bCs/>
          <w:u w:val="single"/>
        </w:rPr>
        <w:lastRenderedPageBreak/>
        <w:t>SEGUNDO</w:t>
      </w:r>
      <w:r w:rsidR="0024585B" w:rsidRPr="004F150F">
        <w:rPr>
          <w:b/>
          <w:bCs/>
        </w:rPr>
        <w:t>:</w:t>
      </w:r>
      <w:r w:rsidR="00500913" w:rsidRPr="004F150F">
        <w:rPr>
          <w:bCs/>
        </w:rPr>
        <w:t xml:space="preserve"> Que el recurso de impugnación </w:t>
      </w:r>
      <w:r w:rsidR="0024585B" w:rsidRPr="004F150F">
        <w:rPr>
          <w:bCs/>
        </w:rPr>
        <w:t xml:space="preserve">presentado por </w:t>
      </w:r>
      <w:r w:rsidR="002E0430" w:rsidRPr="004F150F">
        <w:rPr>
          <w:bCs/>
        </w:rPr>
        <w:t>la asegurad</w:t>
      </w:r>
      <w:r w:rsidR="0058249F" w:rsidRPr="004F150F">
        <w:rPr>
          <w:bCs/>
        </w:rPr>
        <w:t>ora</w:t>
      </w:r>
      <w:r w:rsidR="0024585B" w:rsidRPr="004F150F">
        <w:rPr>
          <w:bCs/>
        </w:rPr>
        <w:t xml:space="preserve"> </w:t>
      </w:r>
      <w:r w:rsidR="008D5D93" w:rsidRPr="004F150F">
        <w:rPr>
          <w:bCs/>
        </w:rPr>
        <w:t xml:space="preserve">se sustenta en nueva prueba </w:t>
      </w:r>
      <w:r w:rsidR="0011425F" w:rsidRPr="004F150F">
        <w:rPr>
          <w:bCs/>
        </w:rPr>
        <w:t xml:space="preserve">como es la presentación de </w:t>
      </w:r>
      <w:r w:rsidR="0011425F" w:rsidRPr="004F150F">
        <w:t xml:space="preserve">la copia del cargo de entrega del certificado de seguro y en señalar que el hecho que ha dado origen a la reclamación no ha sido a causa de robo o hurto, por lo que no califica dentro de </w:t>
      </w:r>
      <w:proofErr w:type="spellStart"/>
      <w:r w:rsidR="0011425F" w:rsidRPr="004F150F">
        <w:t>a</w:t>
      </w:r>
      <w:proofErr w:type="spellEnd"/>
      <w:r w:rsidR="0011425F" w:rsidRPr="004F150F">
        <w:t xml:space="preserve"> cobertura como uso indebido de la tarjeta</w:t>
      </w:r>
      <w:r w:rsidR="00D36FA3" w:rsidRPr="004F150F">
        <w:t>.</w:t>
      </w:r>
    </w:p>
    <w:p w14:paraId="240C7D69" w14:textId="77777777" w:rsidR="00D36FA3" w:rsidRPr="004F150F" w:rsidRDefault="00D36FA3" w:rsidP="0024585B">
      <w:pPr>
        <w:jc w:val="both"/>
      </w:pPr>
    </w:p>
    <w:p w14:paraId="0E33EF2D" w14:textId="77777777" w:rsidR="0011425F" w:rsidRPr="004F150F" w:rsidRDefault="00120043" w:rsidP="0011425F">
      <w:pPr>
        <w:tabs>
          <w:tab w:val="left" w:pos="2160"/>
        </w:tabs>
        <w:jc w:val="both"/>
        <w:rPr>
          <w:lang w:val="es-PE" w:eastAsia="es-ES"/>
        </w:rPr>
      </w:pPr>
      <w:r w:rsidRPr="004F150F">
        <w:t>Sobre el particular, este Colegiado advierte que</w:t>
      </w:r>
      <w:r w:rsidR="0011425F" w:rsidRPr="004F150F">
        <w:t>, tal como se precisa en el considerando sexto de la resolución impugnada,</w:t>
      </w:r>
      <w:r w:rsidR="0011425F" w:rsidRPr="004F150F">
        <w:rPr>
          <w:lang w:val="es-PE" w:eastAsia="es-ES"/>
        </w:rPr>
        <w:t xml:space="preserve"> el rechazo de cobertura se sustenta, conforme a la carta de rechazo SPT.2019/0781 del 4 de octubre de 2019, en que sólo se cubre el uso indebido de la tarjeta de crédito en establecimientos comerciales, habiéndose constatado que la operación relativa a la solicitud de cobertura no fue en un establecimiento comercial.  </w:t>
      </w:r>
    </w:p>
    <w:p w14:paraId="796B5681" w14:textId="77777777" w:rsidR="0011425F" w:rsidRPr="004F150F" w:rsidRDefault="0011425F" w:rsidP="0011425F">
      <w:pPr>
        <w:tabs>
          <w:tab w:val="left" w:pos="2160"/>
        </w:tabs>
        <w:jc w:val="both"/>
        <w:rPr>
          <w:lang w:val="es-PE" w:eastAsia="es-ES"/>
        </w:rPr>
      </w:pPr>
    </w:p>
    <w:p w14:paraId="25E285CE" w14:textId="77777777" w:rsidR="0011425F" w:rsidRPr="004F150F" w:rsidRDefault="0011425F" w:rsidP="0011425F">
      <w:pPr>
        <w:tabs>
          <w:tab w:val="left" w:pos="2160"/>
        </w:tabs>
        <w:jc w:val="both"/>
        <w:rPr>
          <w:lang w:val="es-PE" w:eastAsia="es-ES"/>
        </w:rPr>
      </w:pPr>
      <w:r w:rsidRPr="004F150F">
        <w:rPr>
          <w:lang w:val="es-PE" w:eastAsia="es-ES"/>
        </w:rPr>
        <w:t>En dicha carta de rechazo la aseguradora no opuso como causal que el hecho que dio origen al uso de la tarjeta haya sido la pérdida de ésta, sino que se limitó a observar que se constató que las operaciones no fueron en un establecimiento comercial, condición establecida en el certificado de Seguro</w:t>
      </w:r>
      <w:r w:rsidR="009F38FA" w:rsidRPr="004F150F">
        <w:rPr>
          <w:lang w:val="es-PE" w:eastAsia="es-ES"/>
        </w:rPr>
        <w:t>.</w:t>
      </w:r>
    </w:p>
    <w:p w14:paraId="7E33FBE2" w14:textId="77777777" w:rsidR="009F38FA" w:rsidRPr="004F150F" w:rsidRDefault="009F38FA" w:rsidP="0011425F">
      <w:pPr>
        <w:tabs>
          <w:tab w:val="left" w:pos="2160"/>
        </w:tabs>
        <w:jc w:val="both"/>
        <w:rPr>
          <w:lang w:val="es-PE" w:eastAsia="es-ES"/>
        </w:rPr>
      </w:pPr>
    </w:p>
    <w:p w14:paraId="2B531B51" w14:textId="77777777" w:rsidR="009F38FA" w:rsidRPr="004F150F" w:rsidRDefault="009F38FA" w:rsidP="0011425F">
      <w:pPr>
        <w:tabs>
          <w:tab w:val="left" w:pos="2160"/>
        </w:tabs>
        <w:jc w:val="both"/>
      </w:pPr>
      <w:r w:rsidRPr="004F150F">
        <w:rPr>
          <w:lang w:val="es-PE" w:eastAsia="es-ES"/>
        </w:rPr>
        <w:t xml:space="preserve">Bajo ese único fundamento invocado oportunamente, el </w:t>
      </w:r>
      <w:r w:rsidRPr="004F150F">
        <w:t>Órgano Resolutivo Unipersonal amparó la reclamación por cuanto la aseguradora no cumplió con presentar la póliza contratada, hecho que impidió verificar que el supuesto de hecho declarado por el asegurado no corresponde a un riesgo contratado:</w:t>
      </w:r>
    </w:p>
    <w:p w14:paraId="2E4BC2FA" w14:textId="77777777" w:rsidR="009F38FA" w:rsidRPr="004F150F" w:rsidRDefault="009F38FA" w:rsidP="0011425F">
      <w:pPr>
        <w:tabs>
          <w:tab w:val="left" w:pos="2160"/>
        </w:tabs>
        <w:jc w:val="both"/>
      </w:pPr>
    </w:p>
    <w:p w14:paraId="2B83AE6A" w14:textId="77777777" w:rsidR="009F38FA" w:rsidRPr="004F150F" w:rsidRDefault="009F38FA" w:rsidP="009F38FA">
      <w:pPr>
        <w:tabs>
          <w:tab w:val="left" w:pos="2160"/>
        </w:tabs>
        <w:ind w:left="705"/>
        <w:jc w:val="both"/>
        <w:rPr>
          <w:i/>
          <w:iCs/>
          <w:lang w:val="es-PE" w:eastAsia="es-ES"/>
        </w:rPr>
      </w:pPr>
      <w:r w:rsidRPr="004F150F">
        <w:rPr>
          <w:i/>
          <w:iCs/>
          <w:lang w:val="es-PE" w:eastAsia="es-ES"/>
        </w:rPr>
        <w:t>“En consecuencia, resulta manifiesto que la causal de rechazo debe ser pertinente y acreditable, debiéndose además haberse invocado oportunamente.</w:t>
      </w:r>
    </w:p>
    <w:p w14:paraId="75C6D7D2" w14:textId="77777777" w:rsidR="009F38FA" w:rsidRPr="004F150F" w:rsidRDefault="009F38FA" w:rsidP="009F38FA">
      <w:pPr>
        <w:tabs>
          <w:tab w:val="left" w:pos="2160"/>
        </w:tabs>
        <w:ind w:left="705"/>
        <w:jc w:val="both"/>
        <w:rPr>
          <w:i/>
          <w:iCs/>
          <w:lang w:val="es-PE" w:eastAsia="es-ES"/>
        </w:rPr>
      </w:pPr>
    </w:p>
    <w:p w14:paraId="68527FC8"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r w:rsidRPr="004F150F">
        <w:rPr>
          <w:i/>
          <w:iCs/>
          <w:lang w:val="es-PE" w:eastAsia="es-ES"/>
        </w:rPr>
        <w:t>6.1.</w:t>
      </w:r>
      <w:r w:rsidRPr="004F150F">
        <w:rPr>
          <w:i/>
          <w:iCs/>
          <w:lang w:val="es-PE" w:eastAsia="es-ES"/>
        </w:rPr>
        <w:tab/>
      </w:r>
      <w:r w:rsidRPr="004F150F">
        <w:rPr>
          <w:i/>
          <w:iCs/>
          <w:lang w:val="es-PE" w:eastAsia="es-ES"/>
        </w:rPr>
        <w:tab/>
        <w:t>En materia de seguros, los riesgos aceptados por una aseguradora pueden ser considerados de manera positiva o negativa.  Lo primero corresponde a lo que es expresamente enunciado.  Conforme a ello, cualquier evento que se produzca y que no corresponda a dicha definición de riesgo aceptado, no es un riesgo previsto que se haya materializado finalmente y por el cual, en principio correspondería exigir cobertura.  Y lo segundo, delimitación negativa, corresponde a los supuestos de exclusión, esto es, a la relación de situaciones prestablecidas que carecen de la cobertura contratada, según estimación de la aseguradora.</w:t>
      </w:r>
    </w:p>
    <w:p w14:paraId="3FFD1C75"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p>
    <w:p w14:paraId="6C39978F"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r w:rsidRPr="004F150F">
        <w:rPr>
          <w:i/>
          <w:iCs/>
          <w:lang w:val="es-PE" w:eastAsia="es-ES"/>
        </w:rPr>
        <w:tab/>
      </w:r>
      <w:r w:rsidRPr="004F150F">
        <w:rPr>
          <w:i/>
          <w:iCs/>
          <w:lang w:val="es-PE" w:eastAsia="es-ES"/>
        </w:rPr>
        <w:tab/>
        <w:t>En el presente caso, debe destacarse que la aseguradora rechaza porque el uso indebido no fue en un establecimiento comercial.</w:t>
      </w:r>
    </w:p>
    <w:p w14:paraId="787827BB"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p>
    <w:p w14:paraId="34992898"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r w:rsidRPr="004F150F">
        <w:rPr>
          <w:i/>
          <w:iCs/>
          <w:lang w:val="es-PE" w:eastAsia="es-ES"/>
        </w:rPr>
        <w:tab/>
      </w:r>
    </w:p>
    <w:p w14:paraId="72B72C34"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p>
    <w:p w14:paraId="7827B0B0"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r w:rsidRPr="004F150F">
        <w:rPr>
          <w:i/>
          <w:iCs/>
          <w:lang w:val="es-PE" w:eastAsia="es-ES"/>
        </w:rPr>
        <w:t>6.2.</w:t>
      </w:r>
      <w:r w:rsidRPr="004F150F">
        <w:rPr>
          <w:i/>
          <w:iCs/>
          <w:lang w:val="es-PE" w:eastAsia="es-ES"/>
        </w:rPr>
        <w:tab/>
        <w:t xml:space="preserve">Si nos guiamos por la información sobre coberturas contenida en el </w:t>
      </w:r>
      <w:proofErr w:type="spellStart"/>
      <w:r w:rsidRPr="004F150F">
        <w:rPr>
          <w:i/>
          <w:iCs/>
          <w:lang w:val="es-PE" w:eastAsia="es-ES"/>
        </w:rPr>
        <w:t>brochure</w:t>
      </w:r>
      <w:proofErr w:type="spellEnd"/>
      <w:r w:rsidRPr="004F150F">
        <w:rPr>
          <w:i/>
          <w:iCs/>
          <w:lang w:val="es-PE" w:eastAsia="es-ES"/>
        </w:rPr>
        <w:t xml:space="preserve"> referido anteriormente, tenemos que el seguro ofrece tres coberturas enunciadas positivamente: (i) Cuando la tarjeta </w:t>
      </w:r>
      <w:r w:rsidRPr="004F150F">
        <w:rPr>
          <w:i/>
          <w:iCs/>
          <w:u w:val="single"/>
          <w:lang w:val="es-PE" w:eastAsia="es-ES"/>
        </w:rPr>
        <w:t>de crédito</w:t>
      </w:r>
      <w:r w:rsidRPr="004F150F">
        <w:rPr>
          <w:i/>
          <w:iCs/>
          <w:lang w:val="es-PE" w:eastAsia="es-ES"/>
        </w:rPr>
        <w:t xml:space="preserve"> sea robada o hurtada y usada indebidamente en establecimientos comerciales, (</w:t>
      </w:r>
      <w:proofErr w:type="spellStart"/>
      <w:r w:rsidRPr="004F150F">
        <w:rPr>
          <w:i/>
          <w:iCs/>
          <w:lang w:val="es-PE" w:eastAsia="es-ES"/>
        </w:rPr>
        <w:t>ii</w:t>
      </w:r>
      <w:proofErr w:type="spellEnd"/>
      <w:r w:rsidRPr="004F150F">
        <w:rPr>
          <w:i/>
          <w:iCs/>
          <w:lang w:val="es-PE" w:eastAsia="es-ES"/>
        </w:rPr>
        <w:t xml:space="preserve">) cuando roben dinero que el asegurado ha retirado voluntariamente de los cajeros automáticos del </w:t>
      </w:r>
      <w:r w:rsidR="004F150F">
        <w:t>..................</w:t>
      </w:r>
      <w:r w:rsidRPr="004F150F">
        <w:rPr>
          <w:i/>
          <w:iCs/>
          <w:lang w:val="es-PE" w:eastAsia="es-ES"/>
        </w:rPr>
        <w:t>, y (</w:t>
      </w:r>
      <w:proofErr w:type="spellStart"/>
      <w:r w:rsidRPr="004F150F">
        <w:rPr>
          <w:i/>
          <w:iCs/>
          <w:lang w:val="es-PE" w:eastAsia="es-ES"/>
        </w:rPr>
        <w:t>iii</w:t>
      </w:r>
      <w:proofErr w:type="spellEnd"/>
      <w:r w:rsidRPr="004F150F">
        <w:rPr>
          <w:i/>
          <w:iCs/>
          <w:lang w:val="es-PE" w:eastAsia="es-ES"/>
        </w:rPr>
        <w:t>) Cuando se realice un uso indebido por compra fraudulenta vía internet.</w:t>
      </w:r>
    </w:p>
    <w:p w14:paraId="25B23C10"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r w:rsidRPr="004F150F">
        <w:rPr>
          <w:i/>
          <w:iCs/>
          <w:lang w:val="es-PE" w:eastAsia="es-ES"/>
        </w:rPr>
        <w:tab/>
      </w:r>
    </w:p>
    <w:p w14:paraId="41B6E97C"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r w:rsidRPr="004F150F">
        <w:rPr>
          <w:i/>
          <w:iCs/>
          <w:lang w:val="es-PE" w:eastAsia="es-ES"/>
        </w:rPr>
        <w:lastRenderedPageBreak/>
        <w:tab/>
      </w:r>
      <w:r w:rsidRPr="004F150F">
        <w:rPr>
          <w:i/>
          <w:iCs/>
          <w:lang w:val="es-PE" w:eastAsia="es-ES"/>
        </w:rPr>
        <w:tab/>
        <w:t xml:space="preserve">Siendo que </w:t>
      </w:r>
      <w:r w:rsidR="004F150F">
        <w:t xml:space="preserve">.................. </w:t>
      </w:r>
      <w:r w:rsidRPr="004F150F">
        <w:rPr>
          <w:i/>
          <w:iCs/>
          <w:lang w:val="es-PE" w:eastAsia="es-ES"/>
        </w:rPr>
        <w:t>no ha cumplido con presentar la póliza contratada, este Órgano Resolutivo Unipersonal encuentra que la aseguradora no ha podido demostrar cuál es el alcance del riesgo cubierto, y por ende no puede verificarse que el supuesto de hecho declarado por el asegurado no corresponde a un riesgo contratado.</w:t>
      </w:r>
    </w:p>
    <w:p w14:paraId="21281251"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r w:rsidRPr="004F150F">
        <w:rPr>
          <w:i/>
          <w:iCs/>
          <w:lang w:val="es-PE" w:eastAsia="es-ES"/>
        </w:rPr>
        <w:tab/>
      </w:r>
    </w:p>
    <w:p w14:paraId="19535FDB"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r w:rsidRPr="004F150F">
        <w:rPr>
          <w:i/>
          <w:iCs/>
          <w:lang w:val="es-PE" w:eastAsia="es-ES"/>
        </w:rPr>
        <w:tab/>
      </w:r>
      <w:r w:rsidRPr="004F150F">
        <w:rPr>
          <w:i/>
          <w:iCs/>
          <w:lang w:val="es-PE" w:eastAsia="es-ES"/>
        </w:rPr>
        <w:tab/>
        <w:t xml:space="preserve">Debe tenerse en consideración que no se tiene certeza que las señaladas </w:t>
      </w:r>
      <w:proofErr w:type="gramStart"/>
      <w:r w:rsidRPr="004F150F">
        <w:rPr>
          <w:i/>
          <w:iCs/>
          <w:lang w:val="es-PE" w:eastAsia="es-ES"/>
        </w:rPr>
        <w:t>anteriormente</w:t>
      </w:r>
      <w:proofErr w:type="gramEnd"/>
      <w:r w:rsidRPr="004F150F">
        <w:rPr>
          <w:i/>
          <w:iCs/>
          <w:lang w:val="es-PE" w:eastAsia="es-ES"/>
        </w:rPr>
        <w:t xml:space="preserve"> son realmente las coberturas de la póliza, dado que </w:t>
      </w:r>
      <w:r w:rsidR="004F150F">
        <w:t xml:space="preserve">.................. </w:t>
      </w:r>
      <w:r w:rsidRPr="004F150F">
        <w:rPr>
          <w:i/>
          <w:iCs/>
          <w:lang w:val="es-PE" w:eastAsia="es-ES"/>
        </w:rPr>
        <w:t xml:space="preserve">no ha presentado la póliza ni el certificado de afiliación o incorporación, pese a la concesión de un plazo extraordinario, adicional al ya vencido extensamente.  </w:t>
      </w:r>
    </w:p>
    <w:p w14:paraId="2E911167"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p>
    <w:p w14:paraId="0E5562C7" w14:textId="77777777" w:rsidR="009F38FA" w:rsidRPr="004F150F" w:rsidRDefault="009F38FA"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r w:rsidRPr="004F150F">
        <w:rPr>
          <w:i/>
          <w:iCs/>
          <w:lang w:val="es-PE" w:eastAsia="es-ES"/>
        </w:rPr>
        <w:t>6.3.</w:t>
      </w:r>
      <w:r w:rsidRPr="004F150F">
        <w:rPr>
          <w:i/>
          <w:iCs/>
          <w:lang w:val="es-PE" w:eastAsia="es-ES"/>
        </w:rPr>
        <w:tab/>
        <w:t xml:space="preserve">Esa situación queda agravada porque habiéndose solicitado expresamente a </w:t>
      </w:r>
      <w:r w:rsidR="004F150F">
        <w:t xml:space="preserve">.................. </w:t>
      </w:r>
      <w:r w:rsidRPr="004F150F">
        <w:rPr>
          <w:i/>
          <w:iCs/>
          <w:lang w:val="es-PE" w:eastAsia="es-ES"/>
        </w:rPr>
        <w:t>que presente los documentos pertinentes a los fundamentos bajo los cuales formula su rechazo de cobertura, con la concesión de un plazo adicional de manera excepcional, la aseguradora no ha cumplido con presentar las pruebas del sustento del rechazo.</w:t>
      </w:r>
    </w:p>
    <w:p w14:paraId="7CBB3545" w14:textId="77777777" w:rsidR="00F106F7" w:rsidRPr="004F150F" w:rsidRDefault="00F106F7" w:rsidP="009F38FA">
      <w:pPr>
        <w:tabs>
          <w:tab w:val="left" w:pos="0"/>
          <w:tab w:val="left" w:pos="708"/>
          <w:tab w:val="left" w:pos="1416"/>
          <w:tab w:val="left" w:pos="2160"/>
          <w:tab w:val="left" w:pos="3540"/>
          <w:tab w:val="left" w:pos="4248"/>
          <w:tab w:val="left" w:pos="4956"/>
          <w:tab w:val="left" w:pos="5664"/>
          <w:tab w:val="left" w:pos="6372"/>
          <w:tab w:val="left" w:pos="7125"/>
        </w:tabs>
        <w:ind w:left="1410" w:hanging="705"/>
        <w:jc w:val="both"/>
        <w:rPr>
          <w:i/>
          <w:iCs/>
          <w:lang w:val="es-PE" w:eastAsia="es-ES"/>
        </w:rPr>
      </w:pPr>
    </w:p>
    <w:p w14:paraId="34F7951F" w14:textId="77777777" w:rsidR="009F38FA" w:rsidRPr="004F150F" w:rsidRDefault="009F38FA" w:rsidP="0011425F">
      <w:pPr>
        <w:tabs>
          <w:tab w:val="left" w:pos="2160"/>
        </w:tabs>
        <w:jc w:val="both"/>
        <w:rPr>
          <w:lang w:val="es-PE" w:eastAsia="es-ES"/>
        </w:rPr>
      </w:pPr>
      <w:r w:rsidRPr="004F150F">
        <w:rPr>
          <w:lang w:val="es-PE" w:eastAsia="es-ES"/>
        </w:rPr>
        <w:t>Si bien en vía de impugnación la aseguradora ha acreditado el certificado de seguro, no ha cumplido con presentar la póliza contratada, lo que impide verificar que el alcance del riesgo cubierto se limita exclusivamente a los riesgos de robo y hurto y al uso indebido en un establecimiento comercial.</w:t>
      </w:r>
    </w:p>
    <w:p w14:paraId="1920A63F" w14:textId="77777777" w:rsidR="009F38FA" w:rsidRPr="004F150F" w:rsidRDefault="009F38FA" w:rsidP="0011425F">
      <w:pPr>
        <w:tabs>
          <w:tab w:val="left" w:pos="2160"/>
        </w:tabs>
        <w:jc w:val="both"/>
        <w:rPr>
          <w:lang w:val="es-PE" w:eastAsia="es-ES"/>
        </w:rPr>
      </w:pPr>
    </w:p>
    <w:p w14:paraId="14968C84" w14:textId="77777777" w:rsidR="009F38FA" w:rsidRPr="004F150F" w:rsidRDefault="009F38FA" w:rsidP="0011425F">
      <w:pPr>
        <w:tabs>
          <w:tab w:val="left" w:pos="2160"/>
        </w:tabs>
        <w:jc w:val="both"/>
        <w:rPr>
          <w:lang w:val="es-PE" w:eastAsia="es-ES"/>
        </w:rPr>
      </w:pPr>
      <w:r w:rsidRPr="004F150F">
        <w:rPr>
          <w:lang w:val="es-PE" w:eastAsia="es-ES"/>
        </w:rPr>
        <w:t>En tal sentido, persiste la situación fáctica y legal que califican el rechazo de cobertura como no legítimo, habida cuenta que la aseguradora no ha cumplido con presentar las pruebas del sustento del rechazo.</w:t>
      </w:r>
    </w:p>
    <w:p w14:paraId="6E995E52" w14:textId="77777777" w:rsidR="0011425F" w:rsidRPr="004F150F" w:rsidRDefault="0011425F" w:rsidP="0024585B">
      <w:pPr>
        <w:jc w:val="both"/>
      </w:pPr>
    </w:p>
    <w:p w14:paraId="0CC45CBD" w14:textId="77777777" w:rsidR="005D6A02" w:rsidRPr="004F150F" w:rsidRDefault="005D6A02" w:rsidP="005D6A02">
      <w:pPr>
        <w:jc w:val="both"/>
      </w:pPr>
      <w:r w:rsidRPr="004F150F">
        <w:rPr>
          <w:b/>
          <w:u w:val="single"/>
        </w:rPr>
        <w:t>TERCERO</w:t>
      </w:r>
      <w:r w:rsidRPr="004F150F">
        <w:rPr>
          <w:b/>
        </w:rPr>
        <w:t>:</w:t>
      </w:r>
      <w:r w:rsidRPr="004F150F">
        <w:t xml:space="preserve"> En atención a las consideraciones precedentes, este colegiado aprecia finalmente que</w:t>
      </w:r>
      <w:r w:rsidR="00DF4445" w:rsidRPr="004F150F">
        <w:t xml:space="preserve"> no</w:t>
      </w:r>
      <w:r w:rsidRPr="004F150F">
        <w:t xml:space="preserve"> se ha evidenciado error </w:t>
      </w:r>
      <w:r w:rsidR="00DF4445" w:rsidRPr="004F150F">
        <w:t>ni falta de fundamentos en la resolución recurrida</w:t>
      </w:r>
      <w:r w:rsidRPr="004F150F">
        <w:t xml:space="preserve">, </w:t>
      </w:r>
      <w:r w:rsidR="00DF1B5D" w:rsidRPr="004F150F">
        <w:t xml:space="preserve">ni la recurrente ha aportado nueva prueba que conlleve a conclusiones distintas a las establecidas en la resolución materia de impugnación, </w:t>
      </w:r>
      <w:r w:rsidRPr="004F150F">
        <w:t xml:space="preserve">por lo que </w:t>
      </w:r>
      <w:r w:rsidR="00DF4445" w:rsidRPr="004F150F">
        <w:t xml:space="preserve">no </w:t>
      </w:r>
      <w:r w:rsidRPr="004F150F">
        <w:t xml:space="preserve">existe mérito </w:t>
      </w:r>
      <w:r w:rsidR="00DF4445" w:rsidRPr="004F150F">
        <w:t>ni</w:t>
      </w:r>
      <w:r w:rsidRPr="004F150F">
        <w:t xml:space="preserve"> razón objetiva para revocarla.</w:t>
      </w:r>
    </w:p>
    <w:p w14:paraId="64267654" w14:textId="77777777" w:rsidR="005D6A02" w:rsidRPr="004F150F" w:rsidRDefault="005D6A02" w:rsidP="005D6A02">
      <w:pPr>
        <w:jc w:val="both"/>
      </w:pPr>
    </w:p>
    <w:p w14:paraId="32967325" w14:textId="77777777" w:rsidR="005D6A02" w:rsidRPr="004F150F" w:rsidRDefault="005D6A02" w:rsidP="005D6A02">
      <w:pPr>
        <w:jc w:val="both"/>
        <w:rPr>
          <w:b/>
        </w:rPr>
      </w:pPr>
      <w:r w:rsidRPr="004F150F">
        <w:rPr>
          <w:b/>
        </w:rPr>
        <w:t>RESUELVE:</w:t>
      </w:r>
    </w:p>
    <w:p w14:paraId="50CC2B3B" w14:textId="77777777" w:rsidR="005D6A02" w:rsidRPr="004F150F" w:rsidRDefault="005D6A02" w:rsidP="005D6A02">
      <w:pPr>
        <w:jc w:val="both"/>
      </w:pPr>
    </w:p>
    <w:p w14:paraId="43A359A4" w14:textId="77777777" w:rsidR="005D6A02" w:rsidRPr="004F150F" w:rsidRDefault="005D6A02" w:rsidP="005D6A02">
      <w:pPr>
        <w:jc w:val="both"/>
      </w:pPr>
      <w:r w:rsidRPr="004F150F">
        <w:rPr>
          <w:rFonts w:eastAsia="Arial Unicode MS"/>
          <w:b/>
        </w:rPr>
        <w:t xml:space="preserve">Declarar </w:t>
      </w:r>
      <w:r w:rsidR="00DF4445" w:rsidRPr="004F150F">
        <w:rPr>
          <w:rFonts w:eastAsia="Arial Unicode MS"/>
          <w:b/>
        </w:rPr>
        <w:t>IN</w:t>
      </w:r>
      <w:r w:rsidRPr="004F150F">
        <w:rPr>
          <w:rFonts w:eastAsia="Arial Unicode MS"/>
          <w:b/>
        </w:rPr>
        <w:t xml:space="preserve">FUNDADO el recurso de impugnación interpuesto y, por consiguiente, </w:t>
      </w:r>
      <w:r w:rsidR="00DF4445" w:rsidRPr="004F150F">
        <w:rPr>
          <w:rFonts w:eastAsia="Arial Unicode MS"/>
          <w:b/>
        </w:rPr>
        <w:t>CONFIRMAR</w:t>
      </w:r>
      <w:r w:rsidRPr="004F150F">
        <w:rPr>
          <w:rFonts w:eastAsia="Arial Unicode MS"/>
          <w:b/>
        </w:rPr>
        <w:t xml:space="preserve"> la Resolución Nro. </w:t>
      </w:r>
      <w:r w:rsidR="009F38FA" w:rsidRPr="004F150F">
        <w:rPr>
          <w:rFonts w:eastAsia="Arial Unicode MS"/>
          <w:b/>
        </w:rPr>
        <w:t>016</w:t>
      </w:r>
      <w:r w:rsidR="00DF1B5D" w:rsidRPr="004F150F">
        <w:rPr>
          <w:rFonts w:eastAsia="Arial Unicode MS"/>
          <w:b/>
        </w:rPr>
        <w:t>/</w:t>
      </w:r>
      <w:r w:rsidR="009F38FA" w:rsidRPr="004F150F">
        <w:rPr>
          <w:rFonts w:eastAsia="Arial Unicode MS"/>
          <w:b/>
        </w:rPr>
        <w:t>20</w:t>
      </w:r>
      <w:r w:rsidRPr="004F150F">
        <w:t>.</w:t>
      </w:r>
    </w:p>
    <w:p w14:paraId="6CB2AEEF" w14:textId="77777777" w:rsidR="00DF4445" w:rsidRPr="004F150F" w:rsidRDefault="00DF4445" w:rsidP="005D6A02">
      <w:pPr>
        <w:jc w:val="both"/>
      </w:pPr>
    </w:p>
    <w:p w14:paraId="1DEDF62C" w14:textId="77777777" w:rsidR="00F02A4B" w:rsidRPr="004F150F" w:rsidRDefault="00F02A4B" w:rsidP="005D6A02">
      <w:pPr>
        <w:jc w:val="right"/>
        <w:rPr>
          <w:rFonts w:eastAsia="Arial Unicode MS"/>
        </w:rPr>
      </w:pPr>
      <w:r w:rsidRPr="004F150F">
        <w:rPr>
          <w:rFonts w:eastAsia="Arial Unicode MS"/>
        </w:rPr>
        <w:t>Lima,</w:t>
      </w:r>
      <w:r w:rsidR="00F106F7" w:rsidRPr="004F150F">
        <w:rPr>
          <w:rFonts w:eastAsia="Arial Unicode MS"/>
        </w:rPr>
        <w:t xml:space="preserve"> 22 </w:t>
      </w:r>
      <w:r w:rsidR="004E368A" w:rsidRPr="004F150F">
        <w:rPr>
          <w:rFonts w:eastAsia="Arial Unicode MS"/>
        </w:rPr>
        <w:t>d</w:t>
      </w:r>
      <w:r w:rsidR="00E82EC7" w:rsidRPr="004F150F">
        <w:rPr>
          <w:rFonts w:eastAsia="Arial Unicode MS"/>
        </w:rPr>
        <w:t>e</w:t>
      </w:r>
      <w:r w:rsidR="00DE6BCB" w:rsidRPr="004F150F">
        <w:rPr>
          <w:rFonts w:eastAsia="Arial Unicode MS"/>
        </w:rPr>
        <w:t xml:space="preserve"> </w:t>
      </w:r>
      <w:r w:rsidR="009F38FA" w:rsidRPr="004F150F">
        <w:rPr>
          <w:rFonts w:eastAsia="Arial Unicode MS"/>
        </w:rPr>
        <w:t>junio</w:t>
      </w:r>
      <w:r w:rsidR="00F248B1" w:rsidRPr="004F150F">
        <w:rPr>
          <w:rFonts w:eastAsia="Arial Unicode MS"/>
        </w:rPr>
        <w:t xml:space="preserve"> </w:t>
      </w:r>
      <w:r w:rsidR="0050232C" w:rsidRPr="004F150F">
        <w:rPr>
          <w:rFonts w:eastAsia="Arial Unicode MS"/>
        </w:rPr>
        <w:t>de 20</w:t>
      </w:r>
      <w:r w:rsidR="00BA478F" w:rsidRPr="004F150F">
        <w:rPr>
          <w:rFonts w:eastAsia="Arial Unicode MS"/>
        </w:rPr>
        <w:t>20</w:t>
      </w:r>
    </w:p>
    <w:p w14:paraId="4D09A676" w14:textId="77777777" w:rsidR="00F106F7" w:rsidRPr="004F150F" w:rsidRDefault="00F106F7" w:rsidP="00F106F7">
      <w:pPr>
        <w:jc w:val="both"/>
        <w:rPr>
          <w:b/>
          <w:bCs/>
          <w:i/>
          <w:iCs/>
          <w:lang w:val="es-ES_tradnl"/>
        </w:rPr>
      </w:pPr>
    </w:p>
    <w:p w14:paraId="0643EAB7" w14:textId="77777777" w:rsidR="00F106F7" w:rsidRPr="004F150F" w:rsidRDefault="00F106F7" w:rsidP="00F106F7">
      <w:pPr>
        <w:jc w:val="both"/>
        <w:rPr>
          <w:b/>
          <w:bCs/>
          <w:i/>
          <w:iCs/>
          <w:lang w:val="es-ES_tradnl"/>
        </w:rPr>
      </w:pPr>
    </w:p>
    <w:p w14:paraId="76902CE5" w14:textId="77777777" w:rsidR="00F106F7" w:rsidRPr="004F150F" w:rsidRDefault="00F106F7" w:rsidP="00F106F7">
      <w:pPr>
        <w:jc w:val="both"/>
        <w:rPr>
          <w:b/>
          <w:bCs/>
          <w:i/>
          <w:iCs/>
          <w:lang w:val="es-ES_tradnl"/>
        </w:rPr>
      </w:pPr>
      <w:r w:rsidRPr="004F150F">
        <w:rPr>
          <w:b/>
          <w:bCs/>
          <w:i/>
          <w:iCs/>
          <w:lang w:val="es-ES_tradnl"/>
        </w:rPr>
        <w:t>La Secretaría Técnica certifica que la presente resolución cuenta con el voto de los vocales cuyos nombres figuran en la parte final del presente documento.</w:t>
      </w:r>
    </w:p>
    <w:p w14:paraId="141732CC" w14:textId="77777777" w:rsidR="00F106F7" w:rsidRPr="004F150F" w:rsidRDefault="00F106F7" w:rsidP="00F106F7">
      <w:pPr>
        <w:rPr>
          <w:b/>
          <w:bCs/>
        </w:rPr>
      </w:pPr>
    </w:p>
    <w:p w14:paraId="59047B46" w14:textId="77777777" w:rsidR="00F106F7" w:rsidRPr="004F150F" w:rsidRDefault="00F106F7" w:rsidP="00F106F7">
      <w:pPr>
        <w:rPr>
          <w:b/>
          <w:bCs/>
        </w:rPr>
      </w:pPr>
    </w:p>
    <w:p w14:paraId="1BFA0AFE" w14:textId="77777777" w:rsidR="00F106F7" w:rsidRPr="004F150F" w:rsidRDefault="00F106F7" w:rsidP="00F106F7">
      <w:pPr>
        <w:rPr>
          <w:b/>
          <w:bCs/>
        </w:rPr>
      </w:pPr>
    </w:p>
    <w:p w14:paraId="62846E97" w14:textId="77777777" w:rsidR="00F106F7" w:rsidRPr="004F150F" w:rsidRDefault="00F106F7" w:rsidP="00F106F7">
      <w:pPr>
        <w:spacing w:line="360" w:lineRule="auto"/>
        <w:rPr>
          <w:b/>
          <w:bCs/>
        </w:rPr>
      </w:pPr>
    </w:p>
    <w:p w14:paraId="0D93792A" w14:textId="77777777" w:rsidR="00F106F7" w:rsidRPr="004F150F" w:rsidRDefault="00F106F7" w:rsidP="00F106F7">
      <w:pPr>
        <w:spacing w:line="360" w:lineRule="auto"/>
        <w:rPr>
          <w:b/>
          <w:bCs/>
        </w:rPr>
      </w:pPr>
    </w:p>
    <w:p w14:paraId="6D9BFFB8" w14:textId="77777777" w:rsidR="00F106F7" w:rsidRPr="004F150F" w:rsidRDefault="00F106F7" w:rsidP="00F106F7">
      <w:pPr>
        <w:spacing w:line="360" w:lineRule="auto"/>
        <w:jc w:val="center"/>
        <w:rPr>
          <w:b/>
          <w:bCs/>
        </w:rPr>
      </w:pPr>
      <w:r w:rsidRPr="004F150F">
        <w:rPr>
          <w:b/>
          <w:bCs/>
        </w:rPr>
        <w:t>Marco Antonio Ortega Piana – Presidente</w:t>
      </w:r>
    </w:p>
    <w:p w14:paraId="14AE3048" w14:textId="77777777" w:rsidR="00F106F7" w:rsidRPr="004F150F" w:rsidRDefault="00F106F7" w:rsidP="00F106F7">
      <w:pPr>
        <w:spacing w:line="360" w:lineRule="auto"/>
        <w:jc w:val="center"/>
        <w:rPr>
          <w:b/>
          <w:bCs/>
        </w:rPr>
      </w:pPr>
      <w:r w:rsidRPr="004F150F">
        <w:rPr>
          <w:b/>
          <w:bCs/>
        </w:rPr>
        <w:t>María Eugenia Valdez Fernández Baca – Vocal</w:t>
      </w:r>
    </w:p>
    <w:p w14:paraId="797EE623" w14:textId="77777777" w:rsidR="00F106F7" w:rsidRPr="004F150F" w:rsidRDefault="00F106F7" w:rsidP="00F106F7">
      <w:pPr>
        <w:spacing w:line="360" w:lineRule="auto"/>
        <w:jc w:val="center"/>
        <w:rPr>
          <w:b/>
          <w:bCs/>
        </w:rPr>
      </w:pPr>
      <w:r w:rsidRPr="004F150F">
        <w:rPr>
          <w:b/>
          <w:bCs/>
        </w:rPr>
        <w:t>Gonzalo Abad - Vocal</w:t>
      </w:r>
    </w:p>
    <w:p w14:paraId="144FBE76" w14:textId="77777777" w:rsidR="00E64F28" w:rsidRPr="004F150F" w:rsidRDefault="00E64F28">
      <w:pPr>
        <w:autoSpaceDE w:val="0"/>
        <w:jc w:val="right"/>
      </w:pPr>
      <w:r w:rsidRPr="004F150F">
        <w:rPr>
          <w:lang w:val="es-MX"/>
        </w:rPr>
        <w:t xml:space="preserve">  </w:t>
      </w:r>
      <w:r w:rsidRPr="004F150F">
        <w:t xml:space="preserve"> </w:t>
      </w:r>
    </w:p>
    <w:sectPr w:rsidR="00E64F28" w:rsidRPr="004F150F">
      <w:footerReference w:type="default" r:id="rId7"/>
      <w:pgSz w:w="11906" w:h="16838"/>
      <w:pgMar w:top="226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B135" w14:textId="77777777" w:rsidR="00FD0FD3" w:rsidRDefault="00FD0FD3">
      <w:r>
        <w:separator/>
      </w:r>
    </w:p>
  </w:endnote>
  <w:endnote w:type="continuationSeparator" w:id="0">
    <w:p w14:paraId="3633AB21" w14:textId="77777777" w:rsidR="00FD0FD3" w:rsidRDefault="00FD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9F34" w14:textId="77777777" w:rsidR="00F106F7" w:rsidRPr="00F106F7" w:rsidRDefault="00F106F7">
    <w:pPr>
      <w:pStyle w:val="Piedepgina"/>
      <w:jc w:val="right"/>
      <w:rPr>
        <w:sz w:val="18"/>
        <w:szCs w:val="18"/>
      </w:rPr>
    </w:pPr>
    <w:r w:rsidRPr="00F106F7">
      <w:rPr>
        <w:sz w:val="18"/>
        <w:szCs w:val="18"/>
      </w:rPr>
      <w:t xml:space="preserve">Página </w:t>
    </w:r>
    <w:r w:rsidRPr="00F106F7">
      <w:rPr>
        <w:b/>
        <w:bCs/>
        <w:sz w:val="18"/>
        <w:szCs w:val="18"/>
      </w:rPr>
      <w:fldChar w:fldCharType="begin"/>
    </w:r>
    <w:r w:rsidRPr="00F106F7">
      <w:rPr>
        <w:b/>
        <w:bCs/>
        <w:sz w:val="18"/>
        <w:szCs w:val="18"/>
      </w:rPr>
      <w:instrText>PAGE</w:instrText>
    </w:r>
    <w:r w:rsidRPr="00F106F7">
      <w:rPr>
        <w:b/>
        <w:bCs/>
        <w:sz w:val="18"/>
        <w:szCs w:val="18"/>
      </w:rPr>
      <w:fldChar w:fldCharType="separate"/>
    </w:r>
    <w:r w:rsidRPr="00F106F7">
      <w:rPr>
        <w:b/>
        <w:bCs/>
        <w:sz w:val="18"/>
        <w:szCs w:val="18"/>
      </w:rPr>
      <w:t>2</w:t>
    </w:r>
    <w:r w:rsidRPr="00F106F7">
      <w:rPr>
        <w:b/>
        <w:bCs/>
        <w:sz w:val="18"/>
        <w:szCs w:val="18"/>
      </w:rPr>
      <w:fldChar w:fldCharType="end"/>
    </w:r>
    <w:r w:rsidRPr="00F106F7">
      <w:rPr>
        <w:sz w:val="18"/>
        <w:szCs w:val="18"/>
      </w:rPr>
      <w:t xml:space="preserve"> de </w:t>
    </w:r>
    <w:r w:rsidRPr="00F106F7">
      <w:rPr>
        <w:b/>
        <w:bCs/>
        <w:sz w:val="18"/>
        <w:szCs w:val="18"/>
      </w:rPr>
      <w:fldChar w:fldCharType="begin"/>
    </w:r>
    <w:r w:rsidRPr="00F106F7">
      <w:rPr>
        <w:b/>
        <w:bCs/>
        <w:sz w:val="18"/>
        <w:szCs w:val="18"/>
      </w:rPr>
      <w:instrText>NUMPAGES</w:instrText>
    </w:r>
    <w:r w:rsidRPr="00F106F7">
      <w:rPr>
        <w:b/>
        <w:bCs/>
        <w:sz w:val="18"/>
        <w:szCs w:val="18"/>
      </w:rPr>
      <w:fldChar w:fldCharType="separate"/>
    </w:r>
    <w:r w:rsidRPr="00F106F7">
      <w:rPr>
        <w:b/>
        <w:bCs/>
        <w:sz w:val="18"/>
        <w:szCs w:val="18"/>
      </w:rPr>
      <w:t>2</w:t>
    </w:r>
    <w:r w:rsidRPr="00F106F7">
      <w:rPr>
        <w:b/>
        <w:bCs/>
        <w:sz w:val="18"/>
        <w:szCs w:val="18"/>
      </w:rPr>
      <w:fldChar w:fldCharType="end"/>
    </w:r>
  </w:p>
  <w:p w14:paraId="36989224" w14:textId="77777777" w:rsidR="00F106F7" w:rsidRDefault="00F106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2544" w14:textId="77777777" w:rsidR="00FD0FD3" w:rsidRDefault="00FD0FD3">
      <w:r>
        <w:separator/>
      </w:r>
    </w:p>
  </w:footnote>
  <w:footnote w:type="continuationSeparator" w:id="0">
    <w:p w14:paraId="0F7A1E48" w14:textId="77777777" w:rsidR="00FD0FD3" w:rsidRDefault="00FD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6B58"/>
    <w:multiLevelType w:val="hybridMultilevel"/>
    <w:tmpl w:val="05284B46"/>
    <w:lvl w:ilvl="0" w:tplc="CF64BD62">
      <w:start w:val="2"/>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CC6FD3"/>
    <w:multiLevelType w:val="hybridMultilevel"/>
    <w:tmpl w:val="8E4C8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9191337"/>
    <w:multiLevelType w:val="multilevel"/>
    <w:tmpl w:val="7DC216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FDA"/>
    <w:rsid w:val="00010B7F"/>
    <w:rsid w:val="0001180F"/>
    <w:rsid w:val="00011908"/>
    <w:rsid w:val="000149BA"/>
    <w:rsid w:val="00017BF1"/>
    <w:rsid w:val="000203D4"/>
    <w:rsid w:val="00025352"/>
    <w:rsid w:val="00032B2A"/>
    <w:rsid w:val="00034249"/>
    <w:rsid w:val="0004078F"/>
    <w:rsid w:val="00055B1B"/>
    <w:rsid w:val="00062F62"/>
    <w:rsid w:val="00065412"/>
    <w:rsid w:val="0007044C"/>
    <w:rsid w:val="000736F5"/>
    <w:rsid w:val="0007606D"/>
    <w:rsid w:val="0007628A"/>
    <w:rsid w:val="000824A1"/>
    <w:rsid w:val="0009162F"/>
    <w:rsid w:val="00094DD4"/>
    <w:rsid w:val="0009583C"/>
    <w:rsid w:val="000966B7"/>
    <w:rsid w:val="000C013C"/>
    <w:rsid w:val="000D6582"/>
    <w:rsid w:val="000E38AF"/>
    <w:rsid w:val="000E3B7D"/>
    <w:rsid w:val="000E4102"/>
    <w:rsid w:val="000E78B5"/>
    <w:rsid w:val="000E78DF"/>
    <w:rsid w:val="000F1FEA"/>
    <w:rsid w:val="000F2B0F"/>
    <w:rsid w:val="000F4318"/>
    <w:rsid w:val="001037A2"/>
    <w:rsid w:val="0011425F"/>
    <w:rsid w:val="00120043"/>
    <w:rsid w:val="001274F3"/>
    <w:rsid w:val="0012750F"/>
    <w:rsid w:val="001279B6"/>
    <w:rsid w:val="001300E5"/>
    <w:rsid w:val="00152E70"/>
    <w:rsid w:val="00155805"/>
    <w:rsid w:val="00161AFB"/>
    <w:rsid w:val="00166E2C"/>
    <w:rsid w:val="001764EE"/>
    <w:rsid w:val="00191416"/>
    <w:rsid w:val="001922A0"/>
    <w:rsid w:val="001939F3"/>
    <w:rsid w:val="001960DB"/>
    <w:rsid w:val="00196791"/>
    <w:rsid w:val="001A6331"/>
    <w:rsid w:val="001A6AEA"/>
    <w:rsid w:val="001B052E"/>
    <w:rsid w:val="001B18CB"/>
    <w:rsid w:val="001C3467"/>
    <w:rsid w:val="001D0FBB"/>
    <w:rsid w:val="001D79AF"/>
    <w:rsid w:val="001E0A3E"/>
    <w:rsid w:val="001E7F2D"/>
    <w:rsid w:val="00201C81"/>
    <w:rsid w:val="00202BAE"/>
    <w:rsid w:val="0020511C"/>
    <w:rsid w:val="00213E97"/>
    <w:rsid w:val="00215216"/>
    <w:rsid w:val="002162F6"/>
    <w:rsid w:val="00230EDA"/>
    <w:rsid w:val="00240C91"/>
    <w:rsid w:val="002435B9"/>
    <w:rsid w:val="0024585B"/>
    <w:rsid w:val="00247107"/>
    <w:rsid w:val="00255B26"/>
    <w:rsid w:val="00260350"/>
    <w:rsid w:val="00261A64"/>
    <w:rsid w:val="00266A9B"/>
    <w:rsid w:val="00267F72"/>
    <w:rsid w:val="0027153E"/>
    <w:rsid w:val="0027315A"/>
    <w:rsid w:val="00274104"/>
    <w:rsid w:val="00286118"/>
    <w:rsid w:val="00296C23"/>
    <w:rsid w:val="002B2CD4"/>
    <w:rsid w:val="002B3C89"/>
    <w:rsid w:val="002E0430"/>
    <w:rsid w:val="002F075A"/>
    <w:rsid w:val="002F0F80"/>
    <w:rsid w:val="002F64FD"/>
    <w:rsid w:val="003054C1"/>
    <w:rsid w:val="003104B3"/>
    <w:rsid w:val="003177C3"/>
    <w:rsid w:val="00336F84"/>
    <w:rsid w:val="00337006"/>
    <w:rsid w:val="00343254"/>
    <w:rsid w:val="00344094"/>
    <w:rsid w:val="003462E9"/>
    <w:rsid w:val="003641CC"/>
    <w:rsid w:val="00365D34"/>
    <w:rsid w:val="00366C00"/>
    <w:rsid w:val="00370645"/>
    <w:rsid w:val="003711EF"/>
    <w:rsid w:val="00371A6B"/>
    <w:rsid w:val="00371CE2"/>
    <w:rsid w:val="00372DC9"/>
    <w:rsid w:val="0038014B"/>
    <w:rsid w:val="00381AD8"/>
    <w:rsid w:val="00390334"/>
    <w:rsid w:val="00391BF3"/>
    <w:rsid w:val="003A00EE"/>
    <w:rsid w:val="003A0CA4"/>
    <w:rsid w:val="003A1C31"/>
    <w:rsid w:val="003A41E0"/>
    <w:rsid w:val="003C1036"/>
    <w:rsid w:val="003D3C6E"/>
    <w:rsid w:val="003E17F8"/>
    <w:rsid w:val="003F0439"/>
    <w:rsid w:val="00400C84"/>
    <w:rsid w:val="004023CA"/>
    <w:rsid w:val="0040483C"/>
    <w:rsid w:val="004062D7"/>
    <w:rsid w:val="00414219"/>
    <w:rsid w:val="004218DC"/>
    <w:rsid w:val="00422FB0"/>
    <w:rsid w:val="00433163"/>
    <w:rsid w:val="00435591"/>
    <w:rsid w:val="00452D52"/>
    <w:rsid w:val="00454707"/>
    <w:rsid w:val="00464B2E"/>
    <w:rsid w:val="0047467A"/>
    <w:rsid w:val="00481320"/>
    <w:rsid w:val="004912FA"/>
    <w:rsid w:val="00493D18"/>
    <w:rsid w:val="004B175C"/>
    <w:rsid w:val="004B495C"/>
    <w:rsid w:val="004B6936"/>
    <w:rsid w:val="004D4935"/>
    <w:rsid w:val="004E368A"/>
    <w:rsid w:val="004E5865"/>
    <w:rsid w:val="004F150F"/>
    <w:rsid w:val="004F3999"/>
    <w:rsid w:val="004F3BE3"/>
    <w:rsid w:val="00500913"/>
    <w:rsid w:val="005021EC"/>
    <w:rsid w:val="0050232C"/>
    <w:rsid w:val="00506AB8"/>
    <w:rsid w:val="00516F3D"/>
    <w:rsid w:val="00525C34"/>
    <w:rsid w:val="0052653B"/>
    <w:rsid w:val="00541534"/>
    <w:rsid w:val="00542CB9"/>
    <w:rsid w:val="005434BE"/>
    <w:rsid w:val="005435D1"/>
    <w:rsid w:val="005472E5"/>
    <w:rsid w:val="00547733"/>
    <w:rsid w:val="005541AF"/>
    <w:rsid w:val="00555F04"/>
    <w:rsid w:val="005614C5"/>
    <w:rsid w:val="005729B6"/>
    <w:rsid w:val="00573252"/>
    <w:rsid w:val="0057512F"/>
    <w:rsid w:val="0058249F"/>
    <w:rsid w:val="00592111"/>
    <w:rsid w:val="005A0CBC"/>
    <w:rsid w:val="005A4C9E"/>
    <w:rsid w:val="005A4ED4"/>
    <w:rsid w:val="005C1140"/>
    <w:rsid w:val="005C3C44"/>
    <w:rsid w:val="005C7CEA"/>
    <w:rsid w:val="005D2404"/>
    <w:rsid w:val="005D249C"/>
    <w:rsid w:val="005D3D3D"/>
    <w:rsid w:val="005D6A02"/>
    <w:rsid w:val="005E4FC0"/>
    <w:rsid w:val="005E6C21"/>
    <w:rsid w:val="005E79FF"/>
    <w:rsid w:val="005F56EE"/>
    <w:rsid w:val="006076D6"/>
    <w:rsid w:val="00611629"/>
    <w:rsid w:val="00612854"/>
    <w:rsid w:val="00613F0A"/>
    <w:rsid w:val="00614563"/>
    <w:rsid w:val="00625F13"/>
    <w:rsid w:val="00626E8A"/>
    <w:rsid w:val="0065716F"/>
    <w:rsid w:val="00664A65"/>
    <w:rsid w:val="00664D1E"/>
    <w:rsid w:val="006654D2"/>
    <w:rsid w:val="00672BDC"/>
    <w:rsid w:val="00673A30"/>
    <w:rsid w:val="00684A82"/>
    <w:rsid w:val="00684FAF"/>
    <w:rsid w:val="006A2A13"/>
    <w:rsid w:val="006A6691"/>
    <w:rsid w:val="006A7A83"/>
    <w:rsid w:val="006B09DD"/>
    <w:rsid w:val="006B2530"/>
    <w:rsid w:val="006C0E4C"/>
    <w:rsid w:val="006C2C62"/>
    <w:rsid w:val="006D06AC"/>
    <w:rsid w:val="006D4F09"/>
    <w:rsid w:val="006E40D6"/>
    <w:rsid w:val="006E6C6D"/>
    <w:rsid w:val="006F22C5"/>
    <w:rsid w:val="006F2C2C"/>
    <w:rsid w:val="006F7CF9"/>
    <w:rsid w:val="00711389"/>
    <w:rsid w:val="00716520"/>
    <w:rsid w:val="007173CA"/>
    <w:rsid w:val="0072084B"/>
    <w:rsid w:val="007302AE"/>
    <w:rsid w:val="007445D1"/>
    <w:rsid w:val="007466C2"/>
    <w:rsid w:val="00746E32"/>
    <w:rsid w:val="00770BDA"/>
    <w:rsid w:val="00777227"/>
    <w:rsid w:val="00781137"/>
    <w:rsid w:val="007C1F82"/>
    <w:rsid w:val="007D1641"/>
    <w:rsid w:val="007E111C"/>
    <w:rsid w:val="00800C74"/>
    <w:rsid w:val="00800EC5"/>
    <w:rsid w:val="008011E0"/>
    <w:rsid w:val="00801915"/>
    <w:rsid w:val="00801D9D"/>
    <w:rsid w:val="008266C9"/>
    <w:rsid w:val="0083474D"/>
    <w:rsid w:val="00846117"/>
    <w:rsid w:val="0085522A"/>
    <w:rsid w:val="00860252"/>
    <w:rsid w:val="00862A65"/>
    <w:rsid w:val="00866D97"/>
    <w:rsid w:val="00871A92"/>
    <w:rsid w:val="00871B82"/>
    <w:rsid w:val="00874704"/>
    <w:rsid w:val="0088011E"/>
    <w:rsid w:val="00880D15"/>
    <w:rsid w:val="00891026"/>
    <w:rsid w:val="00896801"/>
    <w:rsid w:val="008A25DB"/>
    <w:rsid w:val="008A2D2A"/>
    <w:rsid w:val="008A4371"/>
    <w:rsid w:val="008B296A"/>
    <w:rsid w:val="008C2D77"/>
    <w:rsid w:val="008D5CB4"/>
    <w:rsid w:val="008D5D93"/>
    <w:rsid w:val="008D7976"/>
    <w:rsid w:val="008E205C"/>
    <w:rsid w:val="0090008D"/>
    <w:rsid w:val="009044FD"/>
    <w:rsid w:val="00907B8E"/>
    <w:rsid w:val="0092553D"/>
    <w:rsid w:val="00930B80"/>
    <w:rsid w:val="00931BC0"/>
    <w:rsid w:val="0093718B"/>
    <w:rsid w:val="0096173C"/>
    <w:rsid w:val="00971255"/>
    <w:rsid w:val="00975790"/>
    <w:rsid w:val="00984C03"/>
    <w:rsid w:val="0098544A"/>
    <w:rsid w:val="009A59BC"/>
    <w:rsid w:val="009B331C"/>
    <w:rsid w:val="009B641C"/>
    <w:rsid w:val="009C13BB"/>
    <w:rsid w:val="009C4357"/>
    <w:rsid w:val="009C54EC"/>
    <w:rsid w:val="009D029A"/>
    <w:rsid w:val="009D358A"/>
    <w:rsid w:val="009E28F9"/>
    <w:rsid w:val="009F38FA"/>
    <w:rsid w:val="009F601C"/>
    <w:rsid w:val="00A01D42"/>
    <w:rsid w:val="00A02125"/>
    <w:rsid w:val="00A022EE"/>
    <w:rsid w:val="00A0457C"/>
    <w:rsid w:val="00A206E5"/>
    <w:rsid w:val="00A22FE1"/>
    <w:rsid w:val="00A35085"/>
    <w:rsid w:val="00A351C6"/>
    <w:rsid w:val="00A37FEA"/>
    <w:rsid w:val="00A435FC"/>
    <w:rsid w:val="00A53191"/>
    <w:rsid w:val="00A5756F"/>
    <w:rsid w:val="00A60164"/>
    <w:rsid w:val="00A667CA"/>
    <w:rsid w:val="00A82374"/>
    <w:rsid w:val="00A921BD"/>
    <w:rsid w:val="00A94DE2"/>
    <w:rsid w:val="00AA130E"/>
    <w:rsid w:val="00AA4D7A"/>
    <w:rsid w:val="00AB7F7A"/>
    <w:rsid w:val="00AC0CD4"/>
    <w:rsid w:val="00AC1212"/>
    <w:rsid w:val="00AC1925"/>
    <w:rsid w:val="00AC2426"/>
    <w:rsid w:val="00AC389E"/>
    <w:rsid w:val="00AD6147"/>
    <w:rsid w:val="00AD6181"/>
    <w:rsid w:val="00AD6F92"/>
    <w:rsid w:val="00AE0432"/>
    <w:rsid w:val="00AE13C3"/>
    <w:rsid w:val="00AF0B06"/>
    <w:rsid w:val="00AF13C6"/>
    <w:rsid w:val="00AF7192"/>
    <w:rsid w:val="00B02E97"/>
    <w:rsid w:val="00B030A4"/>
    <w:rsid w:val="00B05DAE"/>
    <w:rsid w:val="00B14B7E"/>
    <w:rsid w:val="00B14FF5"/>
    <w:rsid w:val="00B1563A"/>
    <w:rsid w:val="00B32262"/>
    <w:rsid w:val="00B414A5"/>
    <w:rsid w:val="00B52B9F"/>
    <w:rsid w:val="00B53611"/>
    <w:rsid w:val="00B53D92"/>
    <w:rsid w:val="00B604C0"/>
    <w:rsid w:val="00B62CFE"/>
    <w:rsid w:val="00B66816"/>
    <w:rsid w:val="00B67FCE"/>
    <w:rsid w:val="00B75ACD"/>
    <w:rsid w:val="00B837D2"/>
    <w:rsid w:val="00B84B04"/>
    <w:rsid w:val="00B8702E"/>
    <w:rsid w:val="00B94B69"/>
    <w:rsid w:val="00B95001"/>
    <w:rsid w:val="00B95986"/>
    <w:rsid w:val="00BA07B5"/>
    <w:rsid w:val="00BA478F"/>
    <w:rsid w:val="00BA774E"/>
    <w:rsid w:val="00BB246B"/>
    <w:rsid w:val="00BC4679"/>
    <w:rsid w:val="00BD6445"/>
    <w:rsid w:val="00BE04C2"/>
    <w:rsid w:val="00BE0997"/>
    <w:rsid w:val="00BE6CDC"/>
    <w:rsid w:val="00BE7EF5"/>
    <w:rsid w:val="00BF0747"/>
    <w:rsid w:val="00BF2C2E"/>
    <w:rsid w:val="00BF5EDD"/>
    <w:rsid w:val="00C03BA9"/>
    <w:rsid w:val="00C0516C"/>
    <w:rsid w:val="00C13C79"/>
    <w:rsid w:val="00C14C74"/>
    <w:rsid w:val="00C20680"/>
    <w:rsid w:val="00C21CDF"/>
    <w:rsid w:val="00C2713B"/>
    <w:rsid w:val="00C3132A"/>
    <w:rsid w:val="00C373D7"/>
    <w:rsid w:val="00C51444"/>
    <w:rsid w:val="00C53380"/>
    <w:rsid w:val="00C559EB"/>
    <w:rsid w:val="00C56C62"/>
    <w:rsid w:val="00C80390"/>
    <w:rsid w:val="00C809CC"/>
    <w:rsid w:val="00C81A52"/>
    <w:rsid w:val="00C92272"/>
    <w:rsid w:val="00C94F8B"/>
    <w:rsid w:val="00CA25A2"/>
    <w:rsid w:val="00CA6919"/>
    <w:rsid w:val="00CA7261"/>
    <w:rsid w:val="00CB25EE"/>
    <w:rsid w:val="00CC07E5"/>
    <w:rsid w:val="00CD1F42"/>
    <w:rsid w:val="00CD26FC"/>
    <w:rsid w:val="00CD5201"/>
    <w:rsid w:val="00CF653E"/>
    <w:rsid w:val="00CF7959"/>
    <w:rsid w:val="00D102AA"/>
    <w:rsid w:val="00D11A0F"/>
    <w:rsid w:val="00D11EA4"/>
    <w:rsid w:val="00D22116"/>
    <w:rsid w:val="00D2462D"/>
    <w:rsid w:val="00D321BF"/>
    <w:rsid w:val="00D354E4"/>
    <w:rsid w:val="00D36FA3"/>
    <w:rsid w:val="00D37B26"/>
    <w:rsid w:val="00D4192D"/>
    <w:rsid w:val="00D5418D"/>
    <w:rsid w:val="00D55FD2"/>
    <w:rsid w:val="00D64C69"/>
    <w:rsid w:val="00D66E52"/>
    <w:rsid w:val="00D677D1"/>
    <w:rsid w:val="00D67A2F"/>
    <w:rsid w:val="00D71FDA"/>
    <w:rsid w:val="00D877F1"/>
    <w:rsid w:val="00D92993"/>
    <w:rsid w:val="00D9309F"/>
    <w:rsid w:val="00D97AE1"/>
    <w:rsid w:val="00DA08FE"/>
    <w:rsid w:val="00DA0E9A"/>
    <w:rsid w:val="00DA2F66"/>
    <w:rsid w:val="00DA2FA3"/>
    <w:rsid w:val="00DB3E4C"/>
    <w:rsid w:val="00DC0E1F"/>
    <w:rsid w:val="00DD094A"/>
    <w:rsid w:val="00DD0F5B"/>
    <w:rsid w:val="00DD421E"/>
    <w:rsid w:val="00DD47E0"/>
    <w:rsid w:val="00DD5BC9"/>
    <w:rsid w:val="00DE57E6"/>
    <w:rsid w:val="00DE6BCB"/>
    <w:rsid w:val="00DE7E84"/>
    <w:rsid w:val="00DF1B5D"/>
    <w:rsid w:val="00DF4445"/>
    <w:rsid w:val="00E02DA5"/>
    <w:rsid w:val="00E04136"/>
    <w:rsid w:val="00E05E05"/>
    <w:rsid w:val="00E10FB8"/>
    <w:rsid w:val="00E16213"/>
    <w:rsid w:val="00E25D8E"/>
    <w:rsid w:val="00E27170"/>
    <w:rsid w:val="00E4259C"/>
    <w:rsid w:val="00E45877"/>
    <w:rsid w:val="00E46A36"/>
    <w:rsid w:val="00E64F28"/>
    <w:rsid w:val="00E82EC7"/>
    <w:rsid w:val="00E83523"/>
    <w:rsid w:val="00E92568"/>
    <w:rsid w:val="00E969C6"/>
    <w:rsid w:val="00E96EC7"/>
    <w:rsid w:val="00E97F55"/>
    <w:rsid w:val="00EB22A0"/>
    <w:rsid w:val="00EC0944"/>
    <w:rsid w:val="00EC5F7C"/>
    <w:rsid w:val="00ED122B"/>
    <w:rsid w:val="00EE445D"/>
    <w:rsid w:val="00EE5147"/>
    <w:rsid w:val="00F02A4B"/>
    <w:rsid w:val="00F05CB6"/>
    <w:rsid w:val="00F05E83"/>
    <w:rsid w:val="00F06894"/>
    <w:rsid w:val="00F105B2"/>
    <w:rsid w:val="00F106F7"/>
    <w:rsid w:val="00F14435"/>
    <w:rsid w:val="00F2029A"/>
    <w:rsid w:val="00F248B1"/>
    <w:rsid w:val="00F27822"/>
    <w:rsid w:val="00F36E16"/>
    <w:rsid w:val="00F43014"/>
    <w:rsid w:val="00F54846"/>
    <w:rsid w:val="00F60108"/>
    <w:rsid w:val="00F6232F"/>
    <w:rsid w:val="00F71FFE"/>
    <w:rsid w:val="00F820AD"/>
    <w:rsid w:val="00F86AF5"/>
    <w:rsid w:val="00FA4DD8"/>
    <w:rsid w:val="00FA65DA"/>
    <w:rsid w:val="00FB03D0"/>
    <w:rsid w:val="00FB5CE2"/>
    <w:rsid w:val="00FB6D44"/>
    <w:rsid w:val="00FC57DE"/>
    <w:rsid w:val="00FD0FD3"/>
    <w:rsid w:val="00FD1F88"/>
    <w:rsid w:val="00FD6AAC"/>
    <w:rsid w:val="00FD7061"/>
    <w:rsid w:val="00FE0181"/>
    <w:rsid w:val="00FE2DDD"/>
    <w:rsid w:val="00FE7669"/>
    <w:rsid w:val="00FE7B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45B66C"/>
  <w15:chartTrackingRefBased/>
  <w15:docId w15:val="{E6CEABB9-413A-4FFB-B66D-27C16BAD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Pr>
      <w:lang w:val="es-ES"/>
    </w:rPr>
  </w:style>
  <w:style w:type="character" w:customStyle="1" w:styleId="Fuentedeprrafopredeter1">
    <w:name w:val="Fuente de párrafo predeter.1"/>
  </w:style>
  <w:style w:type="character" w:styleId="Textoennegrita">
    <w:name w:val="Strong"/>
    <w:qFormat/>
    <w:rPr>
      <w:b/>
      <w:bCs/>
    </w:rPr>
  </w:style>
  <w:style w:type="character" w:customStyle="1" w:styleId="Refdecomentario1">
    <w:name w:val="Ref. de comentario1"/>
    <w:rPr>
      <w:sz w:val="16"/>
      <w:szCs w:val="16"/>
    </w:rPr>
  </w:style>
  <w:style w:type="character" w:customStyle="1" w:styleId="Car2">
    <w:name w:val=" Car2"/>
    <w:rPr>
      <w:sz w:val="24"/>
      <w:szCs w:val="24"/>
      <w:lang w:val="es-ES"/>
    </w:rPr>
  </w:style>
  <w:style w:type="character" w:customStyle="1" w:styleId="Car1">
    <w:name w:val=" Car1"/>
    <w:rPr>
      <w:sz w:val="24"/>
      <w:szCs w:val="24"/>
      <w:lang w:val="es-ES"/>
    </w:rPr>
  </w:style>
  <w:style w:type="character" w:customStyle="1" w:styleId="Car">
    <w:name w:val=" Car"/>
    <w:rPr>
      <w:lang w:val="es-ES"/>
    </w:rPr>
  </w:style>
  <w:style w:type="character" w:customStyle="1" w:styleId="Caracteresdenotafinal">
    <w:name w:val="Caracteres de nota final"/>
    <w:rPr>
      <w:vertAlign w:val="superscript"/>
    </w:rPr>
  </w:style>
  <w:style w:type="character" w:customStyle="1" w:styleId="Caracteresdenotaalpie">
    <w:name w:val="Caracteres de nota al pie"/>
    <w:rPr>
      <w:vertAlign w:val="superscript"/>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jc w:val="both"/>
    </w:pPr>
    <w:rPr>
      <w:bCs/>
      <w:lang w:val="es-MX"/>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Puesto">
    <w:name w:val="Puesto"/>
    <w:basedOn w:val="Normal"/>
    <w:next w:val="Subttulo"/>
    <w:qFormat/>
    <w:pPr>
      <w:jc w:val="center"/>
    </w:pPr>
    <w:rPr>
      <w:b/>
      <w:bCs/>
      <w:lang w:val="es-MX"/>
    </w:rPr>
  </w:style>
  <w:style w:type="paragraph" w:styleId="Subttulo">
    <w:name w:val="Subtitle"/>
    <w:basedOn w:val="Encabezado1"/>
    <w:next w:val="Textoindependiente"/>
    <w:qFormat/>
    <w:pPr>
      <w:jc w:val="center"/>
    </w:pPr>
    <w:rPr>
      <w:i/>
      <w:iCs/>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alfinal">
    <w:name w:val="endnote text"/>
    <w:basedOn w:val="Normal"/>
    <w:rPr>
      <w:sz w:val="20"/>
      <w:szCs w:val="20"/>
    </w:rPr>
  </w:style>
  <w:style w:type="paragraph" w:styleId="Textonotapie">
    <w:name w:val="footnote text"/>
    <w:basedOn w:val="Normal"/>
    <w:link w:val="TextonotapieCar"/>
    <w:uiPriority w:val="99"/>
  </w:style>
  <w:style w:type="paragraph" w:styleId="NormalWeb">
    <w:name w:val="Normal (Web)"/>
    <w:basedOn w:val="Normal"/>
    <w:pPr>
      <w:spacing w:before="280" w:after="280"/>
      <w:jc w:val="both"/>
    </w:pPr>
    <w:rPr>
      <w:rFonts w:ascii="Arial" w:hAnsi="Arial" w:cs="Arial"/>
      <w:color w:val="000000"/>
      <w:sz w:val="20"/>
      <w:szCs w:val="20"/>
    </w:rPr>
  </w:style>
  <w:style w:type="paragraph" w:styleId="Mapadeldocumento">
    <w:name w:val="Document Map"/>
    <w:basedOn w:val="Normal"/>
    <w:semiHidden/>
    <w:rsid w:val="00400C84"/>
    <w:pPr>
      <w:shd w:val="clear" w:color="auto" w:fill="000080"/>
    </w:pPr>
    <w:rPr>
      <w:rFonts w:ascii="Tahoma" w:hAnsi="Tahoma" w:cs="Tahoma"/>
      <w:sz w:val="20"/>
      <w:szCs w:val="20"/>
    </w:rPr>
  </w:style>
  <w:style w:type="paragraph" w:styleId="Revisin">
    <w:name w:val="Revision"/>
    <w:hidden/>
    <w:uiPriority w:val="99"/>
    <w:semiHidden/>
    <w:rsid w:val="00344094"/>
    <w:rPr>
      <w:sz w:val="24"/>
      <w:szCs w:val="24"/>
      <w:lang w:val="es-ES" w:eastAsia="ar-SA"/>
    </w:rPr>
  </w:style>
  <w:style w:type="character" w:customStyle="1" w:styleId="TextonotapieCar">
    <w:name w:val="Texto nota pie Car"/>
    <w:link w:val="Textonotapie"/>
    <w:uiPriority w:val="99"/>
    <w:rsid w:val="00DF1B5D"/>
    <w:rPr>
      <w:sz w:val="24"/>
      <w:szCs w:val="24"/>
      <w:lang w:val="es-ES" w:eastAsia="ar-SA"/>
    </w:rPr>
  </w:style>
  <w:style w:type="character" w:styleId="Refdenotaalpie">
    <w:name w:val="footnote reference"/>
    <w:uiPriority w:val="99"/>
    <w:unhideWhenUsed/>
    <w:rsid w:val="00DF1B5D"/>
    <w:rPr>
      <w:vertAlign w:val="superscript"/>
    </w:rPr>
  </w:style>
  <w:style w:type="character" w:customStyle="1" w:styleId="EncabezadoCar">
    <w:name w:val="Encabezado Car"/>
    <w:link w:val="Encabezado"/>
    <w:uiPriority w:val="99"/>
    <w:rsid w:val="00F106F7"/>
    <w:rPr>
      <w:sz w:val="24"/>
      <w:szCs w:val="24"/>
      <w:lang w:val="es-ES" w:eastAsia="ar-SA"/>
    </w:rPr>
  </w:style>
  <w:style w:type="character" w:customStyle="1" w:styleId="PiedepginaCar">
    <w:name w:val="Pie de página Car"/>
    <w:link w:val="Piedepgina"/>
    <w:uiPriority w:val="99"/>
    <w:rsid w:val="00F106F7"/>
    <w:rPr>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57087">
      <w:bodyDiv w:val="1"/>
      <w:marLeft w:val="0"/>
      <w:marRight w:val="0"/>
      <w:marTop w:val="0"/>
      <w:marBottom w:val="0"/>
      <w:divBdr>
        <w:top w:val="none" w:sz="0" w:space="0" w:color="auto"/>
        <w:left w:val="none" w:sz="0" w:space="0" w:color="auto"/>
        <w:bottom w:val="none" w:sz="0" w:space="0" w:color="auto"/>
        <w:right w:val="none" w:sz="0" w:space="0" w:color="auto"/>
      </w:divBdr>
      <w:divsChild>
        <w:div w:id="953370401">
          <w:marLeft w:val="0"/>
          <w:marRight w:val="0"/>
          <w:marTop w:val="0"/>
          <w:marBottom w:val="0"/>
          <w:divBdr>
            <w:top w:val="none" w:sz="0" w:space="0" w:color="auto"/>
            <w:left w:val="none" w:sz="0" w:space="0" w:color="auto"/>
            <w:bottom w:val="none" w:sz="0" w:space="0" w:color="auto"/>
            <w:right w:val="none" w:sz="0" w:space="0" w:color="auto"/>
          </w:divBdr>
        </w:div>
      </w:divsChild>
    </w:div>
    <w:div w:id="1484815891">
      <w:bodyDiv w:val="1"/>
      <w:marLeft w:val="0"/>
      <w:marRight w:val="0"/>
      <w:marTop w:val="0"/>
      <w:marBottom w:val="0"/>
      <w:divBdr>
        <w:top w:val="none" w:sz="0" w:space="0" w:color="auto"/>
        <w:left w:val="none" w:sz="0" w:space="0" w:color="auto"/>
        <w:bottom w:val="none" w:sz="0" w:space="0" w:color="auto"/>
        <w:right w:val="none" w:sz="0" w:space="0" w:color="auto"/>
      </w:divBdr>
      <w:divsChild>
        <w:div w:id="232589068">
          <w:marLeft w:val="0"/>
          <w:marRight w:val="0"/>
          <w:marTop w:val="0"/>
          <w:marBottom w:val="0"/>
          <w:divBdr>
            <w:top w:val="none" w:sz="0" w:space="0" w:color="auto"/>
            <w:left w:val="none" w:sz="0" w:space="0" w:color="auto"/>
            <w:bottom w:val="none" w:sz="0" w:space="0" w:color="auto"/>
            <w:right w:val="none" w:sz="0" w:space="0" w:color="auto"/>
          </w:divBdr>
        </w:div>
        <w:div w:id="565335333">
          <w:marLeft w:val="0"/>
          <w:marRight w:val="0"/>
          <w:marTop w:val="0"/>
          <w:marBottom w:val="0"/>
          <w:divBdr>
            <w:top w:val="none" w:sz="0" w:space="0" w:color="auto"/>
            <w:left w:val="none" w:sz="0" w:space="0" w:color="auto"/>
            <w:bottom w:val="none" w:sz="0" w:space="0" w:color="auto"/>
            <w:right w:val="none" w:sz="0" w:space="0" w:color="auto"/>
          </w:divBdr>
        </w:div>
        <w:div w:id="697193870">
          <w:marLeft w:val="0"/>
          <w:marRight w:val="0"/>
          <w:marTop w:val="0"/>
          <w:marBottom w:val="0"/>
          <w:divBdr>
            <w:top w:val="none" w:sz="0" w:space="0" w:color="auto"/>
            <w:left w:val="none" w:sz="0" w:space="0" w:color="auto"/>
            <w:bottom w:val="none" w:sz="0" w:space="0" w:color="auto"/>
            <w:right w:val="none" w:sz="0" w:space="0" w:color="auto"/>
          </w:divBdr>
        </w:div>
        <w:div w:id="827478406">
          <w:marLeft w:val="0"/>
          <w:marRight w:val="0"/>
          <w:marTop w:val="0"/>
          <w:marBottom w:val="0"/>
          <w:divBdr>
            <w:top w:val="none" w:sz="0" w:space="0" w:color="auto"/>
            <w:left w:val="none" w:sz="0" w:space="0" w:color="auto"/>
            <w:bottom w:val="none" w:sz="0" w:space="0" w:color="auto"/>
            <w:right w:val="none" w:sz="0" w:space="0" w:color="auto"/>
          </w:divBdr>
        </w:div>
        <w:div w:id="966551635">
          <w:marLeft w:val="0"/>
          <w:marRight w:val="0"/>
          <w:marTop w:val="0"/>
          <w:marBottom w:val="0"/>
          <w:divBdr>
            <w:top w:val="none" w:sz="0" w:space="0" w:color="auto"/>
            <w:left w:val="none" w:sz="0" w:space="0" w:color="auto"/>
            <w:bottom w:val="none" w:sz="0" w:space="0" w:color="auto"/>
            <w:right w:val="none" w:sz="0" w:space="0" w:color="auto"/>
          </w:divBdr>
        </w:div>
        <w:div w:id="1186093326">
          <w:marLeft w:val="0"/>
          <w:marRight w:val="0"/>
          <w:marTop w:val="0"/>
          <w:marBottom w:val="0"/>
          <w:divBdr>
            <w:top w:val="none" w:sz="0" w:space="0" w:color="auto"/>
            <w:left w:val="none" w:sz="0" w:space="0" w:color="auto"/>
            <w:bottom w:val="none" w:sz="0" w:space="0" w:color="auto"/>
            <w:right w:val="none" w:sz="0" w:space="0" w:color="auto"/>
          </w:divBdr>
        </w:div>
        <w:div w:id="1564297766">
          <w:marLeft w:val="0"/>
          <w:marRight w:val="0"/>
          <w:marTop w:val="0"/>
          <w:marBottom w:val="0"/>
          <w:divBdr>
            <w:top w:val="none" w:sz="0" w:space="0" w:color="auto"/>
            <w:left w:val="none" w:sz="0" w:space="0" w:color="auto"/>
            <w:bottom w:val="none" w:sz="0" w:space="0" w:color="auto"/>
            <w:right w:val="none" w:sz="0" w:space="0" w:color="auto"/>
          </w:divBdr>
        </w:div>
        <w:div w:id="189222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6761</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CASO  1234 REVISIÓN</vt:lpstr>
      <vt:lpstr>RESOLUCIÓN CASO  1234 REVISIÓN</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CASO  1234 REVISIÓN</dc:title>
  <dc:subject/>
  <dc:creator>MARCO ANTONIO ORTEGA PIANA</dc:creator>
  <cp:keywords/>
  <cp:lastModifiedBy>Sandro Hurtado</cp:lastModifiedBy>
  <cp:revision>2</cp:revision>
  <cp:lastPrinted>2020-06-23T00:47:00Z</cp:lastPrinted>
  <dcterms:created xsi:type="dcterms:W3CDTF">2021-04-14T21:29:00Z</dcterms:created>
  <dcterms:modified xsi:type="dcterms:W3CDTF">2021-04-14T21:29:00Z</dcterms:modified>
</cp:coreProperties>
</file>