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454B" w14:textId="77777777" w:rsidR="00E64F28" w:rsidRPr="00842754" w:rsidRDefault="00E64F28" w:rsidP="00400C84">
      <w:pPr>
        <w:pStyle w:val="Puesto"/>
        <w:outlineLvl w:val="0"/>
      </w:pPr>
      <w:r w:rsidRPr="00842754">
        <w:t xml:space="preserve">RESOLUCIÓN DE RECURSO DE </w:t>
      </w:r>
      <w:r w:rsidR="00F05CB6" w:rsidRPr="00842754">
        <w:t>IMPUGNACIÓ</w:t>
      </w:r>
      <w:r w:rsidR="009A71B7">
        <w:t>N</w:t>
      </w:r>
      <w:r w:rsidR="005811DB" w:rsidRPr="00842754">
        <w:t xml:space="preserve"> N° 024/20</w:t>
      </w:r>
    </w:p>
    <w:p w14:paraId="2ECC13DB" w14:textId="77777777" w:rsidR="00E64F28" w:rsidRPr="00842754" w:rsidRDefault="00E64F28">
      <w:pPr>
        <w:rPr>
          <w:b/>
          <w:bCs/>
          <w:lang w:val="es-MX"/>
        </w:rPr>
      </w:pPr>
    </w:p>
    <w:p w14:paraId="66228894" w14:textId="77777777" w:rsidR="00E64F28" w:rsidRPr="00842754" w:rsidRDefault="00E64F28">
      <w:pPr>
        <w:rPr>
          <w:b/>
          <w:bCs/>
          <w:lang w:val="es-MX"/>
        </w:rPr>
      </w:pPr>
    </w:p>
    <w:p w14:paraId="55DE95AB" w14:textId="77777777" w:rsidR="00E64F28" w:rsidRPr="00842754" w:rsidRDefault="00F05CB6" w:rsidP="00400C84">
      <w:pPr>
        <w:jc w:val="both"/>
        <w:outlineLvl w:val="0"/>
        <w:rPr>
          <w:b/>
          <w:bCs/>
          <w:lang w:val="es-MX"/>
        </w:rPr>
      </w:pPr>
      <w:r w:rsidRPr="00842754">
        <w:rPr>
          <w:b/>
          <w:bCs/>
          <w:lang w:val="es-MX"/>
        </w:rPr>
        <w:t>VISTOS:</w:t>
      </w:r>
    </w:p>
    <w:p w14:paraId="57209D48" w14:textId="77777777" w:rsidR="00E64F28" w:rsidRPr="00842754" w:rsidRDefault="00E64F28">
      <w:pPr>
        <w:jc w:val="both"/>
        <w:rPr>
          <w:b/>
          <w:bCs/>
          <w:lang w:val="es-MX"/>
        </w:rPr>
      </w:pPr>
    </w:p>
    <w:p w14:paraId="193EBD08" w14:textId="77777777" w:rsidR="00F60108" w:rsidRPr="00842754" w:rsidRDefault="00E64F28">
      <w:pPr>
        <w:jc w:val="both"/>
        <w:rPr>
          <w:bCs/>
        </w:rPr>
      </w:pPr>
      <w:r w:rsidRPr="00842754">
        <w:t>El recurso de</w:t>
      </w:r>
      <w:r w:rsidR="00191416" w:rsidRPr="00842754">
        <w:t xml:space="preserve"> </w:t>
      </w:r>
      <w:r w:rsidR="00F05CB6" w:rsidRPr="00842754">
        <w:t>impugnación</w:t>
      </w:r>
      <w:r w:rsidR="00191416" w:rsidRPr="00842754">
        <w:t xml:space="preserve"> presentado</w:t>
      </w:r>
      <w:r w:rsidR="00A921BD" w:rsidRPr="00842754">
        <w:t xml:space="preserve"> </w:t>
      </w:r>
      <w:r w:rsidRPr="00842754">
        <w:t>por</w:t>
      </w:r>
      <w:r w:rsidR="009366A4" w:rsidRPr="00842754">
        <w:t xml:space="preserve"> </w:t>
      </w:r>
      <w:r w:rsidR="00842754">
        <w:t xml:space="preserve">.................. </w:t>
      </w:r>
      <w:r w:rsidRPr="00842754">
        <w:t>re</w:t>
      </w:r>
      <w:r w:rsidR="000149BA" w:rsidRPr="00842754">
        <w:t>specto de la Resolución Nro.</w:t>
      </w:r>
      <w:r w:rsidR="00C56C62" w:rsidRPr="00842754">
        <w:t xml:space="preserve"> </w:t>
      </w:r>
      <w:r w:rsidR="00D8595C" w:rsidRPr="00842754">
        <w:t>010</w:t>
      </w:r>
      <w:r w:rsidR="00A01D42" w:rsidRPr="00842754">
        <w:t>/</w:t>
      </w:r>
      <w:r w:rsidR="00970C13" w:rsidRPr="00842754">
        <w:t>20</w:t>
      </w:r>
      <w:r w:rsidR="00D8595C" w:rsidRPr="00842754">
        <w:t>20</w:t>
      </w:r>
      <w:r w:rsidR="00EC5F7C" w:rsidRPr="00842754">
        <w:t>,</w:t>
      </w:r>
      <w:r w:rsidR="000F1FEA" w:rsidRPr="00842754">
        <w:t xml:space="preserve"> </w:t>
      </w:r>
      <w:r w:rsidR="000E19F5" w:rsidRPr="00842754">
        <w:t xml:space="preserve">expedida por </w:t>
      </w:r>
      <w:r w:rsidR="00EA0FB5" w:rsidRPr="00842754">
        <w:t>la</w:t>
      </w:r>
      <w:r w:rsidR="000E19F5" w:rsidRPr="00842754">
        <w:t xml:space="preserve"> Defensoría del Asegurado y</w:t>
      </w:r>
      <w:r w:rsidR="00BF5EDD" w:rsidRPr="00842754">
        <w:t>,</w:t>
      </w:r>
      <w:r w:rsidRPr="00842754">
        <w:t xml:space="preserve"> conforme a l</w:t>
      </w:r>
      <w:r w:rsidR="00A667CA" w:rsidRPr="00842754">
        <w:t>a cual se declaró</w:t>
      </w:r>
      <w:r w:rsidR="00D92993" w:rsidRPr="00842754">
        <w:t xml:space="preserve"> </w:t>
      </w:r>
      <w:r w:rsidR="00DD5BC9" w:rsidRPr="00842754">
        <w:t>IN</w:t>
      </w:r>
      <w:r w:rsidR="00D102AA" w:rsidRPr="00842754">
        <w:t xml:space="preserve">FUNDADA </w:t>
      </w:r>
      <w:r w:rsidR="00191416" w:rsidRPr="00842754">
        <w:t>l</w:t>
      </w:r>
      <w:r w:rsidR="00D102AA" w:rsidRPr="00842754">
        <w:t>a</w:t>
      </w:r>
      <w:r w:rsidRPr="00842754">
        <w:t xml:space="preserve"> reclam</w:t>
      </w:r>
      <w:r w:rsidR="00D102AA" w:rsidRPr="00842754">
        <w:t>ación</w:t>
      </w:r>
      <w:r w:rsidR="00D2462D" w:rsidRPr="00842754">
        <w:t xml:space="preserve"> </w:t>
      </w:r>
      <w:r w:rsidR="00C56C62" w:rsidRPr="00842754">
        <w:t>interpuest</w:t>
      </w:r>
      <w:r w:rsidR="00D102AA" w:rsidRPr="00842754">
        <w:t>a</w:t>
      </w:r>
      <w:r w:rsidR="00D2462D" w:rsidRPr="00842754">
        <w:t xml:space="preserve"> </w:t>
      </w:r>
      <w:r w:rsidR="009366A4" w:rsidRPr="00842754">
        <w:t>co</w:t>
      </w:r>
      <w:r w:rsidR="00DD5BC9" w:rsidRPr="00842754">
        <w:t xml:space="preserve">ntra </w:t>
      </w:r>
      <w:r w:rsidR="00842754">
        <w:t>..................</w:t>
      </w:r>
      <w:r w:rsidR="00DD5BC9" w:rsidRPr="00842754">
        <w:t xml:space="preserve">, </w:t>
      </w:r>
      <w:proofErr w:type="gramStart"/>
      <w:r w:rsidR="00DD5BC9" w:rsidRPr="00842754">
        <w:t>en relación al</w:t>
      </w:r>
      <w:proofErr w:type="gramEnd"/>
      <w:r w:rsidR="002670D2" w:rsidRPr="00842754">
        <w:rPr>
          <w:b/>
          <w:lang w:val="es-MX"/>
        </w:rPr>
        <w:t xml:space="preserve"> SEGURO DE </w:t>
      </w:r>
      <w:r w:rsidR="00D8595C" w:rsidRPr="00842754">
        <w:rPr>
          <w:b/>
          <w:lang w:val="es-MX"/>
        </w:rPr>
        <w:t xml:space="preserve">DESGRAVAMEN </w:t>
      </w:r>
      <w:r w:rsidR="002670D2" w:rsidRPr="00842754">
        <w:rPr>
          <w:b/>
          <w:lang w:val="es-MX"/>
        </w:rPr>
        <w:t xml:space="preserve">- PÓLIZA No </w:t>
      </w:r>
      <w:r w:rsidR="00842754">
        <w:t>..................</w:t>
      </w:r>
      <w:r w:rsidR="00EA0FB5" w:rsidRPr="00842754">
        <w:rPr>
          <w:bCs/>
          <w:lang w:val="es-MX"/>
        </w:rPr>
        <w:t>;</w:t>
      </w:r>
    </w:p>
    <w:p w14:paraId="16E6A8A3" w14:textId="77777777" w:rsidR="00F60108" w:rsidRPr="00842754" w:rsidRDefault="00F60108">
      <w:pPr>
        <w:jc w:val="both"/>
      </w:pPr>
    </w:p>
    <w:p w14:paraId="29E028B1" w14:textId="77777777" w:rsidR="00094F92" w:rsidRPr="00842754" w:rsidRDefault="00E64F28">
      <w:pPr>
        <w:pStyle w:val="Textoindependiente"/>
      </w:pPr>
      <w:r w:rsidRPr="00842754">
        <w:t xml:space="preserve">Que, </w:t>
      </w:r>
      <w:r w:rsidR="0090008D" w:rsidRPr="00842754">
        <w:t>el</w:t>
      </w:r>
      <w:r w:rsidRPr="00842754">
        <w:t xml:space="preserve"> </w:t>
      </w:r>
      <w:r w:rsidR="0090008D" w:rsidRPr="00842754">
        <w:t>indicado recurso se sustenta</w:t>
      </w:r>
      <w:r w:rsidR="00FE2DDD" w:rsidRPr="00842754">
        <w:t xml:space="preserve"> </w:t>
      </w:r>
      <w:r w:rsidR="005A0CBC" w:rsidRPr="00842754">
        <w:t xml:space="preserve">resumidamente en </w:t>
      </w:r>
      <w:r w:rsidR="00D102AA" w:rsidRPr="00842754">
        <w:t>lo siguiente: (1)</w:t>
      </w:r>
      <w:r w:rsidR="00D8595C" w:rsidRPr="00842754">
        <w:t xml:space="preserve"> la resolución incurre en errores de hecho y de derecho; (2) no se puede pretender alegar que el contrato de seguro no se encontraba vigente solo porque el contrato de préstamo se encontraba vigente hasta el 05 de abril de 2018</w:t>
      </w:r>
      <w:r w:rsidR="00094F92" w:rsidRPr="00842754">
        <w:t xml:space="preserve">; (3) se debieron revisar los estados de cuenta de la póliza de seguro y verificar cuando se produjo el último pago de prima; (4) la comunicación de </w:t>
      </w:r>
      <w:r w:rsidR="00842754">
        <w:t>..................</w:t>
      </w:r>
      <w:r w:rsidR="00094F92" w:rsidRPr="00842754">
        <w:t xml:space="preserve"> requiriendo el pago de fecha 14 de mayo de 2018, en ningún momento puso a conocimiento la suspensión de cobertura por incumplimiento de pago de prima, sino únicamente informó que se tenía una deuda; (5) no se ha valorado todos los medios probatorios ofrecidos; (6) no se remitió el Estado de Cuenta de la Póliza a favor de la asegurada.</w:t>
      </w:r>
    </w:p>
    <w:p w14:paraId="1785DFFA" w14:textId="77777777" w:rsidR="00F05CB6" w:rsidRPr="00842754" w:rsidRDefault="00F05CB6" w:rsidP="00F05CB6">
      <w:pPr>
        <w:pStyle w:val="Textoindependiente"/>
      </w:pPr>
    </w:p>
    <w:p w14:paraId="05EE2CDA" w14:textId="77777777" w:rsidR="00F05CB6" w:rsidRPr="00842754" w:rsidRDefault="00E64F28" w:rsidP="00F05CB6">
      <w:pPr>
        <w:pStyle w:val="Textoindependiente"/>
      </w:pPr>
      <w:r w:rsidRPr="00842754">
        <w:t xml:space="preserve">Que, </w:t>
      </w:r>
      <w:r w:rsidR="00C56C62" w:rsidRPr="00842754">
        <w:t>l</w:t>
      </w:r>
      <w:r w:rsidR="0057512F" w:rsidRPr="00842754">
        <w:t>a</w:t>
      </w:r>
      <w:r w:rsidR="0083474D" w:rsidRPr="00842754">
        <w:t xml:space="preserve"> </w:t>
      </w:r>
      <w:r w:rsidR="004F3BE3" w:rsidRPr="00842754">
        <w:t>aseguradora</w:t>
      </w:r>
      <w:r w:rsidR="008266C9" w:rsidRPr="00842754">
        <w:t xml:space="preserve"> </w:t>
      </w:r>
      <w:r w:rsidR="00841737" w:rsidRPr="00842754">
        <w:t xml:space="preserve">absolvió </w:t>
      </w:r>
      <w:r w:rsidR="004F3BE3" w:rsidRPr="00842754">
        <w:t xml:space="preserve">el traslado del </w:t>
      </w:r>
      <w:r w:rsidR="00801915" w:rsidRPr="00842754">
        <w:t xml:space="preserve">recurso </w:t>
      </w:r>
      <w:r w:rsidR="004F3BE3" w:rsidRPr="00842754">
        <w:t>impugnatorio</w:t>
      </w:r>
      <w:r w:rsidR="00094F92" w:rsidRPr="00842754">
        <w:t xml:space="preserve">, señalando en síntesis lo siguiente: (1) </w:t>
      </w:r>
      <w:r w:rsidR="00824C28" w:rsidRPr="00842754">
        <w:t xml:space="preserve">según las condiciones generales de la póliza, artículo 04 , las partes pactaron que la cobertura del seguro entrará en vigencia desde el desembolso del crédito hasta la cancelación del crédito o término del plazo del crédito; (2) de la liquidación del desembolso emitida por </w:t>
      </w:r>
      <w:r w:rsidR="00842754">
        <w:t>..................</w:t>
      </w:r>
      <w:r w:rsidR="00824C28" w:rsidRPr="00842754">
        <w:t>, el crédito fue desembolsado el 26 de agosto de 2017 y tenía como fecha de vencimiento el 05 de abril de 2018, por lo que el contrato de seguro estuvo vigente desde el 26 de agosto de 2017 hasta el 05 de abril de 2018; (3) en este caso no nos encontramos ante un supuesto de suspensión de cobertura, sino de terminación de contrato; (4) las condiciones generales y particulares de la póliza contratada establecen los supuestos de terminación del contrato, dentro de los cuales se encuentra “el término del plazo de crédito”</w:t>
      </w:r>
      <w:r w:rsidR="00EA0FB5" w:rsidRPr="00842754">
        <w:t>.</w:t>
      </w:r>
    </w:p>
    <w:p w14:paraId="1D3B4F0F" w14:textId="77777777" w:rsidR="00664A65" w:rsidRPr="00842754" w:rsidRDefault="00664A65">
      <w:pPr>
        <w:pStyle w:val="Textoindependiente"/>
      </w:pPr>
    </w:p>
    <w:p w14:paraId="0754BE35" w14:textId="77777777" w:rsidR="00A206E5" w:rsidRPr="00842754" w:rsidRDefault="00A206E5">
      <w:pPr>
        <w:pStyle w:val="Textoindependiente"/>
        <w:tabs>
          <w:tab w:val="left" w:pos="930"/>
        </w:tabs>
      </w:pPr>
      <w:r w:rsidRPr="00842754">
        <w:t xml:space="preserve">Que, </w:t>
      </w:r>
      <w:r w:rsidR="00F36E16" w:rsidRPr="00842754">
        <w:t xml:space="preserve">atendiendo a lo expuesto, </w:t>
      </w:r>
      <w:r w:rsidRPr="00842754">
        <w:t xml:space="preserve">esta Defensoría </w:t>
      </w:r>
      <w:r w:rsidR="004B6936" w:rsidRPr="00842754">
        <w:t>resuelve finalmente</w:t>
      </w:r>
      <w:r w:rsidRPr="00842754">
        <w:t xml:space="preserve"> lo siguiente:</w:t>
      </w:r>
    </w:p>
    <w:p w14:paraId="59119CDE" w14:textId="77777777" w:rsidR="00B604C0" w:rsidRPr="00842754" w:rsidRDefault="00B604C0" w:rsidP="007E111C">
      <w:pPr>
        <w:jc w:val="both"/>
        <w:rPr>
          <w:b/>
          <w:u w:val="single"/>
          <w:lang w:val="es-PE"/>
        </w:rPr>
      </w:pPr>
    </w:p>
    <w:p w14:paraId="13BBD189" w14:textId="77777777" w:rsidR="00E77A13" w:rsidRPr="00842754" w:rsidRDefault="00E77A13" w:rsidP="00E77A13">
      <w:pPr>
        <w:jc w:val="both"/>
        <w:rPr>
          <w:lang w:val="es-PE"/>
        </w:rPr>
      </w:pPr>
      <w:r w:rsidRPr="00842754">
        <w:rPr>
          <w:b/>
          <w:u w:val="single"/>
          <w:lang w:val="es-PE"/>
        </w:rPr>
        <w:t>PRIMERO</w:t>
      </w:r>
      <w:r w:rsidRPr="00842754">
        <w:rPr>
          <w:b/>
          <w:lang w:val="es-PE"/>
        </w:rPr>
        <w:t>:</w:t>
      </w:r>
      <w:r w:rsidRPr="00842754">
        <w:rPr>
          <w:lang w:val="es-PE"/>
        </w:rPr>
        <w:t xml:space="preserve"> El artículo 10 (Procedimiento) del Reglamento de la DEFASEG </w:t>
      </w:r>
      <w:r w:rsidRPr="00842754">
        <w:rPr>
          <w:rFonts w:eastAsia="Arial Unicode MS"/>
          <w:lang w:val="es-PE"/>
        </w:rPr>
        <w:t>(http://www.defaseg.com.pe/reglamento)</w:t>
      </w:r>
      <w:r w:rsidRPr="00842754">
        <w:rPr>
          <w:lang w:val="es-PE"/>
        </w:rPr>
        <w:t xml:space="preserve"> establece que cualquiera de las partes que no se encuentre de acuerdo con la decisión adoptada por el colegiado sobre la materia reclamada, podrá impugnarla, interponiendo el correspondiente recurso de impugnación.  </w:t>
      </w:r>
    </w:p>
    <w:p w14:paraId="276222ED" w14:textId="77777777" w:rsidR="00E77A13" w:rsidRPr="00842754" w:rsidRDefault="00E77A13" w:rsidP="00E77A13">
      <w:pPr>
        <w:jc w:val="both"/>
        <w:rPr>
          <w:lang w:val="es-PE"/>
        </w:rPr>
      </w:pPr>
    </w:p>
    <w:p w14:paraId="7AE2B3BD" w14:textId="77777777" w:rsidR="00E77A13" w:rsidRPr="00842754" w:rsidRDefault="00E77A13" w:rsidP="00E77A13">
      <w:pPr>
        <w:jc w:val="both"/>
        <w:rPr>
          <w:bCs/>
        </w:rPr>
      </w:pPr>
      <w:r w:rsidRPr="00842754">
        <w:rPr>
          <w:lang w:val="es-PE"/>
        </w:rPr>
        <w:t xml:space="preserve">Conforme a ello, en el caso concreto, el reclamante </w:t>
      </w:r>
      <w:r w:rsidRPr="00842754">
        <w:rPr>
          <w:bCs/>
        </w:rPr>
        <w:t xml:space="preserve">sustenta su impugnación </w:t>
      </w:r>
      <w:r w:rsidR="00F0106F" w:rsidRPr="00842754">
        <w:rPr>
          <w:bCs/>
        </w:rPr>
        <w:t xml:space="preserve">al considerar que la resolución impugnada contiene un error al apreciar </w:t>
      </w:r>
      <w:r w:rsidR="00EA0FB5" w:rsidRPr="00842754">
        <w:rPr>
          <w:bCs/>
        </w:rPr>
        <w:t>los hechos materia del siniestro</w:t>
      </w:r>
      <w:r w:rsidRPr="00842754">
        <w:rPr>
          <w:bCs/>
        </w:rPr>
        <w:t>.</w:t>
      </w:r>
    </w:p>
    <w:p w14:paraId="66164B19" w14:textId="77777777" w:rsidR="00E77A13" w:rsidRPr="00842754" w:rsidRDefault="00E77A13" w:rsidP="00E77A13">
      <w:pPr>
        <w:jc w:val="both"/>
        <w:rPr>
          <w:bCs/>
        </w:rPr>
      </w:pPr>
    </w:p>
    <w:p w14:paraId="004BFE97" w14:textId="77777777" w:rsidR="00E77A13" w:rsidRPr="00842754" w:rsidRDefault="00E77A13" w:rsidP="00E77A13">
      <w:pPr>
        <w:pStyle w:val="Textoindependiente"/>
      </w:pPr>
      <w:r w:rsidRPr="00842754">
        <w:rPr>
          <w:bCs w:val="0"/>
        </w:rPr>
        <w:t>En efecto, el recurrente sostiene que</w:t>
      </w:r>
      <w:r w:rsidRPr="00842754">
        <w:t xml:space="preserve"> </w:t>
      </w:r>
      <w:r w:rsidR="00F0106F" w:rsidRPr="00842754">
        <w:t>e</w:t>
      </w:r>
      <w:r w:rsidR="00FF3105" w:rsidRPr="00842754">
        <w:t xml:space="preserve">l contrato de seguro estaba vigente y no puede sujetarse su vigencia </w:t>
      </w:r>
      <w:r w:rsidR="00113D2F" w:rsidRPr="00842754">
        <w:t>al vencimiento del plazo de vigencia del crédito, y debe aplicarse el régimen normativo sobre la suspensión de cobertura</w:t>
      </w:r>
      <w:r w:rsidRPr="00842754">
        <w:t>.</w:t>
      </w:r>
    </w:p>
    <w:p w14:paraId="7E7287AC" w14:textId="77777777" w:rsidR="00E77A13" w:rsidRPr="00842754" w:rsidRDefault="00E77A13" w:rsidP="00E77A13">
      <w:pPr>
        <w:pStyle w:val="Textoindependiente"/>
        <w:tabs>
          <w:tab w:val="left" w:pos="0"/>
          <w:tab w:val="left" w:pos="720"/>
        </w:tabs>
        <w:rPr>
          <w:u w:val="single"/>
          <w:lang w:val="es-PE"/>
        </w:rPr>
      </w:pPr>
    </w:p>
    <w:p w14:paraId="0ACBC0C2" w14:textId="77777777" w:rsidR="00EA0FB5" w:rsidRPr="00842754" w:rsidRDefault="00E77A13" w:rsidP="00E77A13">
      <w:pPr>
        <w:jc w:val="both"/>
        <w:rPr>
          <w:bCs/>
        </w:rPr>
      </w:pPr>
      <w:r w:rsidRPr="00842754">
        <w:rPr>
          <w:b/>
          <w:bCs/>
          <w:u w:val="single"/>
        </w:rPr>
        <w:lastRenderedPageBreak/>
        <w:t>SEGUNDO</w:t>
      </w:r>
      <w:r w:rsidRPr="00842754">
        <w:rPr>
          <w:b/>
          <w:bCs/>
        </w:rPr>
        <w:t>:</w:t>
      </w:r>
      <w:r w:rsidRPr="00842754">
        <w:rPr>
          <w:bCs/>
        </w:rPr>
        <w:t xml:space="preserve"> Que, </w:t>
      </w:r>
      <w:r w:rsidR="00F0106F" w:rsidRPr="00842754">
        <w:rPr>
          <w:bCs/>
        </w:rPr>
        <w:t>la resolución impugnada</w:t>
      </w:r>
      <w:r w:rsidR="00113D2F" w:rsidRPr="00842754">
        <w:rPr>
          <w:bCs/>
        </w:rPr>
        <w:t xml:space="preserve"> se fundamenta en la verificación que contractualmente se estipuló que la vigencia del contrato de seguro era indefinida hasta la cancelación o término del plazo de crédito:</w:t>
      </w:r>
    </w:p>
    <w:p w14:paraId="45AE8A4C" w14:textId="77777777" w:rsidR="00EA0FB5" w:rsidRPr="00842754" w:rsidRDefault="00EA0FB5" w:rsidP="00E77A13">
      <w:pPr>
        <w:jc w:val="both"/>
        <w:rPr>
          <w:bCs/>
        </w:rPr>
      </w:pPr>
    </w:p>
    <w:p w14:paraId="53FC6BD0" w14:textId="77777777" w:rsidR="00113D2F" w:rsidRPr="00842754" w:rsidRDefault="00113D2F" w:rsidP="00113D2F">
      <w:pPr>
        <w:tabs>
          <w:tab w:val="left" w:pos="2160"/>
        </w:tabs>
        <w:ind w:left="708"/>
        <w:jc w:val="both"/>
        <w:rPr>
          <w:i/>
          <w:iCs/>
          <w:lang w:eastAsia="es-ES"/>
        </w:rPr>
      </w:pPr>
      <w:r w:rsidRPr="00842754">
        <w:rPr>
          <w:b/>
          <w:i/>
          <w:iCs/>
          <w:u w:val="single"/>
          <w:lang w:eastAsia="es-ES"/>
        </w:rPr>
        <w:t>“OCTAVO</w:t>
      </w:r>
      <w:r w:rsidRPr="00842754">
        <w:rPr>
          <w:b/>
          <w:i/>
          <w:iCs/>
          <w:lang w:eastAsia="es-ES"/>
        </w:rPr>
        <w:t>:</w:t>
      </w:r>
      <w:r w:rsidRPr="00842754">
        <w:rPr>
          <w:i/>
          <w:iCs/>
          <w:lang w:eastAsia="es-ES"/>
        </w:rPr>
        <w:t xml:space="preserve"> Tal como consta en autos, en el artículo 4 de las condiciones generales del Seguro de Desgravamen, se establecen los términos contractuales del inicio de vigencia y plazo de dicho seguro:</w:t>
      </w:r>
    </w:p>
    <w:p w14:paraId="15C0DB1D" w14:textId="77777777" w:rsidR="00113D2F" w:rsidRPr="00842754" w:rsidRDefault="00113D2F" w:rsidP="00113D2F">
      <w:pPr>
        <w:tabs>
          <w:tab w:val="left" w:pos="2160"/>
        </w:tabs>
        <w:ind w:left="708"/>
        <w:jc w:val="both"/>
        <w:rPr>
          <w:i/>
          <w:iCs/>
          <w:lang w:eastAsia="es-ES"/>
        </w:rPr>
      </w:pPr>
    </w:p>
    <w:p w14:paraId="22A2A521" w14:textId="77777777" w:rsidR="00113D2F" w:rsidRPr="00842754" w:rsidRDefault="00113D2F" w:rsidP="00113D2F">
      <w:pPr>
        <w:tabs>
          <w:tab w:val="left" w:pos="2160"/>
        </w:tabs>
        <w:ind w:left="1416"/>
        <w:jc w:val="both"/>
        <w:rPr>
          <w:i/>
          <w:iCs/>
          <w:lang w:eastAsia="es-ES"/>
        </w:rPr>
      </w:pPr>
      <w:r w:rsidRPr="00842754">
        <w:rPr>
          <w:i/>
          <w:iCs/>
          <w:lang w:eastAsia="es-ES"/>
        </w:rPr>
        <w:t>“Salvo que las Condiciones Particulares se establezca una disposición distinta, de conformidad con lo estipulado en el segundo párrafo del artículo 4 de la Ley N° 29946, Ley del Contrato de Seguro, las partes pactan que la cobertura del presente seguro se iniciará con el desembolso del crédito, otorgamiento de la línea o tarjeta de crédito a favor del Asegurado y tendrá vigencia indefinida hasta la cancelación o término del plazo del crédito o cancelación de la línea o tarjeta de crédito.</w:t>
      </w:r>
    </w:p>
    <w:p w14:paraId="54A5A24D" w14:textId="77777777" w:rsidR="00113D2F" w:rsidRPr="00842754" w:rsidRDefault="00113D2F" w:rsidP="00113D2F">
      <w:pPr>
        <w:tabs>
          <w:tab w:val="left" w:pos="2160"/>
        </w:tabs>
        <w:ind w:left="1416"/>
        <w:jc w:val="both"/>
        <w:rPr>
          <w:i/>
          <w:iCs/>
          <w:lang w:eastAsia="es-ES"/>
        </w:rPr>
      </w:pPr>
      <w:r w:rsidRPr="00842754">
        <w:rPr>
          <w:i/>
          <w:iCs/>
          <w:lang w:eastAsia="es-ES"/>
        </w:rPr>
        <w:t xml:space="preserve">La cobertura iniciará a las doce (12) horas del día que inicia la vigencia y terminará a las doce (12) horas del último día de vigencia del contrato”. </w:t>
      </w:r>
    </w:p>
    <w:p w14:paraId="71505077" w14:textId="77777777" w:rsidR="00113D2F" w:rsidRPr="00842754" w:rsidRDefault="00113D2F" w:rsidP="00113D2F">
      <w:pPr>
        <w:tabs>
          <w:tab w:val="left" w:pos="2160"/>
        </w:tabs>
        <w:ind w:left="708"/>
        <w:jc w:val="both"/>
        <w:rPr>
          <w:i/>
          <w:iCs/>
          <w:lang w:eastAsia="es-ES"/>
        </w:rPr>
      </w:pPr>
    </w:p>
    <w:p w14:paraId="312BE609" w14:textId="77777777" w:rsidR="00113D2F" w:rsidRPr="00842754" w:rsidRDefault="00113D2F" w:rsidP="00113D2F">
      <w:pPr>
        <w:tabs>
          <w:tab w:val="left" w:pos="2160"/>
        </w:tabs>
        <w:ind w:left="708"/>
        <w:jc w:val="both"/>
        <w:rPr>
          <w:i/>
          <w:iCs/>
          <w:lang w:eastAsia="es-ES"/>
        </w:rPr>
      </w:pPr>
      <w:r w:rsidRPr="00842754">
        <w:rPr>
          <w:i/>
          <w:iCs/>
          <w:lang w:eastAsia="es-ES"/>
        </w:rPr>
        <w:t>Asimismo, en el artículo 8 de las mencionadas condiciones generales se dispone que el Certificado de Seguro terminará a la cancelación o término del plazo del crédito, tarjeta de crédito o Línea de Crédito. Igualmente, se contempla en el mismo artículo que el Contrato de Seguro terminará al vencimiento del plazo de vigencia de la Póliza.</w:t>
      </w:r>
    </w:p>
    <w:p w14:paraId="7C24A408" w14:textId="77777777" w:rsidR="00113D2F" w:rsidRPr="00842754" w:rsidRDefault="00113D2F" w:rsidP="00113D2F">
      <w:pPr>
        <w:tabs>
          <w:tab w:val="left" w:pos="2160"/>
        </w:tabs>
        <w:ind w:left="708"/>
        <w:jc w:val="both"/>
        <w:rPr>
          <w:i/>
          <w:iCs/>
          <w:lang w:eastAsia="es-ES"/>
        </w:rPr>
      </w:pPr>
    </w:p>
    <w:p w14:paraId="24B5D306" w14:textId="77777777" w:rsidR="00113D2F" w:rsidRPr="00842754" w:rsidRDefault="00113D2F" w:rsidP="00113D2F">
      <w:pPr>
        <w:tabs>
          <w:tab w:val="left" w:pos="2160"/>
        </w:tabs>
        <w:ind w:left="708"/>
        <w:jc w:val="both"/>
        <w:rPr>
          <w:i/>
          <w:iCs/>
          <w:lang w:eastAsia="es-ES"/>
        </w:rPr>
      </w:pPr>
      <w:proofErr w:type="gramStart"/>
      <w:r w:rsidRPr="00842754">
        <w:rPr>
          <w:i/>
          <w:iCs/>
          <w:lang w:eastAsia="es-ES"/>
        </w:rPr>
        <w:t>En virtud a</w:t>
      </w:r>
      <w:proofErr w:type="gramEnd"/>
      <w:r w:rsidRPr="00842754">
        <w:rPr>
          <w:i/>
          <w:iCs/>
          <w:lang w:eastAsia="es-ES"/>
        </w:rPr>
        <w:t xml:space="preserve"> esas estipulaciones contractuales, el referido contrato de Seguro de Desgraven estuvo sujeto a una vigencia temporal que cesó el 05 de abril de 2018, de manera que la relación contractual dejó de producir efectos después de esa fecha, al haberse extinguido el contrato por el vencimiento de su plazo de vigencia.”</w:t>
      </w:r>
    </w:p>
    <w:p w14:paraId="6E6D5A6E" w14:textId="77777777" w:rsidR="00113D2F" w:rsidRPr="00842754" w:rsidRDefault="00113D2F" w:rsidP="00E77A13">
      <w:pPr>
        <w:jc w:val="both"/>
        <w:rPr>
          <w:bCs/>
        </w:rPr>
      </w:pPr>
    </w:p>
    <w:p w14:paraId="74331236" w14:textId="77777777" w:rsidR="00113D2F" w:rsidRPr="00842754" w:rsidRDefault="00EA0FB5" w:rsidP="00E77A13">
      <w:pPr>
        <w:jc w:val="both"/>
        <w:rPr>
          <w:bCs/>
        </w:rPr>
      </w:pPr>
      <w:r w:rsidRPr="00842754">
        <w:rPr>
          <w:bCs/>
        </w:rPr>
        <w:t>Asimismo,</w:t>
      </w:r>
      <w:r w:rsidR="00113D2F" w:rsidRPr="00842754">
        <w:rPr>
          <w:bCs/>
        </w:rPr>
        <w:t xml:space="preserve"> </w:t>
      </w:r>
      <w:r w:rsidR="00BD2459" w:rsidRPr="00842754">
        <w:rPr>
          <w:bCs/>
        </w:rPr>
        <w:t xml:space="preserve">el </w:t>
      </w:r>
      <w:r w:rsidR="00F0106F" w:rsidRPr="00842754">
        <w:rPr>
          <w:bCs/>
        </w:rPr>
        <w:t xml:space="preserve">Colegiado </w:t>
      </w:r>
      <w:r w:rsidR="00BD2459" w:rsidRPr="00842754">
        <w:rPr>
          <w:bCs/>
        </w:rPr>
        <w:t>verific</w:t>
      </w:r>
      <w:r w:rsidR="00113D2F" w:rsidRPr="00842754">
        <w:rPr>
          <w:bCs/>
        </w:rPr>
        <w:t>ó que conforme a las pruebas actuadas el plazo del crédito venció el 5 de abril de 2018:</w:t>
      </w:r>
    </w:p>
    <w:p w14:paraId="664EA351" w14:textId="77777777" w:rsidR="00113D2F" w:rsidRPr="00842754" w:rsidRDefault="00113D2F" w:rsidP="00E77A13">
      <w:pPr>
        <w:jc w:val="both"/>
        <w:rPr>
          <w:bCs/>
        </w:rPr>
      </w:pPr>
    </w:p>
    <w:p w14:paraId="71DC4472" w14:textId="77777777" w:rsidR="00113D2F" w:rsidRPr="00842754" w:rsidRDefault="00113D2F" w:rsidP="00113D2F">
      <w:pPr>
        <w:tabs>
          <w:tab w:val="left" w:pos="2160"/>
        </w:tabs>
        <w:ind w:left="708"/>
        <w:jc w:val="both"/>
        <w:rPr>
          <w:bCs/>
          <w:i/>
          <w:iCs/>
          <w:lang w:eastAsia="es-ES"/>
        </w:rPr>
      </w:pPr>
      <w:r w:rsidRPr="00842754">
        <w:rPr>
          <w:b/>
          <w:i/>
          <w:iCs/>
          <w:u w:val="single"/>
          <w:lang w:eastAsia="es-ES"/>
        </w:rPr>
        <w:t>SÉPTIMO</w:t>
      </w:r>
      <w:r w:rsidRPr="00842754">
        <w:rPr>
          <w:b/>
          <w:i/>
          <w:iCs/>
          <w:lang w:eastAsia="es-ES"/>
        </w:rPr>
        <w:t xml:space="preserve">: </w:t>
      </w:r>
      <w:r w:rsidRPr="00842754">
        <w:rPr>
          <w:bCs/>
          <w:i/>
          <w:iCs/>
          <w:lang w:eastAsia="es-ES"/>
        </w:rPr>
        <w:t xml:space="preserve">Conforme a la copia de la Liquidación de Desembolso de Préstamo en Soles del Banco </w:t>
      </w:r>
      <w:r w:rsidR="00842754">
        <w:t>..................</w:t>
      </w:r>
      <w:r w:rsidRPr="00842754">
        <w:rPr>
          <w:bCs/>
          <w:i/>
          <w:iCs/>
          <w:lang w:eastAsia="es-ES"/>
        </w:rPr>
        <w:t xml:space="preserve">, el 26 de agosto de 2017 se le desembolsó a la asegurada el Préstamo N° </w:t>
      </w:r>
      <w:r w:rsidR="00842754">
        <w:t>..................</w:t>
      </w:r>
      <w:r w:rsidRPr="00842754">
        <w:rPr>
          <w:bCs/>
          <w:i/>
          <w:iCs/>
          <w:lang w:eastAsia="es-ES"/>
        </w:rPr>
        <w:t>, por un monto de S/. 19221.57.</w:t>
      </w:r>
    </w:p>
    <w:p w14:paraId="2A3ACA71" w14:textId="77777777" w:rsidR="00113D2F" w:rsidRPr="00842754" w:rsidRDefault="00113D2F" w:rsidP="00113D2F">
      <w:pPr>
        <w:tabs>
          <w:tab w:val="left" w:pos="2160"/>
        </w:tabs>
        <w:ind w:left="708"/>
        <w:jc w:val="both"/>
        <w:rPr>
          <w:bCs/>
          <w:i/>
          <w:iCs/>
          <w:lang w:eastAsia="es-ES"/>
        </w:rPr>
      </w:pPr>
    </w:p>
    <w:p w14:paraId="2C7522CD" w14:textId="77777777" w:rsidR="00113D2F" w:rsidRPr="00842754" w:rsidRDefault="00113D2F" w:rsidP="00113D2F">
      <w:pPr>
        <w:tabs>
          <w:tab w:val="left" w:pos="2160"/>
        </w:tabs>
        <w:ind w:left="708"/>
        <w:jc w:val="both"/>
        <w:rPr>
          <w:bCs/>
          <w:i/>
          <w:iCs/>
          <w:lang w:eastAsia="es-ES"/>
        </w:rPr>
      </w:pPr>
      <w:proofErr w:type="gramStart"/>
      <w:r w:rsidRPr="00842754">
        <w:rPr>
          <w:bCs/>
          <w:i/>
          <w:iCs/>
          <w:lang w:eastAsia="es-ES"/>
        </w:rPr>
        <w:t>De acuerdo a</w:t>
      </w:r>
      <w:proofErr w:type="gramEnd"/>
      <w:r w:rsidRPr="00842754">
        <w:rPr>
          <w:bCs/>
          <w:i/>
          <w:iCs/>
          <w:lang w:eastAsia="es-ES"/>
        </w:rPr>
        <w:t xml:space="preserve"> dicho documento, que ha sido presentado en autos por la aseguradora y que contiene la firma y huella digital de la asegurada, el Préstamo N° </w:t>
      </w:r>
      <w:r w:rsidR="00842754">
        <w:t xml:space="preserve">.................. </w:t>
      </w:r>
      <w:r w:rsidRPr="00842754">
        <w:rPr>
          <w:bCs/>
          <w:i/>
          <w:iCs/>
          <w:lang w:eastAsia="es-ES"/>
        </w:rPr>
        <w:t>tenía como fecha de vencimiento el 05 de abril de 2018.</w:t>
      </w:r>
    </w:p>
    <w:p w14:paraId="24C4CC78" w14:textId="77777777" w:rsidR="00113D2F" w:rsidRPr="00842754" w:rsidRDefault="00113D2F" w:rsidP="00E77A13">
      <w:pPr>
        <w:jc w:val="both"/>
        <w:rPr>
          <w:bCs/>
        </w:rPr>
      </w:pPr>
    </w:p>
    <w:p w14:paraId="2CE4E1B3" w14:textId="77777777" w:rsidR="00113D2F" w:rsidRPr="00842754" w:rsidRDefault="00EF1DD7" w:rsidP="00E77A13">
      <w:pPr>
        <w:jc w:val="both"/>
      </w:pPr>
      <w:r w:rsidRPr="00842754">
        <w:t xml:space="preserve">En esa medida, para el Colegiado </w:t>
      </w:r>
      <w:r w:rsidR="007D2454" w:rsidRPr="00842754">
        <w:t xml:space="preserve">conforme se concluye en la resolución impugnada, en el presente caso </w:t>
      </w:r>
      <w:r w:rsidR="00113D2F" w:rsidRPr="00842754">
        <w:t>el fallecimiento de la asegurada ocurrió fuera de la vigencia de la póliza contratada:</w:t>
      </w:r>
    </w:p>
    <w:p w14:paraId="63B35C27" w14:textId="77777777" w:rsidR="00113D2F" w:rsidRPr="00842754" w:rsidRDefault="00113D2F" w:rsidP="00E77A13">
      <w:pPr>
        <w:jc w:val="both"/>
      </w:pPr>
    </w:p>
    <w:p w14:paraId="72E332FC" w14:textId="77777777" w:rsidR="00113D2F" w:rsidRPr="00842754" w:rsidRDefault="00113D2F" w:rsidP="00E77A13">
      <w:pPr>
        <w:jc w:val="both"/>
      </w:pPr>
    </w:p>
    <w:p w14:paraId="1127E031" w14:textId="77777777" w:rsidR="00113D2F" w:rsidRPr="00842754" w:rsidRDefault="00113D2F" w:rsidP="00113D2F">
      <w:pPr>
        <w:tabs>
          <w:tab w:val="left" w:pos="2160"/>
        </w:tabs>
        <w:ind w:left="708"/>
        <w:jc w:val="both"/>
        <w:rPr>
          <w:i/>
          <w:iCs/>
          <w:lang w:val="es-MX"/>
        </w:rPr>
      </w:pPr>
      <w:r w:rsidRPr="00842754">
        <w:rPr>
          <w:b/>
          <w:i/>
          <w:iCs/>
          <w:u w:val="single"/>
          <w:lang w:eastAsia="es-ES"/>
        </w:rPr>
        <w:lastRenderedPageBreak/>
        <w:t>NOVENO</w:t>
      </w:r>
      <w:r w:rsidRPr="00842754">
        <w:rPr>
          <w:b/>
          <w:i/>
          <w:iCs/>
          <w:lang w:eastAsia="es-ES"/>
        </w:rPr>
        <w:t xml:space="preserve">: </w:t>
      </w:r>
      <w:r w:rsidRPr="00842754">
        <w:rPr>
          <w:bCs/>
          <w:i/>
          <w:iCs/>
          <w:lang w:eastAsia="es-ES"/>
        </w:rPr>
        <w:t xml:space="preserve">En el presente caso, </w:t>
      </w:r>
      <w:r w:rsidR="00842754">
        <w:t xml:space="preserve">.................. </w:t>
      </w:r>
      <w:r w:rsidRPr="00842754">
        <w:rPr>
          <w:b/>
          <w:bCs/>
          <w:i/>
          <w:iCs/>
          <w:lang w:val="es-MX"/>
        </w:rPr>
        <w:t xml:space="preserve"> </w:t>
      </w:r>
      <w:r w:rsidRPr="00842754">
        <w:rPr>
          <w:i/>
          <w:iCs/>
          <w:lang w:val="es-MX"/>
        </w:rPr>
        <w:t>falleció el 04 de septiembre de 2018, esto es después de 5 meses de haber cesado la vigencia del contrato de seguro de desgravamen.</w:t>
      </w:r>
    </w:p>
    <w:p w14:paraId="41D067FB" w14:textId="77777777" w:rsidR="00113D2F" w:rsidRPr="00842754" w:rsidRDefault="00113D2F" w:rsidP="00113D2F">
      <w:pPr>
        <w:tabs>
          <w:tab w:val="left" w:pos="2160"/>
        </w:tabs>
        <w:ind w:left="708"/>
        <w:jc w:val="both"/>
        <w:rPr>
          <w:i/>
          <w:iCs/>
          <w:lang w:eastAsia="es-ES"/>
        </w:rPr>
      </w:pPr>
    </w:p>
    <w:p w14:paraId="7331DA27" w14:textId="77777777" w:rsidR="00113D2F" w:rsidRPr="00842754" w:rsidRDefault="00113D2F" w:rsidP="00113D2F">
      <w:pPr>
        <w:tabs>
          <w:tab w:val="left" w:pos="2160"/>
        </w:tabs>
        <w:ind w:left="708"/>
        <w:jc w:val="both"/>
        <w:rPr>
          <w:i/>
          <w:iCs/>
          <w:lang w:val="es-MX"/>
        </w:rPr>
      </w:pPr>
      <w:r w:rsidRPr="00842754">
        <w:rPr>
          <w:i/>
          <w:iCs/>
          <w:lang w:eastAsia="es-ES"/>
        </w:rPr>
        <w:t xml:space="preserve">Como puede verse el lamentable fallecimiento de la asegurada ocurrió fuera de la vigencia de la póliza contratada, ya que ella falleció </w:t>
      </w:r>
      <w:r w:rsidRPr="00842754">
        <w:rPr>
          <w:i/>
          <w:iCs/>
          <w:lang w:val="es-MX"/>
        </w:rPr>
        <w:t>en fecha posterior a la vigencia del crédito.</w:t>
      </w:r>
    </w:p>
    <w:p w14:paraId="5A8AFF6E" w14:textId="77777777" w:rsidR="00113D2F" w:rsidRPr="00842754" w:rsidRDefault="00113D2F" w:rsidP="00113D2F">
      <w:pPr>
        <w:tabs>
          <w:tab w:val="left" w:pos="2160"/>
        </w:tabs>
        <w:ind w:left="708"/>
        <w:jc w:val="both"/>
        <w:rPr>
          <w:i/>
          <w:iCs/>
          <w:lang w:val="es-MX"/>
        </w:rPr>
      </w:pPr>
    </w:p>
    <w:p w14:paraId="21760324" w14:textId="77777777" w:rsidR="00113D2F" w:rsidRPr="00842754" w:rsidRDefault="00113D2F" w:rsidP="00113D2F">
      <w:pPr>
        <w:tabs>
          <w:tab w:val="left" w:pos="2160"/>
        </w:tabs>
        <w:ind w:left="708"/>
        <w:jc w:val="both"/>
        <w:rPr>
          <w:i/>
          <w:iCs/>
          <w:lang w:val="es-MX"/>
        </w:rPr>
      </w:pPr>
      <w:r w:rsidRPr="00842754">
        <w:rPr>
          <w:i/>
          <w:iCs/>
          <w:lang w:val="es-MX"/>
        </w:rPr>
        <w:t>Cabe aclarar que en la controversia materia de la reclamación bajo análisis no se presenta un supuesto de suspensión de cobertura, sino que se trata de un caso de extinción del contrato de seguro por vencimiento del plazo de vigencia.</w:t>
      </w:r>
    </w:p>
    <w:p w14:paraId="4763504C" w14:textId="77777777" w:rsidR="00113D2F" w:rsidRPr="00842754" w:rsidRDefault="00113D2F" w:rsidP="00113D2F">
      <w:pPr>
        <w:tabs>
          <w:tab w:val="left" w:pos="2160"/>
        </w:tabs>
        <w:ind w:left="708"/>
        <w:jc w:val="both"/>
        <w:rPr>
          <w:i/>
          <w:iCs/>
          <w:lang w:eastAsia="es-ES"/>
        </w:rPr>
      </w:pPr>
    </w:p>
    <w:p w14:paraId="480C53BE" w14:textId="77777777" w:rsidR="00113D2F" w:rsidRPr="00842754" w:rsidRDefault="00113D2F" w:rsidP="00113D2F">
      <w:pPr>
        <w:ind w:left="708"/>
        <w:jc w:val="both"/>
        <w:rPr>
          <w:i/>
          <w:iCs/>
        </w:rPr>
      </w:pPr>
      <w:r w:rsidRPr="00842754">
        <w:rPr>
          <w:i/>
          <w:iCs/>
          <w:lang w:eastAsia="es-ES"/>
        </w:rPr>
        <w:t xml:space="preserve">En ese sentido, es evidente que, al momento de la ocurrencia del siniestro, esto es al 04 de septiembre de 2018, el contrato de Seguro de Desgravamen se encontraba extinguido, por lo que </w:t>
      </w:r>
      <w:r w:rsidR="00842754">
        <w:t xml:space="preserve">.................. </w:t>
      </w:r>
      <w:r w:rsidRPr="00842754">
        <w:rPr>
          <w:i/>
          <w:iCs/>
          <w:lang w:val="es-MX"/>
        </w:rPr>
        <w:t>a esa fecha no ostentaba la calidad de asegurada</w:t>
      </w:r>
      <w:r w:rsidRPr="00842754">
        <w:rPr>
          <w:i/>
          <w:iCs/>
          <w:lang w:eastAsia="es-ES"/>
        </w:rPr>
        <w:t>.</w:t>
      </w:r>
    </w:p>
    <w:p w14:paraId="1BF57B97" w14:textId="77777777" w:rsidR="00113D2F" w:rsidRPr="00842754" w:rsidRDefault="00113D2F" w:rsidP="00E77A13">
      <w:pPr>
        <w:jc w:val="both"/>
      </w:pPr>
    </w:p>
    <w:p w14:paraId="339301FC" w14:textId="77777777" w:rsidR="00207F92" w:rsidRPr="00842754" w:rsidRDefault="00207F92" w:rsidP="00E77A13">
      <w:pPr>
        <w:jc w:val="both"/>
      </w:pPr>
      <w:r w:rsidRPr="00842754">
        <w:t xml:space="preserve">El recurrente insiste en que se debe aplicar al presente caso el precedente contenido a la Resolución N° 153/2019 referido a la suspensión de cobertura, sin embargo, no corresponde su aplicación por cuanto la suspensión de cobertura presupone la existencia de un contrato de seguro vigente, y en el presente caso se ha verificado que el </w:t>
      </w:r>
      <w:r w:rsidRPr="00842754">
        <w:rPr>
          <w:b/>
          <w:lang w:val="es-MX"/>
        </w:rPr>
        <w:t xml:space="preserve">SEGURO DE DESGRAVAMEN - PÓLIZA No </w:t>
      </w:r>
      <w:r w:rsidR="00842754">
        <w:t>..................</w:t>
      </w:r>
      <w:r w:rsidRPr="00842754">
        <w:rPr>
          <w:b/>
          <w:lang w:val="es-MX"/>
        </w:rPr>
        <w:t xml:space="preserve"> </w:t>
      </w:r>
      <w:r w:rsidRPr="00842754">
        <w:t xml:space="preserve">había concluido su vigencia por el vencimiento del plazo del crédito </w:t>
      </w:r>
    </w:p>
    <w:p w14:paraId="29BFE7E1" w14:textId="77777777" w:rsidR="00207F92" w:rsidRPr="00842754" w:rsidRDefault="00207F92" w:rsidP="00E77A13">
      <w:pPr>
        <w:jc w:val="both"/>
      </w:pPr>
    </w:p>
    <w:p w14:paraId="422F7995" w14:textId="77777777" w:rsidR="00E77A13" w:rsidRPr="00842754" w:rsidRDefault="00AB69C1" w:rsidP="00E77A13">
      <w:pPr>
        <w:jc w:val="both"/>
        <w:rPr>
          <w:bCs/>
        </w:rPr>
      </w:pPr>
      <w:r w:rsidRPr="00842754">
        <w:rPr>
          <w:bCs/>
        </w:rPr>
        <w:t xml:space="preserve">Atendiendo a lo anterior, se concluye que no existe </w:t>
      </w:r>
      <w:r w:rsidR="00E77A13" w:rsidRPr="00842754">
        <w:rPr>
          <w:bCs/>
        </w:rPr>
        <w:t xml:space="preserve">error </w:t>
      </w:r>
      <w:r w:rsidRPr="00842754">
        <w:rPr>
          <w:bCs/>
        </w:rPr>
        <w:t>ni</w:t>
      </w:r>
      <w:r w:rsidR="00E77A13" w:rsidRPr="00842754">
        <w:rPr>
          <w:bCs/>
        </w:rPr>
        <w:t xml:space="preserve"> nueva prueba que contradiga el sustento fáctico de la decisión adoptada por el </w:t>
      </w:r>
      <w:r w:rsidR="007D2454" w:rsidRPr="00842754">
        <w:rPr>
          <w:bCs/>
        </w:rPr>
        <w:t xml:space="preserve">Órgano Resolutivo Unipersonal que expidió la Resolución N° </w:t>
      </w:r>
      <w:r w:rsidR="00207F92" w:rsidRPr="00842754">
        <w:rPr>
          <w:bCs/>
        </w:rPr>
        <w:t>010</w:t>
      </w:r>
      <w:r w:rsidR="007D2454" w:rsidRPr="00842754">
        <w:rPr>
          <w:bCs/>
        </w:rPr>
        <w:t>/2</w:t>
      </w:r>
      <w:r w:rsidR="00207F92" w:rsidRPr="00842754">
        <w:rPr>
          <w:bCs/>
        </w:rPr>
        <w:t>0</w:t>
      </w:r>
      <w:r w:rsidR="00E77A13" w:rsidRPr="00842754">
        <w:rPr>
          <w:bCs/>
        </w:rPr>
        <w:t xml:space="preserve">. </w:t>
      </w:r>
    </w:p>
    <w:p w14:paraId="3258109D" w14:textId="77777777" w:rsidR="00E77A13" w:rsidRPr="00842754" w:rsidRDefault="00E77A13" w:rsidP="00E77A13">
      <w:pPr>
        <w:tabs>
          <w:tab w:val="left" w:pos="709"/>
          <w:tab w:val="left" w:pos="2160"/>
        </w:tabs>
        <w:ind w:left="709" w:hanging="709"/>
        <w:jc w:val="both"/>
        <w:rPr>
          <w:lang w:val="es-PE"/>
        </w:rPr>
      </w:pPr>
    </w:p>
    <w:p w14:paraId="77821573" w14:textId="77777777" w:rsidR="00E77A13" w:rsidRPr="00842754" w:rsidRDefault="00E77A13" w:rsidP="00E77A13">
      <w:pPr>
        <w:jc w:val="both"/>
        <w:rPr>
          <w:bCs/>
        </w:rPr>
      </w:pPr>
      <w:r w:rsidRPr="00842754">
        <w:rPr>
          <w:bCs/>
        </w:rPr>
        <w:t>En ese sentido, el colegiado reitera su convicción que, de los antecedentes fácticos del caso, se verifican pruebas razonables en el sentido que existen razones fundadas para estimar que el rechazo de cobertura es legítimo.</w:t>
      </w:r>
    </w:p>
    <w:p w14:paraId="547DC261" w14:textId="77777777" w:rsidR="00E77A13" w:rsidRPr="00842754" w:rsidRDefault="00E77A13" w:rsidP="00E77A13">
      <w:pPr>
        <w:jc w:val="both"/>
        <w:rPr>
          <w:bCs/>
        </w:rPr>
      </w:pPr>
    </w:p>
    <w:p w14:paraId="7796E8C3" w14:textId="77777777" w:rsidR="00E77A13" w:rsidRPr="00842754" w:rsidRDefault="00E77A13" w:rsidP="00E77A13">
      <w:pPr>
        <w:jc w:val="both"/>
      </w:pPr>
      <w:r w:rsidRPr="00842754">
        <w:rPr>
          <w:b/>
          <w:u w:val="single"/>
        </w:rPr>
        <w:t>TERCERO</w:t>
      </w:r>
      <w:r w:rsidRPr="00842754">
        <w:rPr>
          <w:b/>
        </w:rPr>
        <w:t>:</w:t>
      </w:r>
      <w:r w:rsidRPr="00842754">
        <w:t xml:space="preserve"> En atención a las consideraciones precedentes, este colegiado aprecia finalmente que no se ha evidenciado nueva prueba ni error ni falta de motivación, por lo que no existe mérito suficiente ni razón objetiva para revocar la resolución recurrida.</w:t>
      </w:r>
    </w:p>
    <w:p w14:paraId="736C85C3" w14:textId="77777777" w:rsidR="00E77A13" w:rsidRPr="00842754" w:rsidRDefault="00E77A13" w:rsidP="00E77A13">
      <w:pPr>
        <w:jc w:val="both"/>
      </w:pPr>
    </w:p>
    <w:p w14:paraId="25546CAC" w14:textId="77777777" w:rsidR="00E77A13" w:rsidRPr="00842754" w:rsidRDefault="00E77A13" w:rsidP="00E77A13">
      <w:pPr>
        <w:jc w:val="both"/>
        <w:rPr>
          <w:b/>
        </w:rPr>
      </w:pPr>
      <w:r w:rsidRPr="00842754">
        <w:rPr>
          <w:b/>
        </w:rPr>
        <w:t>RESUELVE:</w:t>
      </w:r>
    </w:p>
    <w:p w14:paraId="32D9CC71" w14:textId="77777777" w:rsidR="00E77A13" w:rsidRPr="00842754" w:rsidRDefault="00E77A13" w:rsidP="00E77A13">
      <w:pPr>
        <w:jc w:val="both"/>
      </w:pPr>
    </w:p>
    <w:p w14:paraId="6884C93D" w14:textId="77777777" w:rsidR="00E77A13" w:rsidRPr="00842754" w:rsidRDefault="00E77A13" w:rsidP="00E77A13">
      <w:pPr>
        <w:jc w:val="both"/>
      </w:pPr>
      <w:r w:rsidRPr="00842754">
        <w:rPr>
          <w:rFonts w:eastAsia="Arial Unicode MS"/>
          <w:b/>
        </w:rPr>
        <w:t xml:space="preserve">Declarar INFUNDADO el recurso de impugnación interpuesto y, por consiguiente, CONFIRMAR la Resolución Nro. </w:t>
      </w:r>
      <w:r w:rsidR="00207F92" w:rsidRPr="00842754">
        <w:rPr>
          <w:rFonts w:eastAsia="Arial Unicode MS"/>
          <w:b/>
        </w:rPr>
        <w:t>010</w:t>
      </w:r>
      <w:r w:rsidRPr="00842754">
        <w:rPr>
          <w:rFonts w:eastAsia="Arial Unicode MS"/>
          <w:b/>
        </w:rPr>
        <w:t>/</w:t>
      </w:r>
      <w:r w:rsidR="00207F92" w:rsidRPr="00842754">
        <w:rPr>
          <w:rFonts w:eastAsia="Arial Unicode MS"/>
          <w:b/>
        </w:rPr>
        <w:t>20</w:t>
      </w:r>
      <w:r w:rsidRPr="00842754">
        <w:t>.</w:t>
      </w:r>
    </w:p>
    <w:p w14:paraId="49292039" w14:textId="77777777" w:rsidR="00E77A13" w:rsidRPr="00842754" w:rsidRDefault="00E77A13" w:rsidP="00E77A13">
      <w:pPr>
        <w:jc w:val="both"/>
      </w:pPr>
    </w:p>
    <w:p w14:paraId="49C5F63C" w14:textId="77777777" w:rsidR="00E77A13" w:rsidRPr="00842754" w:rsidRDefault="00E77A13" w:rsidP="00E77A13">
      <w:pPr>
        <w:jc w:val="both"/>
      </w:pPr>
    </w:p>
    <w:p w14:paraId="4A84393B" w14:textId="77777777" w:rsidR="00E77A13" w:rsidRPr="00842754" w:rsidRDefault="00E77A13" w:rsidP="00E77A13">
      <w:pPr>
        <w:jc w:val="right"/>
        <w:rPr>
          <w:rFonts w:eastAsia="Arial Unicode MS"/>
        </w:rPr>
      </w:pPr>
      <w:r w:rsidRPr="00842754">
        <w:rPr>
          <w:rFonts w:eastAsia="Arial Unicode MS"/>
        </w:rPr>
        <w:t>Lima,</w:t>
      </w:r>
      <w:r w:rsidR="005811DB" w:rsidRPr="00842754">
        <w:rPr>
          <w:rFonts w:eastAsia="Arial Unicode MS"/>
        </w:rPr>
        <w:t xml:space="preserve"> 30 </w:t>
      </w:r>
      <w:r w:rsidRPr="00842754">
        <w:rPr>
          <w:rFonts w:eastAsia="Arial Unicode MS"/>
        </w:rPr>
        <w:t xml:space="preserve">de </w:t>
      </w:r>
      <w:r w:rsidR="00207F92" w:rsidRPr="00842754">
        <w:rPr>
          <w:rFonts w:eastAsia="Arial Unicode MS"/>
        </w:rPr>
        <w:t>junio</w:t>
      </w:r>
      <w:r w:rsidRPr="00842754">
        <w:rPr>
          <w:rFonts w:eastAsia="Arial Unicode MS"/>
        </w:rPr>
        <w:t xml:space="preserve"> de 20</w:t>
      </w:r>
      <w:r w:rsidR="007D2454" w:rsidRPr="00842754">
        <w:rPr>
          <w:rFonts w:eastAsia="Arial Unicode MS"/>
        </w:rPr>
        <w:t>20</w:t>
      </w:r>
    </w:p>
    <w:p w14:paraId="4D9479AE" w14:textId="77777777" w:rsidR="00E77A13" w:rsidRPr="00842754" w:rsidRDefault="00E77A13" w:rsidP="00E77A13">
      <w:pPr>
        <w:autoSpaceDE w:val="0"/>
        <w:jc w:val="right"/>
      </w:pPr>
      <w:r w:rsidRPr="00842754">
        <w:rPr>
          <w:lang w:val="es-MX"/>
        </w:rPr>
        <w:t xml:space="preserve">  </w:t>
      </w:r>
      <w:r w:rsidRPr="00842754">
        <w:t xml:space="preserve"> </w:t>
      </w:r>
    </w:p>
    <w:p w14:paraId="540CDB9B" w14:textId="77777777" w:rsidR="005811DB" w:rsidRPr="00842754" w:rsidRDefault="005811DB" w:rsidP="005811DB">
      <w:pPr>
        <w:jc w:val="both"/>
        <w:rPr>
          <w:b/>
          <w:bCs/>
          <w:i/>
          <w:iCs/>
          <w:lang w:val="es-ES_tradnl"/>
        </w:rPr>
      </w:pPr>
      <w:bookmarkStart w:id="0" w:name="_Hlk44915043"/>
    </w:p>
    <w:p w14:paraId="0C51A985" w14:textId="77777777" w:rsidR="005811DB" w:rsidRPr="00842754" w:rsidRDefault="005811DB" w:rsidP="005811DB">
      <w:pPr>
        <w:jc w:val="both"/>
        <w:rPr>
          <w:b/>
          <w:bCs/>
          <w:i/>
          <w:iCs/>
          <w:lang w:val="es-ES_tradnl"/>
        </w:rPr>
      </w:pPr>
      <w:r w:rsidRPr="00842754">
        <w:rPr>
          <w:b/>
          <w:bCs/>
          <w:i/>
          <w:iCs/>
          <w:lang w:val="es-ES_tradnl"/>
        </w:rPr>
        <w:t>La Secretaría Técnica certifica que la presente resolución cuenta con el voto de los vocales cuyos nombres figuran en el presente documento.</w:t>
      </w:r>
    </w:p>
    <w:p w14:paraId="33E10F7C" w14:textId="77777777" w:rsidR="005811DB" w:rsidRPr="00842754" w:rsidRDefault="005811DB" w:rsidP="005811DB">
      <w:pPr>
        <w:rPr>
          <w:b/>
          <w:bCs/>
        </w:rPr>
      </w:pPr>
    </w:p>
    <w:p w14:paraId="5C1BDC6A" w14:textId="77777777" w:rsidR="005811DB" w:rsidRPr="00842754" w:rsidRDefault="005811DB" w:rsidP="005811DB">
      <w:pPr>
        <w:spacing w:line="360" w:lineRule="auto"/>
        <w:rPr>
          <w:b/>
          <w:bCs/>
        </w:rPr>
      </w:pPr>
    </w:p>
    <w:p w14:paraId="33E3BC94" w14:textId="77777777" w:rsidR="005811DB" w:rsidRPr="00842754" w:rsidRDefault="005811DB" w:rsidP="005811DB">
      <w:pPr>
        <w:spacing w:line="360" w:lineRule="auto"/>
        <w:jc w:val="center"/>
        <w:rPr>
          <w:b/>
          <w:bCs/>
        </w:rPr>
      </w:pPr>
      <w:r w:rsidRPr="00842754">
        <w:rPr>
          <w:b/>
          <w:bCs/>
        </w:rPr>
        <w:t>Marco Antonio Ortega Piana – Presidente</w:t>
      </w:r>
    </w:p>
    <w:p w14:paraId="42C64D16" w14:textId="77777777" w:rsidR="005811DB" w:rsidRPr="00842754" w:rsidRDefault="005811DB" w:rsidP="005811DB">
      <w:pPr>
        <w:spacing w:line="360" w:lineRule="auto"/>
        <w:jc w:val="center"/>
        <w:rPr>
          <w:b/>
          <w:bCs/>
        </w:rPr>
      </w:pPr>
      <w:r w:rsidRPr="00842754">
        <w:rPr>
          <w:b/>
          <w:bCs/>
        </w:rPr>
        <w:t>María Eugenia Valdez Fernández Baca – Vocal</w:t>
      </w:r>
    </w:p>
    <w:p w14:paraId="4C881E3B" w14:textId="77777777" w:rsidR="005811DB" w:rsidRPr="00842754" w:rsidRDefault="005811DB" w:rsidP="005811DB">
      <w:pPr>
        <w:spacing w:line="360" w:lineRule="auto"/>
        <w:jc w:val="center"/>
        <w:rPr>
          <w:b/>
          <w:bCs/>
        </w:rPr>
      </w:pPr>
      <w:r w:rsidRPr="00842754">
        <w:rPr>
          <w:b/>
          <w:bCs/>
        </w:rPr>
        <w:t xml:space="preserve">Rolando Eyzaguirre </w:t>
      </w:r>
      <w:proofErr w:type="spellStart"/>
      <w:r w:rsidRPr="00842754">
        <w:rPr>
          <w:b/>
          <w:bCs/>
        </w:rPr>
        <w:t>Maccan</w:t>
      </w:r>
      <w:proofErr w:type="spellEnd"/>
      <w:r w:rsidRPr="00842754">
        <w:rPr>
          <w:b/>
          <w:bCs/>
        </w:rPr>
        <w:t xml:space="preserve"> – Vocal</w:t>
      </w:r>
    </w:p>
    <w:p w14:paraId="1CFCA416" w14:textId="77777777" w:rsidR="005811DB" w:rsidRPr="00842754" w:rsidRDefault="005811DB" w:rsidP="005811DB">
      <w:pPr>
        <w:spacing w:line="360" w:lineRule="auto"/>
        <w:jc w:val="center"/>
        <w:rPr>
          <w:b/>
        </w:rPr>
      </w:pPr>
      <w:r w:rsidRPr="00842754">
        <w:rPr>
          <w:b/>
          <w:bCs/>
        </w:rPr>
        <w:t>Gonzalo Abad - Vocal</w:t>
      </w:r>
    </w:p>
    <w:bookmarkEnd w:id="0"/>
    <w:p w14:paraId="232FB3FD" w14:textId="77777777" w:rsidR="00E77A13" w:rsidRPr="00842754" w:rsidRDefault="00E77A13" w:rsidP="007E111C">
      <w:pPr>
        <w:jc w:val="both"/>
        <w:rPr>
          <w:b/>
          <w:u w:val="single"/>
          <w:lang w:val="es-PE"/>
        </w:rPr>
      </w:pPr>
    </w:p>
    <w:sectPr w:rsidR="00E77A13" w:rsidRPr="00842754">
      <w:footerReference w:type="default" r:id="rId7"/>
      <w:pgSz w:w="11906" w:h="16838"/>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06BB" w14:textId="77777777" w:rsidR="00AC29C0" w:rsidRDefault="00AC29C0">
      <w:r>
        <w:separator/>
      </w:r>
    </w:p>
  </w:endnote>
  <w:endnote w:type="continuationSeparator" w:id="0">
    <w:p w14:paraId="2CC9060C" w14:textId="77777777" w:rsidR="00AC29C0" w:rsidRDefault="00AC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AB7F" w14:textId="77777777" w:rsidR="005811DB" w:rsidRPr="00842754" w:rsidRDefault="005811DB">
    <w:pPr>
      <w:pStyle w:val="Piedepgina"/>
      <w:jc w:val="right"/>
      <w:rPr>
        <w:sz w:val="18"/>
        <w:szCs w:val="18"/>
      </w:rPr>
    </w:pPr>
    <w:r w:rsidRPr="00842754">
      <w:rPr>
        <w:sz w:val="18"/>
        <w:szCs w:val="18"/>
      </w:rPr>
      <w:t xml:space="preserve">Página </w:t>
    </w:r>
    <w:r w:rsidRPr="00842754">
      <w:rPr>
        <w:b/>
        <w:bCs/>
        <w:sz w:val="18"/>
        <w:szCs w:val="18"/>
      </w:rPr>
      <w:fldChar w:fldCharType="begin"/>
    </w:r>
    <w:r w:rsidRPr="00842754">
      <w:rPr>
        <w:b/>
        <w:bCs/>
        <w:sz w:val="18"/>
        <w:szCs w:val="18"/>
      </w:rPr>
      <w:instrText>PAGE</w:instrText>
    </w:r>
    <w:r w:rsidRPr="00842754">
      <w:rPr>
        <w:b/>
        <w:bCs/>
        <w:sz w:val="18"/>
        <w:szCs w:val="18"/>
      </w:rPr>
      <w:fldChar w:fldCharType="separate"/>
    </w:r>
    <w:r w:rsidRPr="00842754">
      <w:rPr>
        <w:b/>
        <w:bCs/>
        <w:sz w:val="18"/>
        <w:szCs w:val="18"/>
      </w:rPr>
      <w:t>2</w:t>
    </w:r>
    <w:r w:rsidRPr="00842754">
      <w:rPr>
        <w:b/>
        <w:bCs/>
        <w:sz w:val="18"/>
        <w:szCs w:val="18"/>
      </w:rPr>
      <w:fldChar w:fldCharType="end"/>
    </w:r>
    <w:r w:rsidRPr="00842754">
      <w:rPr>
        <w:sz w:val="18"/>
        <w:szCs w:val="18"/>
      </w:rPr>
      <w:t xml:space="preserve"> de </w:t>
    </w:r>
    <w:r w:rsidRPr="00842754">
      <w:rPr>
        <w:b/>
        <w:bCs/>
        <w:sz w:val="18"/>
        <w:szCs w:val="18"/>
      </w:rPr>
      <w:fldChar w:fldCharType="begin"/>
    </w:r>
    <w:r w:rsidRPr="00842754">
      <w:rPr>
        <w:b/>
        <w:bCs/>
        <w:sz w:val="18"/>
        <w:szCs w:val="18"/>
      </w:rPr>
      <w:instrText>NUMPAGES</w:instrText>
    </w:r>
    <w:r w:rsidRPr="00842754">
      <w:rPr>
        <w:b/>
        <w:bCs/>
        <w:sz w:val="18"/>
        <w:szCs w:val="18"/>
      </w:rPr>
      <w:fldChar w:fldCharType="separate"/>
    </w:r>
    <w:r w:rsidRPr="00842754">
      <w:rPr>
        <w:b/>
        <w:bCs/>
        <w:sz w:val="18"/>
        <w:szCs w:val="18"/>
      </w:rPr>
      <w:t>2</w:t>
    </w:r>
    <w:r w:rsidRPr="00842754">
      <w:rPr>
        <w:b/>
        <w:bCs/>
        <w:sz w:val="18"/>
        <w:szCs w:val="18"/>
      </w:rPr>
      <w:fldChar w:fldCharType="end"/>
    </w:r>
  </w:p>
  <w:p w14:paraId="1C4ADD76" w14:textId="77777777" w:rsidR="005811DB" w:rsidRDefault="005811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BAE5" w14:textId="77777777" w:rsidR="00AC29C0" w:rsidRDefault="00AC29C0">
      <w:r>
        <w:separator/>
      </w:r>
    </w:p>
  </w:footnote>
  <w:footnote w:type="continuationSeparator" w:id="0">
    <w:p w14:paraId="11BFB2D0" w14:textId="77777777" w:rsidR="00AC29C0" w:rsidRDefault="00AC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58"/>
    <w:multiLevelType w:val="hybridMultilevel"/>
    <w:tmpl w:val="05284B46"/>
    <w:lvl w:ilvl="0" w:tplc="CF64BD6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 w15:restartNumberingAfterBreak="0">
    <w:nsid w:val="79191337"/>
    <w:multiLevelType w:val="multilevel"/>
    <w:tmpl w:val="7DC21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FDA"/>
    <w:rsid w:val="00010B7F"/>
    <w:rsid w:val="0001180F"/>
    <w:rsid w:val="00011908"/>
    <w:rsid w:val="000149BA"/>
    <w:rsid w:val="000203D4"/>
    <w:rsid w:val="00025352"/>
    <w:rsid w:val="00032B2A"/>
    <w:rsid w:val="0004078F"/>
    <w:rsid w:val="000508A5"/>
    <w:rsid w:val="00055B1B"/>
    <w:rsid w:val="00065412"/>
    <w:rsid w:val="000736F5"/>
    <w:rsid w:val="0007606D"/>
    <w:rsid w:val="0007628A"/>
    <w:rsid w:val="000824A1"/>
    <w:rsid w:val="0009162F"/>
    <w:rsid w:val="00094DD4"/>
    <w:rsid w:val="00094F92"/>
    <w:rsid w:val="0009583C"/>
    <w:rsid w:val="000966B7"/>
    <w:rsid w:val="000A0205"/>
    <w:rsid w:val="000A6442"/>
    <w:rsid w:val="000C013C"/>
    <w:rsid w:val="000C0F70"/>
    <w:rsid w:val="000D6582"/>
    <w:rsid w:val="000D7E05"/>
    <w:rsid w:val="000E19F5"/>
    <w:rsid w:val="000E38AF"/>
    <w:rsid w:val="000E3B7D"/>
    <w:rsid w:val="000E4102"/>
    <w:rsid w:val="000E78B5"/>
    <w:rsid w:val="000E78DF"/>
    <w:rsid w:val="000F1FEA"/>
    <w:rsid w:val="000F2B0F"/>
    <w:rsid w:val="000F4318"/>
    <w:rsid w:val="001037A2"/>
    <w:rsid w:val="00113D2F"/>
    <w:rsid w:val="001274F3"/>
    <w:rsid w:val="0012750F"/>
    <w:rsid w:val="001279B6"/>
    <w:rsid w:val="001300E5"/>
    <w:rsid w:val="001432D1"/>
    <w:rsid w:val="00152E70"/>
    <w:rsid w:val="00155805"/>
    <w:rsid w:val="00161AFB"/>
    <w:rsid w:val="001764EE"/>
    <w:rsid w:val="00183F2E"/>
    <w:rsid w:val="0018747B"/>
    <w:rsid w:val="00191416"/>
    <w:rsid w:val="001922A0"/>
    <w:rsid w:val="001923E8"/>
    <w:rsid w:val="001939F3"/>
    <w:rsid w:val="001960DB"/>
    <w:rsid w:val="001A6331"/>
    <w:rsid w:val="001A6A3C"/>
    <w:rsid w:val="001A6AEA"/>
    <w:rsid w:val="001B052E"/>
    <w:rsid w:val="001B18CB"/>
    <w:rsid w:val="001C3467"/>
    <w:rsid w:val="001D0FBB"/>
    <w:rsid w:val="001E0A3E"/>
    <w:rsid w:val="00201C81"/>
    <w:rsid w:val="00202BAE"/>
    <w:rsid w:val="0020511C"/>
    <w:rsid w:val="00207F92"/>
    <w:rsid w:val="00213E97"/>
    <w:rsid w:val="002162F6"/>
    <w:rsid w:val="00230EDA"/>
    <w:rsid w:val="00240C91"/>
    <w:rsid w:val="002435B9"/>
    <w:rsid w:val="0024585B"/>
    <w:rsid w:val="00247107"/>
    <w:rsid w:val="00250B8A"/>
    <w:rsid w:val="00255B26"/>
    <w:rsid w:val="00260350"/>
    <w:rsid w:val="00261A64"/>
    <w:rsid w:val="00266A9B"/>
    <w:rsid w:val="002670D2"/>
    <w:rsid w:val="00267F72"/>
    <w:rsid w:val="0027153E"/>
    <w:rsid w:val="0027315A"/>
    <w:rsid w:val="00280F27"/>
    <w:rsid w:val="00286118"/>
    <w:rsid w:val="00296C23"/>
    <w:rsid w:val="002A62D6"/>
    <w:rsid w:val="002B2CD4"/>
    <w:rsid w:val="002B3C89"/>
    <w:rsid w:val="002E0430"/>
    <w:rsid w:val="002F075A"/>
    <w:rsid w:val="002F0F80"/>
    <w:rsid w:val="002F64FD"/>
    <w:rsid w:val="003054C1"/>
    <w:rsid w:val="003104B3"/>
    <w:rsid w:val="00315DF9"/>
    <w:rsid w:val="003177C3"/>
    <w:rsid w:val="0032675F"/>
    <w:rsid w:val="00336F84"/>
    <w:rsid w:val="00337006"/>
    <w:rsid w:val="00341C01"/>
    <w:rsid w:val="00343254"/>
    <w:rsid w:val="00344094"/>
    <w:rsid w:val="003462E9"/>
    <w:rsid w:val="003641CC"/>
    <w:rsid w:val="00365D34"/>
    <w:rsid w:val="00366C00"/>
    <w:rsid w:val="003711EF"/>
    <w:rsid w:val="00371A6B"/>
    <w:rsid w:val="00371CE2"/>
    <w:rsid w:val="00372DC9"/>
    <w:rsid w:val="0038014B"/>
    <w:rsid w:val="00381AD8"/>
    <w:rsid w:val="00391BF3"/>
    <w:rsid w:val="00396854"/>
    <w:rsid w:val="003A00EE"/>
    <w:rsid w:val="003A0CA4"/>
    <w:rsid w:val="003A1C31"/>
    <w:rsid w:val="003A41E0"/>
    <w:rsid w:val="003B526A"/>
    <w:rsid w:val="003D3C6E"/>
    <w:rsid w:val="003E17F8"/>
    <w:rsid w:val="003F0439"/>
    <w:rsid w:val="00400C84"/>
    <w:rsid w:val="004023CA"/>
    <w:rsid w:val="0040483C"/>
    <w:rsid w:val="004062D7"/>
    <w:rsid w:val="00414219"/>
    <w:rsid w:val="004218DC"/>
    <w:rsid w:val="00422FB0"/>
    <w:rsid w:val="00433163"/>
    <w:rsid w:val="00435591"/>
    <w:rsid w:val="00452D52"/>
    <w:rsid w:val="00454707"/>
    <w:rsid w:val="00464B2E"/>
    <w:rsid w:val="00481320"/>
    <w:rsid w:val="00484D0C"/>
    <w:rsid w:val="004912FA"/>
    <w:rsid w:val="00493D18"/>
    <w:rsid w:val="004B175C"/>
    <w:rsid w:val="004B495C"/>
    <w:rsid w:val="004B6936"/>
    <w:rsid w:val="004D4935"/>
    <w:rsid w:val="004E368A"/>
    <w:rsid w:val="004E46F2"/>
    <w:rsid w:val="004E5865"/>
    <w:rsid w:val="004F3999"/>
    <w:rsid w:val="004F3BE3"/>
    <w:rsid w:val="00500913"/>
    <w:rsid w:val="005017ED"/>
    <w:rsid w:val="005021EC"/>
    <w:rsid w:val="0050232C"/>
    <w:rsid w:val="0050295C"/>
    <w:rsid w:val="00506AB8"/>
    <w:rsid w:val="00511F09"/>
    <w:rsid w:val="00516F3D"/>
    <w:rsid w:val="00525C34"/>
    <w:rsid w:val="0052653B"/>
    <w:rsid w:val="00541534"/>
    <w:rsid w:val="00542CB9"/>
    <w:rsid w:val="005434BE"/>
    <w:rsid w:val="005435D1"/>
    <w:rsid w:val="00547733"/>
    <w:rsid w:val="005541AF"/>
    <w:rsid w:val="00555F04"/>
    <w:rsid w:val="005614C5"/>
    <w:rsid w:val="005729B6"/>
    <w:rsid w:val="00573252"/>
    <w:rsid w:val="0057512F"/>
    <w:rsid w:val="005811DB"/>
    <w:rsid w:val="00592111"/>
    <w:rsid w:val="005A0CBC"/>
    <w:rsid w:val="005A4C9E"/>
    <w:rsid w:val="005A4ED4"/>
    <w:rsid w:val="005C3C44"/>
    <w:rsid w:val="005C7CEA"/>
    <w:rsid w:val="005D2404"/>
    <w:rsid w:val="005D3D3D"/>
    <w:rsid w:val="005D6A02"/>
    <w:rsid w:val="005E4FC0"/>
    <w:rsid w:val="005E6C21"/>
    <w:rsid w:val="005E79FF"/>
    <w:rsid w:val="00611629"/>
    <w:rsid w:val="00612854"/>
    <w:rsid w:val="00613F0A"/>
    <w:rsid w:val="00614563"/>
    <w:rsid w:val="0065716F"/>
    <w:rsid w:val="00664A65"/>
    <w:rsid w:val="00664D1E"/>
    <w:rsid w:val="006654D2"/>
    <w:rsid w:val="00672BDC"/>
    <w:rsid w:val="00673A30"/>
    <w:rsid w:val="00684A82"/>
    <w:rsid w:val="00684FAF"/>
    <w:rsid w:val="006A2A13"/>
    <w:rsid w:val="006A6691"/>
    <w:rsid w:val="006A7A83"/>
    <w:rsid w:val="006B03DA"/>
    <w:rsid w:val="006B09DD"/>
    <w:rsid w:val="006B2530"/>
    <w:rsid w:val="006C0E4C"/>
    <w:rsid w:val="006C2C62"/>
    <w:rsid w:val="006D416A"/>
    <w:rsid w:val="006D4F09"/>
    <w:rsid w:val="006F22C5"/>
    <w:rsid w:val="006F7CF9"/>
    <w:rsid w:val="00711389"/>
    <w:rsid w:val="00716520"/>
    <w:rsid w:val="0072084B"/>
    <w:rsid w:val="007302AE"/>
    <w:rsid w:val="007445D1"/>
    <w:rsid w:val="00745F6A"/>
    <w:rsid w:val="007466C2"/>
    <w:rsid w:val="00770BDA"/>
    <w:rsid w:val="00777227"/>
    <w:rsid w:val="00781137"/>
    <w:rsid w:val="00791F96"/>
    <w:rsid w:val="007C1F82"/>
    <w:rsid w:val="007D1641"/>
    <w:rsid w:val="007D2454"/>
    <w:rsid w:val="007D4314"/>
    <w:rsid w:val="007E111C"/>
    <w:rsid w:val="007E3F8C"/>
    <w:rsid w:val="00800C74"/>
    <w:rsid w:val="00800EC5"/>
    <w:rsid w:val="00801915"/>
    <w:rsid w:val="00801D9D"/>
    <w:rsid w:val="00804E91"/>
    <w:rsid w:val="00824C28"/>
    <w:rsid w:val="008266C9"/>
    <w:rsid w:val="0083474D"/>
    <w:rsid w:val="00835EF9"/>
    <w:rsid w:val="00841737"/>
    <w:rsid w:val="00842754"/>
    <w:rsid w:val="00846117"/>
    <w:rsid w:val="0085522A"/>
    <w:rsid w:val="00860252"/>
    <w:rsid w:val="00862A65"/>
    <w:rsid w:val="00866D97"/>
    <w:rsid w:val="00871A92"/>
    <w:rsid w:val="00871B82"/>
    <w:rsid w:val="00874704"/>
    <w:rsid w:val="0088011E"/>
    <w:rsid w:val="00880D15"/>
    <w:rsid w:val="00891026"/>
    <w:rsid w:val="00896801"/>
    <w:rsid w:val="008A25DB"/>
    <w:rsid w:val="008A2D2A"/>
    <w:rsid w:val="008A4371"/>
    <w:rsid w:val="008B296A"/>
    <w:rsid w:val="008D5CB4"/>
    <w:rsid w:val="008E1747"/>
    <w:rsid w:val="008E205C"/>
    <w:rsid w:val="008F386C"/>
    <w:rsid w:val="0090008D"/>
    <w:rsid w:val="009044FD"/>
    <w:rsid w:val="00907B8E"/>
    <w:rsid w:val="00924A79"/>
    <w:rsid w:val="0092553D"/>
    <w:rsid w:val="00931908"/>
    <w:rsid w:val="009366A4"/>
    <w:rsid w:val="0093718B"/>
    <w:rsid w:val="0096766E"/>
    <w:rsid w:val="00970C13"/>
    <w:rsid w:val="00971255"/>
    <w:rsid w:val="00975790"/>
    <w:rsid w:val="00984C03"/>
    <w:rsid w:val="0098544A"/>
    <w:rsid w:val="009970B3"/>
    <w:rsid w:val="009A56CD"/>
    <w:rsid w:val="009A59BC"/>
    <w:rsid w:val="009A71B7"/>
    <w:rsid w:val="009B641C"/>
    <w:rsid w:val="009C13BB"/>
    <w:rsid w:val="009C54EC"/>
    <w:rsid w:val="009D029A"/>
    <w:rsid w:val="009E28F9"/>
    <w:rsid w:val="00A01D42"/>
    <w:rsid w:val="00A02125"/>
    <w:rsid w:val="00A0457C"/>
    <w:rsid w:val="00A206E5"/>
    <w:rsid w:val="00A22FE1"/>
    <w:rsid w:val="00A351C6"/>
    <w:rsid w:val="00A37FEA"/>
    <w:rsid w:val="00A435FC"/>
    <w:rsid w:val="00A53191"/>
    <w:rsid w:val="00A5756F"/>
    <w:rsid w:val="00A60164"/>
    <w:rsid w:val="00A667CA"/>
    <w:rsid w:val="00A82374"/>
    <w:rsid w:val="00A921BD"/>
    <w:rsid w:val="00AA130E"/>
    <w:rsid w:val="00AA4D7A"/>
    <w:rsid w:val="00AB69C1"/>
    <w:rsid w:val="00AB7F7A"/>
    <w:rsid w:val="00AC0CD4"/>
    <w:rsid w:val="00AC1212"/>
    <w:rsid w:val="00AC1925"/>
    <w:rsid w:val="00AC29C0"/>
    <w:rsid w:val="00AC389E"/>
    <w:rsid w:val="00AD6147"/>
    <w:rsid w:val="00AD6181"/>
    <w:rsid w:val="00AD6F92"/>
    <w:rsid w:val="00AE0432"/>
    <w:rsid w:val="00AE13C3"/>
    <w:rsid w:val="00AF0B06"/>
    <w:rsid w:val="00AF7192"/>
    <w:rsid w:val="00B02E97"/>
    <w:rsid w:val="00B030A4"/>
    <w:rsid w:val="00B05DAE"/>
    <w:rsid w:val="00B14FF5"/>
    <w:rsid w:val="00B1563A"/>
    <w:rsid w:val="00B32262"/>
    <w:rsid w:val="00B40B08"/>
    <w:rsid w:val="00B503F5"/>
    <w:rsid w:val="00B52B9F"/>
    <w:rsid w:val="00B53611"/>
    <w:rsid w:val="00B53D92"/>
    <w:rsid w:val="00B604C0"/>
    <w:rsid w:val="00B62CFE"/>
    <w:rsid w:val="00B66816"/>
    <w:rsid w:val="00B67FCE"/>
    <w:rsid w:val="00B75ACD"/>
    <w:rsid w:val="00B837D2"/>
    <w:rsid w:val="00B84B04"/>
    <w:rsid w:val="00B8702E"/>
    <w:rsid w:val="00B90CF0"/>
    <w:rsid w:val="00B94B69"/>
    <w:rsid w:val="00B95001"/>
    <w:rsid w:val="00B95986"/>
    <w:rsid w:val="00B97F22"/>
    <w:rsid w:val="00BA07B5"/>
    <w:rsid w:val="00BA774E"/>
    <w:rsid w:val="00BB246B"/>
    <w:rsid w:val="00BC19D3"/>
    <w:rsid w:val="00BC4679"/>
    <w:rsid w:val="00BD2459"/>
    <w:rsid w:val="00BD6445"/>
    <w:rsid w:val="00BE0997"/>
    <w:rsid w:val="00BE6CDC"/>
    <w:rsid w:val="00BE7EF5"/>
    <w:rsid w:val="00BF0747"/>
    <w:rsid w:val="00BF2C2E"/>
    <w:rsid w:val="00BF5EDD"/>
    <w:rsid w:val="00C03BA9"/>
    <w:rsid w:val="00C0516C"/>
    <w:rsid w:val="00C13C79"/>
    <w:rsid w:val="00C20680"/>
    <w:rsid w:val="00C21CDF"/>
    <w:rsid w:val="00C2713B"/>
    <w:rsid w:val="00C3132A"/>
    <w:rsid w:val="00C373D7"/>
    <w:rsid w:val="00C46FB1"/>
    <w:rsid w:val="00C51444"/>
    <w:rsid w:val="00C53380"/>
    <w:rsid w:val="00C559EB"/>
    <w:rsid w:val="00C56C62"/>
    <w:rsid w:val="00C80390"/>
    <w:rsid w:val="00C809CC"/>
    <w:rsid w:val="00C92272"/>
    <w:rsid w:val="00C94F8B"/>
    <w:rsid w:val="00CA6919"/>
    <w:rsid w:val="00CB25EE"/>
    <w:rsid w:val="00CC07E5"/>
    <w:rsid w:val="00CD1F42"/>
    <w:rsid w:val="00CD5201"/>
    <w:rsid w:val="00CE0F21"/>
    <w:rsid w:val="00CF653E"/>
    <w:rsid w:val="00CF7959"/>
    <w:rsid w:val="00D102AA"/>
    <w:rsid w:val="00D11A0F"/>
    <w:rsid w:val="00D11EA4"/>
    <w:rsid w:val="00D22116"/>
    <w:rsid w:val="00D23C5F"/>
    <w:rsid w:val="00D2462D"/>
    <w:rsid w:val="00D354E4"/>
    <w:rsid w:val="00D37B26"/>
    <w:rsid w:val="00D4192D"/>
    <w:rsid w:val="00D41DDC"/>
    <w:rsid w:val="00D5418D"/>
    <w:rsid w:val="00D55FD2"/>
    <w:rsid w:val="00D64C69"/>
    <w:rsid w:val="00D66E52"/>
    <w:rsid w:val="00D677D1"/>
    <w:rsid w:val="00D67A2F"/>
    <w:rsid w:val="00D71FDA"/>
    <w:rsid w:val="00D8595C"/>
    <w:rsid w:val="00D877F1"/>
    <w:rsid w:val="00D90068"/>
    <w:rsid w:val="00D92993"/>
    <w:rsid w:val="00D9309F"/>
    <w:rsid w:val="00D97AE1"/>
    <w:rsid w:val="00DA08FE"/>
    <w:rsid w:val="00DA0E9A"/>
    <w:rsid w:val="00DA2F66"/>
    <w:rsid w:val="00DA2FA3"/>
    <w:rsid w:val="00DB3E4C"/>
    <w:rsid w:val="00DC0E1F"/>
    <w:rsid w:val="00DD094A"/>
    <w:rsid w:val="00DD0F5B"/>
    <w:rsid w:val="00DD421E"/>
    <w:rsid w:val="00DD47E0"/>
    <w:rsid w:val="00DD4E10"/>
    <w:rsid w:val="00DD5BC9"/>
    <w:rsid w:val="00E02DA5"/>
    <w:rsid w:val="00E04136"/>
    <w:rsid w:val="00E05E05"/>
    <w:rsid w:val="00E10FB8"/>
    <w:rsid w:val="00E16213"/>
    <w:rsid w:val="00E25D8E"/>
    <w:rsid w:val="00E27170"/>
    <w:rsid w:val="00E4020D"/>
    <w:rsid w:val="00E4259C"/>
    <w:rsid w:val="00E45877"/>
    <w:rsid w:val="00E46A36"/>
    <w:rsid w:val="00E64F28"/>
    <w:rsid w:val="00E77A13"/>
    <w:rsid w:val="00E82EC7"/>
    <w:rsid w:val="00E92568"/>
    <w:rsid w:val="00E969C6"/>
    <w:rsid w:val="00E96EC7"/>
    <w:rsid w:val="00E97F55"/>
    <w:rsid w:val="00EA0FB5"/>
    <w:rsid w:val="00EB22A0"/>
    <w:rsid w:val="00EC0944"/>
    <w:rsid w:val="00EC5F7C"/>
    <w:rsid w:val="00ED122B"/>
    <w:rsid w:val="00EE445D"/>
    <w:rsid w:val="00EE5147"/>
    <w:rsid w:val="00EF1DD7"/>
    <w:rsid w:val="00F0106F"/>
    <w:rsid w:val="00F02A4B"/>
    <w:rsid w:val="00F02E17"/>
    <w:rsid w:val="00F05CB6"/>
    <w:rsid w:val="00F05E83"/>
    <w:rsid w:val="00F06894"/>
    <w:rsid w:val="00F2029A"/>
    <w:rsid w:val="00F27822"/>
    <w:rsid w:val="00F36E16"/>
    <w:rsid w:val="00F43014"/>
    <w:rsid w:val="00F60108"/>
    <w:rsid w:val="00F6232F"/>
    <w:rsid w:val="00F71153"/>
    <w:rsid w:val="00F86AF5"/>
    <w:rsid w:val="00FA4DD8"/>
    <w:rsid w:val="00FB5CE2"/>
    <w:rsid w:val="00FC57DE"/>
    <w:rsid w:val="00FC5FD7"/>
    <w:rsid w:val="00FD7061"/>
    <w:rsid w:val="00FE0A1F"/>
    <w:rsid w:val="00FE2DDD"/>
    <w:rsid w:val="00FE7669"/>
    <w:rsid w:val="00FE7B63"/>
    <w:rsid w:val="00FF310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68CBC4"/>
  <w15:chartTrackingRefBased/>
  <w15:docId w15:val="{FFF11B6D-28F0-4C43-83DE-5DA9AD3F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Pr>
      <w:lang w:val="es-ES"/>
    </w:rPr>
  </w:style>
  <w:style w:type="character" w:customStyle="1" w:styleId="Fuentedeprrafopredeter1">
    <w:name w:val="Fuente de párrafo predeter.1"/>
  </w:style>
  <w:style w:type="character" w:styleId="Textoennegrita">
    <w:name w:val="Strong"/>
    <w:qFormat/>
    <w:rPr>
      <w:b/>
      <w:bCs/>
    </w:rPr>
  </w:style>
  <w:style w:type="character" w:customStyle="1" w:styleId="Refdecomentario1">
    <w:name w:val="Ref. de comentario1"/>
    <w:rPr>
      <w:sz w:val="16"/>
      <w:szCs w:val="16"/>
    </w:rPr>
  </w:style>
  <w:style w:type="character" w:customStyle="1" w:styleId="Car2">
    <w:name w:val=" Car2"/>
    <w:rPr>
      <w:sz w:val="24"/>
      <w:szCs w:val="24"/>
      <w:lang w:val="es-ES"/>
    </w:rPr>
  </w:style>
  <w:style w:type="character" w:customStyle="1" w:styleId="Car1">
    <w:name w:val=" Car1"/>
    <w:rPr>
      <w:sz w:val="24"/>
      <w:szCs w:val="24"/>
      <w:lang w:val="es-ES"/>
    </w:rPr>
  </w:style>
  <w:style w:type="character" w:customStyle="1" w:styleId="Car">
    <w:name w:val=" Car"/>
    <w:rPr>
      <w:lang w:val="es-ES"/>
    </w:rPr>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link w:val="TextoindependienteCar"/>
    <w:pPr>
      <w:jc w:val="both"/>
    </w:pPr>
    <w:rPr>
      <w:bCs/>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uesto">
    <w:name w:val="Puesto"/>
    <w:basedOn w:val="Normal"/>
    <w:next w:val="Subttulo"/>
    <w:qFormat/>
    <w:pPr>
      <w:jc w:val="center"/>
    </w:pPr>
    <w:rPr>
      <w:b/>
      <w:bCs/>
      <w:lang w:val="es-MX"/>
    </w:rPr>
  </w:style>
  <w:style w:type="paragraph" w:styleId="Subttulo">
    <w:name w:val="Subtitle"/>
    <w:basedOn w:val="Encabezado1"/>
    <w:next w:val="Textoindependiente"/>
    <w:qFormat/>
    <w:pPr>
      <w:jc w:val="center"/>
    </w:pPr>
    <w:rPr>
      <w:i/>
      <w:iCs/>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alfinal">
    <w:name w:val="endnote text"/>
    <w:basedOn w:val="Normal"/>
    <w:rPr>
      <w:sz w:val="20"/>
      <w:szCs w:val="20"/>
    </w:rPr>
  </w:style>
  <w:style w:type="paragraph" w:styleId="Textonotapie">
    <w:name w:val="footnote text"/>
    <w:basedOn w:val="Normal"/>
  </w:style>
  <w:style w:type="paragraph" w:styleId="NormalWeb">
    <w:name w:val="Normal (Web)"/>
    <w:basedOn w:val="Normal"/>
    <w:pPr>
      <w:spacing w:before="280" w:after="280"/>
      <w:jc w:val="both"/>
    </w:pPr>
    <w:rPr>
      <w:rFonts w:ascii="Arial" w:hAnsi="Arial" w:cs="Arial"/>
      <w:color w:val="000000"/>
      <w:sz w:val="20"/>
      <w:szCs w:val="20"/>
    </w:rPr>
  </w:style>
  <w:style w:type="paragraph" w:styleId="Mapadeldocumento">
    <w:name w:val="Document Map"/>
    <w:basedOn w:val="Normal"/>
    <w:semiHidden/>
    <w:rsid w:val="00400C84"/>
    <w:pPr>
      <w:shd w:val="clear" w:color="auto" w:fill="000080"/>
    </w:pPr>
    <w:rPr>
      <w:rFonts w:ascii="Tahoma" w:hAnsi="Tahoma" w:cs="Tahoma"/>
      <w:sz w:val="20"/>
      <w:szCs w:val="20"/>
    </w:rPr>
  </w:style>
  <w:style w:type="paragraph" w:styleId="Revisin">
    <w:name w:val="Revision"/>
    <w:hidden/>
    <w:uiPriority w:val="99"/>
    <w:semiHidden/>
    <w:rsid w:val="00344094"/>
    <w:rPr>
      <w:sz w:val="24"/>
      <w:szCs w:val="24"/>
      <w:lang w:val="es-ES" w:eastAsia="ar-SA"/>
    </w:rPr>
  </w:style>
  <w:style w:type="character" w:customStyle="1" w:styleId="TextoindependienteCar">
    <w:name w:val="Texto independiente Car"/>
    <w:link w:val="Textoindependiente"/>
    <w:rsid w:val="00E77A13"/>
    <w:rPr>
      <w:bCs/>
      <w:sz w:val="24"/>
      <w:szCs w:val="24"/>
      <w:lang w:val="es-MX" w:eastAsia="ar-SA"/>
    </w:rPr>
  </w:style>
  <w:style w:type="character" w:customStyle="1" w:styleId="EncabezadoCar">
    <w:name w:val="Encabezado Car"/>
    <w:link w:val="Encabezado"/>
    <w:uiPriority w:val="99"/>
    <w:rsid w:val="005811DB"/>
    <w:rPr>
      <w:sz w:val="24"/>
      <w:szCs w:val="24"/>
      <w:lang w:val="es-ES" w:eastAsia="ar-SA"/>
    </w:rPr>
  </w:style>
  <w:style w:type="character" w:customStyle="1" w:styleId="PiedepginaCar">
    <w:name w:val="Pie de página Car"/>
    <w:link w:val="Piedepgina"/>
    <w:uiPriority w:val="99"/>
    <w:rsid w:val="005811DB"/>
    <w:rPr>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57087">
      <w:bodyDiv w:val="1"/>
      <w:marLeft w:val="0"/>
      <w:marRight w:val="0"/>
      <w:marTop w:val="0"/>
      <w:marBottom w:val="0"/>
      <w:divBdr>
        <w:top w:val="none" w:sz="0" w:space="0" w:color="auto"/>
        <w:left w:val="none" w:sz="0" w:space="0" w:color="auto"/>
        <w:bottom w:val="none" w:sz="0" w:space="0" w:color="auto"/>
        <w:right w:val="none" w:sz="0" w:space="0" w:color="auto"/>
      </w:divBdr>
      <w:divsChild>
        <w:div w:id="953370401">
          <w:marLeft w:val="0"/>
          <w:marRight w:val="0"/>
          <w:marTop w:val="0"/>
          <w:marBottom w:val="0"/>
          <w:divBdr>
            <w:top w:val="none" w:sz="0" w:space="0" w:color="auto"/>
            <w:left w:val="none" w:sz="0" w:space="0" w:color="auto"/>
            <w:bottom w:val="none" w:sz="0" w:space="0" w:color="auto"/>
            <w:right w:val="none" w:sz="0" w:space="0" w:color="auto"/>
          </w:divBdr>
        </w:div>
      </w:divsChild>
    </w:div>
    <w:div w:id="1484815891">
      <w:bodyDiv w:val="1"/>
      <w:marLeft w:val="0"/>
      <w:marRight w:val="0"/>
      <w:marTop w:val="0"/>
      <w:marBottom w:val="0"/>
      <w:divBdr>
        <w:top w:val="none" w:sz="0" w:space="0" w:color="auto"/>
        <w:left w:val="none" w:sz="0" w:space="0" w:color="auto"/>
        <w:bottom w:val="none" w:sz="0" w:space="0" w:color="auto"/>
        <w:right w:val="none" w:sz="0" w:space="0" w:color="auto"/>
      </w:divBdr>
      <w:divsChild>
        <w:div w:id="232589068">
          <w:marLeft w:val="0"/>
          <w:marRight w:val="0"/>
          <w:marTop w:val="0"/>
          <w:marBottom w:val="0"/>
          <w:divBdr>
            <w:top w:val="none" w:sz="0" w:space="0" w:color="auto"/>
            <w:left w:val="none" w:sz="0" w:space="0" w:color="auto"/>
            <w:bottom w:val="none" w:sz="0" w:space="0" w:color="auto"/>
            <w:right w:val="none" w:sz="0" w:space="0" w:color="auto"/>
          </w:divBdr>
        </w:div>
        <w:div w:id="565335333">
          <w:marLeft w:val="0"/>
          <w:marRight w:val="0"/>
          <w:marTop w:val="0"/>
          <w:marBottom w:val="0"/>
          <w:divBdr>
            <w:top w:val="none" w:sz="0" w:space="0" w:color="auto"/>
            <w:left w:val="none" w:sz="0" w:space="0" w:color="auto"/>
            <w:bottom w:val="none" w:sz="0" w:space="0" w:color="auto"/>
            <w:right w:val="none" w:sz="0" w:space="0" w:color="auto"/>
          </w:divBdr>
        </w:div>
        <w:div w:id="697193870">
          <w:marLeft w:val="0"/>
          <w:marRight w:val="0"/>
          <w:marTop w:val="0"/>
          <w:marBottom w:val="0"/>
          <w:divBdr>
            <w:top w:val="none" w:sz="0" w:space="0" w:color="auto"/>
            <w:left w:val="none" w:sz="0" w:space="0" w:color="auto"/>
            <w:bottom w:val="none" w:sz="0" w:space="0" w:color="auto"/>
            <w:right w:val="none" w:sz="0" w:space="0" w:color="auto"/>
          </w:divBdr>
        </w:div>
        <w:div w:id="827478406">
          <w:marLeft w:val="0"/>
          <w:marRight w:val="0"/>
          <w:marTop w:val="0"/>
          <w:marBottom w:val="0"/>
          <w:divBdr>
            <w:top w:val="none" w:sz="0" w:space="0" w:color="auto"/>
            <w:left w:val="none" w:sz="0" w:space="0" w:color="auto"/>
            <w:bottom w:val="none" w:sz="0" w:space="0" w:color="auto"/>
            <w:right w:val="none" w:sz="0" w:space="0" w:color="auto"/>
          </w:divBdr>
        </w:div>
        <w:div w:id="966551635">
          <w:marLeft w:val="0"/>
          <w:marRight w:val="0"/>
          <w:marTop w:val="0"/>
          <w:marBottom w:val="0"/>
          <w:divBdr>
            <w:top w:val="none" w:sz="0" w:space="0" w:color="auto"/>
            <w:left w:val="none" w:sz="0" w:space="0" w:color="auto"/>
            <w:bottom w:val="none" w:sz="0" w:space="0" w:color="auto"/>
            <w:right w:val="none" w:sz="0" w:space="0" w:color="auto"/>
          </w:divBdr>
        </w:div>
        <w:div w:id="1186093326">
          <w:marLeft w:val="0"/>
          <w:marRight w:val="0"/>
          <w:marTop w:val="0"/>
          <w:marBottom w:val="0"/>
          <w:divBdr>
            <w:top w:val="none" w:sz="0" w:space="0" w:color="auto"/>
            <w:left w:val="none" w:sz="0" w:space="0" w:color="auto"/>
            <w:bottom w:val="none" w:sz="0" w:space="0" w:color="auto"/>
            <w:right w:val="none" w:sz="0" w:space="0" w:color="auto"/>
          </w:divBdr>
        </w:div>
        <w:div w:id="1564297766">
          <w:marLeft w:val="0"/>
          <w:marRight w:val="0"/>
          <w:marTop w:val="0"/>
          <w:marBottom w:val="0"/>
          <w:divBdr>
            <w:top w:val="none" w:sz="0" w:space="0" w:color="auto"/>
            <w:left w:val="none" w:sz="0" w:space="0" w:color="auto"/>
            <w:bottom w:val="none" w:sz="0" w:space="0" w:color="auto"/>
            <w:right w:val="none" w:sz="0" w:space="0" w:color="auto"/>
          </w:divBdr>
        </w:div>
        <w:div w:id="18922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6661</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CASO  1234 REVISIÓN</vt:lpstr>
      <vt:lpstr>RESOLUCIÓN CASO  1234 REVISIÓN</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1234 REVISIÓN</dc:title>
  <dc:subject/>
  <dc:creator>MARCO ANTONIO ORTEGA PIANA</dc:creator>
  <cp:keywords/>
  <cp:lastModifiedBy>Sandro Hurtado</cp:lastModifiedBy>
  <cp:revision>2</cp:revision>
  <cp:lastPrinted>2020-07-06T13:54:00Z</cp:lastPrinted>
  <dcterms:created xsi:type="dcterms:W3CDTF">2021-04-14T21:29:00Z</dcterms:created>
  <dcterms:modified xsi:type="dcterms:W3CDTF">2021-04-14T21:29:00Z</dcterms:modified>
</cp:coreProperties>
</file>