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E0E96" w14:textId="086C7B36" w:rsidR="00707C99" w:rsidRPr="003A005D" w:rsidRDefault="00201C0D" w:rsidP="00272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 w:eastAsia="ar-SA"/>
        </w:rPr>
      </w:pPr>
      <w:r w:rsidRPr="003A005D">
        <w:rPr>
          <w:rFonts w:ascii="Times New Roman" w:hAnsi="Times New Roman" w:cs="Times New Roman"/>
          <w:b/>
          <w:sz w:val="24"/>
          <w:szCs w:val="24"/>
          <w:lang w:val="es-MX" w:eastAsia="ar-SA"/>
        </w:rPr>
        <w:t xml:space="preserve">RESOLUCIÓN DE RECURSO IMPUGNATIVO </w:t>
      </w:r>
      <w:proofErr w:type="spellStart"/>
      <w:r w:rsidR="00707C99" w:rsidRPr="003A005D">
        <w:rPr>
          <w:rFonts w:ascii="Times New Roman" w:hAnsi="Times New Roman" w:cs="Times New Roman"/>
          <w:b/>
          <w:sz w:val="24"/>
          <w:szCs w:val="24"/>
          <w:lang w:val="es-MX" w:eastAsia="ar-SA"/>
        </w:rPr>
        <w:t>N</w:t>
      </w:r>
      <w:r w:rsidR="003A005D" w:rsidRPr="003A005D">
        <w:rPr>
          <w:rFonts w:ascii="Times New Roman" w:hAnsi="Times New Roman" w:cs="Times New Roman"/>
          <w:b/>
          <w:sz w:val="24"/>
          <w:szCs w:val="24"/>
          <w:lang w:val="es-MX" w:eastAsia="ar-SA"/>
        </w:rPr>
        <w:t>°</w:t>
      </w:r>
      <w:proofErr w:type="spellEnd"/>
      <w:r w:rsidR="003A005D" w:rsidRPr="003A005D">
        <w:rPr>
          <w:rFonts w:ascii="Times New Roman" w:hAnsi="Times New Roman" w:cs="Times New Roman"/>
          <w:b/>
          <w:sz w:val="24"/>
          <w:szCs w:val="24"/>
          <w:lang w:val="es-MX" w:eastAsia="ar-SA"/>
        </w:rPr>
        <w:t xml:space="preserve"> 0</w:t>
      </w:r>
      <w:r w:rsidR="00146F5D">
        <w:rPr>
          <w:rFonts w:ascii="Times New Roman" w:hAnsi="Times New Roman" w:cs="Times New Roman"/>
          <w:b/>
          <w:sz w:val="24"/>
          <w:szCs w:val="24"/>
          <w:lang w:val="es-MX" w:eastAsia="ar-SA"/>
        </w:rPr>
        <w:t>37/20</w:t>
      </w:r>
    </w:p>
    <w:p w14:paraId="428240E5" w14:textId="06F06948" w:rsidR="00707C99" w:rsidRPr="003A005D" w:rsidRDefault="00707C99" w:rsidP="00272F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</w:pPr>
    </w:p>
    <w:p w14:paraId="500397C4" w14:textId="77777777" w:rsidR="00B32325" w:rsidRPr="003A005D" w:rsidRDefault="00B32325" w:rsidP="00272F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</w:pPr>
    </w:p>
    <w:p w14:paraId="1F0B0D14" w14:textId="77777777" w:rsidR="00707C99" w:rsidRPr="003A005D" w:rsidRDefault="00707C99" w:rsidP="00272F4F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</w:pPr>
      <w:r w:rsidRPr="003A005D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  <w:t>Vistos:</w:t>
      </w:r>
    </w:p>
    <w:p w14:paraId="06017722" w14:textId="3C12A7E0" w:rsidR="00707C99" w:rsidRPr="003A005D" w:rsidRDefault="00582D26" w:rsidP="00B802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</w:pPr>
      <w:r w:rsidRPr="003A005D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  <w:t xml:space="preserve">   </w:t>
      </w:r>
    </w:p>
    <w:p w14:paraId="6806CD49" w14:textId="456C10B4" w:rsidR="00966813" w:rsidRPr="003A005D" w:rsidRDefault="00707C99" w:rsidP="00290CA4">
      <w:pPr>
        <w:tabs>
          <w:tab w:val="left" w:pos="0"/>
          <w:tab w:val="left" w:pos="708"/>
          <w:tab w:val="left" w:pos="1416"/>
          <w:tab w:val="left" w:pos="2160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</w:pPr>
      <w:r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El </w:t>
      </w:r>
      <w:r w:rsidR="0032132E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recurso</w:t>
      </w:r>
      <w:r w:rsidR="00201C0D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</w:t>
      </w:r>
      <w:r w:rsidR="00FF41F3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de impugnación </w:t>
      </w:r>
      <w:r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presentado el</w:t>
      </w:r>
      <w:r w:rsidR="00B625F2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</w:t>
      </w:r>
      <w:r w:rsidR="00966813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1</w:t>
      </w:r>
      <w:r w:rsidR="00290CA4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de juli</w:t>
      </w:r>
      <w:r w:rsidR="004E65DD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o</w:t>
      </w:r>
      <w:r w:rsidR="009272D7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</w:t>
      </w:r>
      <w:r w:rsidR="00A25F51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de 20</w:t>
      </w:r>
      <w:r w:rsidR="0081754D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20 por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4239A4">
        <w:rPr>
          <w:rFonts w:ascii="Arial" w:hAnsi="Arial" w:cs="Arial"/>
          <w:sz w:val="24"/>
          <w:szCs w:val="24"/>
        </w:rPr>
        <w:t xml:space="preserve"> </w:t>
      </w:r>
      <w:r w:rsidR="0081754D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respecto de la Resolución Nro. 0</w:t>
      </w:r>
      <w:r w:rsidR="00966813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48</w:t>
      </w:r>
      <w:r w:rsidR="0081754D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/20, de</w:t>
      </w:r>
      <w:r w:rsidR="00290CA4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l </w:t>
      </w:r>
      <w:r w:rsidR="00966813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22</w:t>
      </w:r>
      <w:r w:rsidR="00290CA4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de ju</w:t>
      </w:r>
      <w:r w:rsidR="00966813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ni</w:t>
      </w:r>
      <w:r w:rsidR="00290CA4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o</w:t>
      </w:r>
      <w:r w:rsidR="0081754D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de 2020, emitida por esta Defensoría del Asegurado (DEFASEG), que decl</w:t>
      </w:r>
      <w:r w:rsidR="00290CA4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aró FUNDADA</w:t>
      </w:r>
      <w:r w:rsidR="0081754D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966813" w:rsidRPr="003A005D">
        <w:rPr>
          <w:rFonts w:ascii="Times New Roman" w:hAnsi="Times New Roman" w:cs="Times New Roman"/>
          <w:sz w:val="24"/>
          <w:szCs w:val="24"/>
          <w:lang w:val="es-PE"/>
        </w:rPr>
        <w:t>l</w:t>
      </w:r>
      <w:r w:rsidR="00966813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>a</w:t>
      </w:r>
      <w:r w:rsidR="0081754D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reclamación </w:t>
      </w:r>
      <w:r w:rsidR="00966813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interpuesta por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966813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</w:t>
      </w:r>
      <w:r w:rsidR="00C9791B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>sobre</w:t>
      </w:r>
      <w:r w:rsidR="0081754D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otorg</w:t>
      </w:r>
      <w:r w:rsidR="00C9791B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>amiento de</w:t>
      </w:r>
      <w:r w:rsidR="0081754D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cobertura</w:t>
      </w:r>
      <w:r w:rsidR="00290CA4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</w:t>
      </w:r>
      <w:r w:rsidR="00966813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>al siniestro vehicular ocurrido el 9 de agosto de 2019, conforme a la correspondiente póliza vehicular;</w:t>
      </w:r>
    </w:p>
    <w:p w14:paraId="2472E3AB" w14:textId="77777777" w:rsidR="00966813" w:rsidRPr="003A005D" w:rsidRDefault="00966813" w:rsidP="00290CA4">
      <w:pPr>
        <w:tabs>
          <w:tab w:val="left" w:pos="0"/>
          <w:tab w:val="left" w:pos="708"/>
          <w:tab w:val="left" w:pos="1416"/>
          <w:tab w:val="left" w:pos="2160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</w:pPr>
    </w:p>
    <w:p w14:paraId="74EB6C0A" w14:textId="5A5C48D3" w:rsidR="00966813" w:rsidRPr="003A005D" w:rsidRDefault="00707C99" w:rsidP="00C72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</w:pPr>
      <w:r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Que, </w:t>
      </w:r>
      <w:r w:rsidR="00F16CF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a través de</w:t>
      </w:r>
      <w:r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l señalado recurso</w:t>
      </w:r>
      <w:r w:rsidR="003F1B5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,</w:t>
      </w:r>
      <w:r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4E65DD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la</w:t>
      </w:r>
      <w:r w:rsidR="00440BC2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080A9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aseguradora</w:t>
      </w:r>
      <w:r w:rsidR="00857988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9272D7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impugna l</w:t>
      </w:r>
      <w:r w:rsidR="003F1B5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o resuelto por la DEFASEG</w:t>
      </w:r>
      <w:r w:rsidR="00465FB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, solicitando</w:t>
      </w:r>
      <w:r w:rsidR="005201E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que se revoque la resolución recurrida</w:t>
      </w:r>
      <w:r w:rsidR="00582D26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y </w:t>
      </w:r>
      <w:r w:rsidR="0096681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se desestime la reclamación por los fundamentos siguientes: a) </w:t>
      </w:r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Dado que en el numeral 6.6. de la resolución recurrida se expresa que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4239A4">
        <w:rPr>
          <w:rFonts w:ascii="Arial" w:hAnsi="Arial" w:cs="Arial"/>
          <w:sz w:val="24"/>
          <w:szCs w:val="24"/>
        </w:rPr>
        <w:t xml:space="preserve"> </w:t>
      </w:r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no ha acreditado suficientemente la existencia de una supuesta reclamación </w:t>
      </w:r>
      <w:proofErr w:type="gramStart"/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fraudulenta,</w:t>
      </w:r>
      <w:proofErr w:type="gramEnd"/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se destaca en esta oportunidad un aspecto que se desp</w:t>
      </w:r>
      <w:r w:rsidR="00080A9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r</w:t>
      </w:r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ende de los medios probatorios ya presentados y que no ha sido atendido por el colegiado, esto es, que el teléfono </w:t>
      </w:r>
      <w:r w:rsidR="004239A4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de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estaba en posesión del supuesto conductor,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al momento en que el procurador de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se presentó, quien cuidó dejar constancia que quien reportó el accidente fue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quien manifestó que el conductor era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con teléfono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siendo que en el lugar </w:t>
      </w:r>
      <w:r w:rsidR="001508BC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de</w:t>
      </w:r>
      <w:r w:rsidR="00E1477F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los hechos encontró </w:t>
      </w:r>
      <w:r w:rsidR="004239A4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a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quien tenía dicho teléfono, lo cual prueba la suplantación el conductor, siendo que de acuerdo al SOAT contratado dicho teléfono era </w:t>
      </w:r>
      <w:r w:rsidR="004239A4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de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, quien figura como contratante/propietario, b) Otro aspecto a considerar son las horas relativ</w:t>
      </w:r>
      <w:r w:rsidR="00080A9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a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s a lo sucedido; en efecto, el accidente habría ocurrido a las 9:40 a.m., siendo que el procurador recién se constituyó en el lugar a las 13.45 p.m., y la patrulla PNP se presentó a las 14:00 p.m., de manera que hubo un espacio de tiempo lo suficientemente amplio para permitir la suplantación</w:t>
      </w:r>
      <w:r w:rsidR="00080A9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del conductor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</w:t>
      </w:r>
      <w:r w:rsidR="00080A9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y 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c) De otro lado, se destacan las inconsistencias entre las declaraciones, ya que en las declaraciones de los señores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4239A4">
        <w:rPr>
          <w:rFonts w:ascii="Arial" w:hAnsi="Arial" w:cs="Arial"/>
          <w:sz w:val="24"/>
          <w:szCs w:val="24"/>
        </w:rPr>
        <w:t xml:space="preserve"> 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y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se identifica como propietario a este último; empero, en la póliza contratada y en la información registral aparece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quien es el actual reclamante, siendo además que carece de sentido que si el vehículo fue prestado </w:t>
      </w:r>
      <w:r w:rsidR="00FB5E23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a </w:t>
      </w:r>
      <w:r w:rsidR="00FB5E23" w:rsidRPr="00B23FC0">
        <w:rPr>
          <w:rFonts w:ascii="Arial" w:hAnsi="Arial" w:cs="Arial"/>
          <w:sz w:val="24"/>
          <w:szCs w:val="24"/>
        </w:rPr>
        <w:t>...................</w:t>
      </w:r>
      <w:r w:rsidR="00FB5E23">
        <w:rPr>
          <w:rFonts w:ascii="Arial" w:hAnsi="Arial" w:cs="Arial"/>
          <w:sz w:val="24"/>
          <w:szCs w:val="24"/>
        </w:rPr>
        <w:t xml:space="preserve"> 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para sus desplazamientos, te</w:t>
      </w:r>
      <w:r w:rsidR="007A4EA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rmine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finalmente s</w:t>
      </w:r>
      <w:r w:rsidR="007A4EA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i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e</w:t>
      </w:r>
      <w:r w:rsidR="007A4EA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n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do u</w:t>
      </w:r>
      <w:r w:rsidR="007A4EA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s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ado por un tercero, el p</w:t>
      </w:r>
      <w:r w:rsidR="007A4EA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r</w:t>
      </w:r>
      <w:r w:rsidR="00ED6123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etendido conductor</w:t>
      </w:r>
      <w:r w:rsidR="00080A9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.</w:t>
      </w:r>
      <w:r w:rsidR="007A4EA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Conforme a lo anterior, </w:t>
      </w:r>
      <w:r w:rsidR="00080A9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concluye </w:t>
      </w:r>
      <w:r w:rsidR="00FB5E23" w:rsidRPr="00B23FC0">
        <w:rPr>
          <w:rFonts w:ascii="Arial" w:hAnsi="Arial" w:cs="Arial"/>
          <w:sz w:val="24"/>
          <w:szCs w:val="24"/>
        </w:rPr>
        <w:t>...................</w:t>
      </w:r>
      <w:r w:rsidR="00080A9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</w:t>
      </w:r>
      <w:r w:rsidR="007A4EA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en el caso</w:t>
      </w:r>
      <w:r w:rsidR="00080A9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concreto</w:t>
      </w:r>
      <w:r w:rsidR="007A4EA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existe más que una sola prueba aislada</w:t>
      </w:r>
      <w:r w:rsidR="00080A9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, lo cual</w:t>
      </w:r>
      <w:r w:rsidR="007A4EA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da cuenta de la suplantación de la identidad del conductor, por lo que la reclamación debe considerarse infundada;</w:t>
      </w:r>
    </w:p>
    <w:p w14:paraId="579074D3" w14:textId="77777777" w:rsidR="007A4EA9" w:rsidRPr="003A005D" w:rsidRDefault="007A4EA9" w:rsidP="00C72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</w:pPr>
    </w:p>
    <w:p w14:paraId="3814D730" w14:textId="00BB0865" w:rsidR="00871F40" w:rsidRPr="003A005D" w:rsidRDefault="00707C99" w:rsidP="00CC6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</w:pPr>
      <w:r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Que, </w:t>
      </w:r>
      <w:r w:rsidR="001A008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el señalado</w:t>
      </w:r>
      <w:r w:rsidR="00974D2D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recurso </w:t>
      </w:r>
      <w:r w:rsidR="001A008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impugnativo </w:t>
      </w:r>
      <w:r w:rsidR="00974D2D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fue</w:t>
      </w:r>
      <w:r w:rsidR="00083F50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objeto de</w:t>
      </w:r>
      <w:r w:rsidR="00974D2D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083F50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traslad</w:t>
      </w:r>
      <w:r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o a</w:t>
      </w:r>
      <w:r w:rsidR="007A4EA9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l reclamante</w:t>
      </w:r>
      <w:r w:rsidR="00871F40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quien </w:t>
      </w:r>
      <w:r w:rsidR="00624034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mediante escrito presentado el </w:t>
      </w:r>
      <w:r w:rsidR="00871F40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10</w:t>
      </w:r>
      <w:r w:rsidR="00010987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de </w:t>
      </w:r>
      <w:r w:rsidR="00871F40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juli</w:t>
      </w:r>
      <w:r w:rsidR="00624034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o de 2020 </w:t>
      </w:r>
      <w:r w:rsidR="0002637D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absolvió</w:t>
      </w:r>
      <w:r w:rsidR="00070DB6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080A9A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el </w:t>
      </w:r>
      <w:r w:rsidR="00070DB6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respectivo</w:t>
      </w:r>
      <w:r w:rsidR="0002637D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trámite, </w:t>
      </w:r>
      <w:r w:rsidR="00BB2152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solicitando</w:t>
      </w:r>
      <w:r w:rsidR="00070DB6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finalmente </w:t>
      </w:r>
      <w:r w:rsidR="00BB2152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que la impugnación sea desestimada,</w:t>
      </w:r>
      <w:r w:rsidR="00070DB6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brindando explicaciones a lo que estima son imputaciones que no se ajustan a la realidad, destacando que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4239A4">
        <w:rPr>
          <w:rFonts w:ascii="Arial" w:hAnsi="Arial" w:cs="Arial"/>
          <w:sz w:val="24"/>
          <w:szCs w:val="24"/>
        </w:rPr>
        <w:t xml:space="preserve"> </w:t>
      </w:r>
      <w:r w:rsidR="00070DB6" w:rsidRPr="003A005D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se limita a impugnar lo resuelto invocando lo que estima como indicios adicionales; </w:t>
      </w:r>
    </w:p>
    <w:p w14:paraId="5C58B4F2" w14:textId="77777777" w:rsidR="00624034" w:rsidRPr="003A005D" w:rsidRDefault="00624034" w:rsidP="00B802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</w:pPr>
    </w:p>
    <w:p w14:paraId="18019E73" w14:textId="77777777" w:rsidR="00707C99" w:rsidRPr="003A005D" w:rsidRDefault="00707C99" w:rsidP="00B802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</w:pPr>
      <w:r w:rsidRPr="003A005D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  <w:t>Considerando:</w:t>
      </w:r>
    </w:p>
    <w:p w14:paraId="11287361" w14:textId="77777777" w:rsidR="00707C99" w:rsidRPr="003A005D" w:rsidRDefault="00707C99" w:rsidP="00B802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14:paraId="6D94CE30" w14:textId="7B54A30B" w:rsidR="007261FD" w:rsidRPr="003A005D" w:rsidRDefault="00BD797F" w:rsidP="00B80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3A005D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Primero</w:t>
      </w:r>
      <w:r w:rsidRPr="003A005D">
        <w:rPr>
          <w:rFonts w:ascii="Times New Roman" w:hAnsi="Times New Roman" w:cs="Times New Roman"/>
          <w:b/>
          <w:sz w:val="24"/>
          <w:szCs w:val="24"/>
          <w:lang w:val="es-PE"/>
        </w:rPr>
        <w:t>:</w:t>
      </w:r>
      <w:r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201C0D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El Reglamento de la DEFASEG </w:t>
      </w:r>
      <w:r w:rsidR="00201C0D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>(http://ww</w:t>
      </w:r>
      <w:r w:rsidR="00A16942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>w.defaseg.com.pe/reglamento</w:t>
      </w:r>
      <w:r w:rsidR="00201C0D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), en su artículo 10, </w:t>
      </w:r>
      <w:r w:rsidR="00201C0D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establece que la parte que no se encuentre de acuerdo con lo resuelto </w:t>
      </w:r>
      <w:r w:rsidR="000010A4" w:rsidRPr="003A005D">
        <w:rPr>
          <w:rFonts w:ascii="Times New Roman" w:hAnsi="Times New Roman" w:cs="Times New Roman"/>
          <w:sz w:val="24"/>
          <w:szCs w:val="24"/>
          <w:lang w:val="es-PE"/>
        </w:rPr>
        <w:t>en su oportunidad</w:t>
      </w:r>
      <w:r w:rsidR="00201C0D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podrá impugnarlo, interponiendo el correspondiente recurso. De manera complementaria, el artículo 11 del indicado reglamento dispone que, el </w:t>
      </w:r>
      <w:r w:rsidR="00201C0D" w:rsidRPr="003A005D">
        <w:rPr>
          <w:rFonts w:ascii="Times New Roman" w:hAnsi="Times New Roman" w:cs="Times New Roman"/>
          <w:sz w:val="24"/>
          <w:szCs w:val="24"/>
          <w:lang w:val="es-ES"/>
        </w:rPr>
        <w:t>usuario de seguro recurre en forma voluntaria a la Defensoría, siendo que la presentación de una reclamación n</w:t>
      </w:r>
      <w:r w:rsidR="00201C0D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o </w:t>
      </w:r>
      <w:r w:rsidR="00201C0D" w:rsidRPr="003A005D">
        <w:rPr>
          <w:rFonts w:ascii="Times New Roman" w:hAnsi="Times New Roman" w:cs="Times New Roman"/>
          <w:sz w:val="24"/>
          <w:szCs w:val="24"/>
          <w:lang w:val="es-PE"/>
        </w:rPr>
        <w:lastRenderedPageBreak/>
        <w:t>limita su derecho a recurrir posteriormente ante el órgano administrativo o jurisdiccional que considere pertinente.  Conforme a lo anterior,</w:t>
      </w:r>
      <w:r w:rsidR="00D22DC3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201C0D" w:rsidRPr="003A005D">
        <w:rPr>
          <w:rFonts w:ascii="Times New Roman" w:hAnsi="Times New Roman" w:cs="Times New Roman"/>
          <w:sz w:val="24"/>
          <w:szCs w:val="24"/>
          <w:lang w:val="es-PE"/>
        </w:rPr>
        <w:t>si el asegurado no se encuentra conforme con lo que sea finalmente resuelto, la respectiva resolución no lo compromete ni le restringe la posibilidad de poder recurrir a las instancias correspondientes, a diferencia de la aseguradora que sí queda comprometida con lo resuelto</w:t>
      </w:r>
      <w:r w:rsidR="00A16942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por la DEFASEG</w:t>
      </w:r>
      <w:r w:rsidR="00201C0D" w:rsidRPr="003A005D">
        <w:rPr>
          <w:rFonts w:ascii="Times New Roman" w:hAnsi="Times New Roman" w:cs="Times New Roman"/>
          <w:sz w:val="24"/>
          <w:szCs w:val="24"/>
          <w:lang w:val="es-PE"/>
        </w:rPr>
        <w:t>.</w:t>
      </w:r>
    </w:p>
    <w:p w14:paraId="79AEFDFF" w14:textId="77777777" w:rsidR="00857988" w:rsidRPr="003A005D" w:rsidRDefault="00857988" w:rsidP="00B80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426787BE" w14:textId="7551926C" w:rsidR="00070DB6" w:rsidRPr="003A005D" w:rsidRDefault="001D0EED" w:rsidP="00070DB6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005D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Segundo</w:t>
      </w:r>
      <w:r w:rsidR="00BD797F" w:rsidRPr="003A005D">
        <w:rPr>
          <w:rFonts w:ascii="Times New Roman" w:hAnsi="Times New Roman" w:cs="Times New Roman"/>
          <w:b/>
          <w:sz w:val="24"/>
          <w:szCs w:val="24"/>
          <w:lang w:val="es-PE"/>
        </w:rPr>
        <w:t>:</w:t>
      </w:r>
      <w:r w:rsidR="00BD797F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De la lectura de</w:t>
      </w:r>
      <w:r w:rsidR="006D397E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l recurso </w:t>
      </w:r>
      <w:r w:rsidR="00EA4C4B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impugnativo </w:t>
      </w:r>
      <w:r w:rsidR="006D397E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de vistos </w:t>
      </w:r>
      <w:r w:rsidR="00BD797F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se aprecia que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C67E5D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1D59D9" w:rsidRPr="003A005D">
        <w:rPr>
          <w:rFonts w:ascii="Times New Roman" w:hAnsi="Times New Roman" w:cs="Times New Roman"/>
          <w:sz w:val="24"/>
          <w:szCs w:val="24"/>
          <w:lang w:val="es-PE"/>
        </w:rPr>
        <w:t>impugna l</w:t>
      </w:r>
      <w:r w:rsidR="00A3714C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o resuelto </w:t>
      </w:r>
      <w:r w:rsidR="00460C30" w:rsidRPr="003A005D">
        <w:rPr>
          <w:rFonts w:ascii="Times New Roman" w:hAnsi="Times New Roman" w:cs="Times New Roman"/>
          <w:sz w:val="24"/>
          <w:szCs w:val="24"/>
          <w:lang w:val="es-PE"/>
        </w:rPr>
        <w:t>en su oportunidad</w:t>
      </w:r>
      <w:r w:rsidR="00B00552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EA4C4B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invocando argumentos que </w:t>
      </w:r>
      <w:r w:rsidR="00187BFD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no inciden </w:t>
      </w:r>
      <w:r w:rsidR="00F439B5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propiamente </w:t>
      </w:r>
      <w:r w:rsidR="00187BFD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en lo que </w:t>
      </w:r>
      <w:r w:rsidR="003B3A93" w:rsidRPr="003A005D">
        <w:rPr>
          <w:rFonts w:ascii="Times New Roman" w:hAnsi="Times New Roman" w:cs="Times New Roman"/>
          <w:sz w:val="24"/>
          <w:szCs w:val="24"/>
          <w:lang w:val="es-PE"/>
        </w:rPr>
        <w:t>fue</w:t>
      </w:r>
      <w:r w:rsidR="00187BFD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objeto de análisis y calificación</w:t>
      </w:r>
      <w:r w:rsidR="003B3A93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080A9A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en </w:t>
      </w:r>
      <w:r w:rsidR="003B3A93" w:rsidRPr="003A005D">
        <w:rPr>
          <w:rFonts w:ascii="Times New Roman" w:hAnsi="Times New Roman" w:cs="Times New Roman"/>
          <w:sz w:val="24"/>
          <w:szCs w:val="24"/>
          <w:lang w:val="es-PE"/>
        </w:rPr>
        <w:t>la resolución recurrida</w:t>
      </w:r>
      <w:r w:rsidR="00EA4C4B" w:rsidRPr="003A005D">
        <w:rPr>
          <w:rFonts w:ascii="Times New Roman" w:hAnsi="Times New Roman" w:cs="Times New Roman"/>
          <w:sz w:val="24"/>
          <w:szCs w:val="24"/>
          <w:lang w:val="es-PE"/>
        </w:rPr>
        <w:t>,</w:t>
      </w:r>
      <w:r w:rsidR="00080A9A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no</w:t>
      </w:r>
      <w:r w:rsidR="00EA4C4B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070DB6" w:rsidRPr="003A005D">
        <w:rPr>
          <w:rFonts w:ascii="Times New Roman" w:hAnsi="Times New Roman" w:cs="Times New Roman"/>
          <w:sz w:val="24"/>
          <w:szCs w:val="24"/>
          <w:lang w:val="es-PE"/>
        </w:rPr>
        <w:t>aport</w:t>
      </w:r>
      <w:r w:rsidR="00080A9A" w:rsidRPr="003A005D">
        <w:rPr>
          <w:rFonts w:ascii="Times New Roman" w:hAnsi="Times New Roman" w:cs="Times New Roman"/>
          <w:sz w:val="24"/>
          <w:szCs w:val="24"/>
          <w:lang w:val="es-PE"/>
        </w:rPr>
        <w:t>á</w:t>
      </w:r>
      <w:r w:rsidR="00070DB6" w:rsidRPr="003A005D">
        <w:rPr>
          <w:rFonts w:ascii="Times New Roman" w:hAnsi="Times New Roman" w:cs="Times New Roman"/>
          <w:sz w:val="24"/>
          <w:szCs w:val="24"/>
          <w:lang w:val="es-PE"/>
        </w:rPr>
        <w:t>ndo</w:t>
      </w:r>
      <w:r w:rsidR="00080A9A" w:rsidRPr="003A005D">
        <w:rPr>
          <w:rFonts w:ascii="Times New Roman" w:hAnsi="Times New Roman" w:cs="Times New Roman"/>
          <w:sz w:val="24"/>
          <w:szCs w:val="24"/>
          <w:lang w:val="es-PE"/>
        </w:rPr>
        <w:t>se</w:t>
      </w:r>
      <w:r w:rsidR="00070DB6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nuevos medios probatorios que permitan sustentar objetivamente sus imputaciones sobre reclamación fraudulenta, siendo que no se aprecia consistencia entre sus nuevas alegaciones y las conclusiones que presenta para sustentar su pedido de revocación de lo ya resuelto.  Conforme a ello, </w:t>
      </w:r>
      <w:r w:rsidR="00070DB6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el contenido del señalado recurso impugnativo evidencia simplemente la disconformidad de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4239A4">
        <w:rPr>
          <w:rFonts w:ascii="Arial" w:hAnsi="Arial" w:cs="Arial"/>
          <w:sz w:val="24"/>
          <w:szCs w:val="24"/>
        </w:rPr>
        <w:t xml:space="preserve"> </w:t>
      </w:r>
      <w:r w:rsidR="00070DB6" w:rsidRPr="003A005D">
        <w:rPr>
          <w:rFonts w:ascii="Times New Roman" w:hAnsi="Times New Roman" w:cs="Times New Roman"/>
          <w:sz w:val="24"/>
          <w:szCs w:val="24"/>
          <w:lang w:val="es-ES"/>
        </w:rPr>
        <w:t>con el sentido de lo resuelto</w:t>
      </w:r>
      <w:r w:rsidR="00613A39" w:rsidRPr="003A005D">
        <w:rPr>
          <w:rFonts w:ascii="Times New Roman" w:hAnsi="Times New Roman" w:cs="Times New Roman"/>
          <w:sz w:val="24"/>
          <w:szCs w:val="24"/>
          <w:lang w:val="es-ES"/>
        </w:rPr>
        <w:t>, siendo que</w:t>
      </w:r>
      <w:r w:rsidR="00080A9A" w:rsidRPr="003A005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13A39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por su contenido</w:t>
      </w:r>
      <w:r w:rsidR="00080A9A" w:rsidRPr="003A005D">
        <w:rPr>
          <w:rFonts w:ascii="Times New Roman" w:hAnsi="Times New Roman" w:cs="Times New Roman"/>
          <w:sz w:val="24"/>
          <w:szCs w:val="24"/>
          <w:lang w:val="es-ES"/>
        </w:rPr>
        <w:t>, dicho recurso</w:t>
      </w:r>
      <w:r w:rsidR="00070DB6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puede ser categorizado</w:t>
      </w:r>
      <w:r w:rsidR="00613A39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70DB6" w:rsidRPr="003A005D">
        <w:rPr>
          <w:rFonts w:ascii="Times New Roman" w:hAnsi="Times New Roman" w:cs="Times New Roman"/>
          <w:sz w:val="24"/>
          <w:szCs w:val="24"/>
          <w:lang w:val="es-ES"/>
        </w:rPr>
        <w:t>como una solicitud de revisión general, sustentado en el criterio de la aseguradora que este colegiado no comparte, sin aportar argumento o medio probatorio alguno que permita a este colegiado apreciar</w:t>
      </w:r>
      <w:r w:rsidR="00613A39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ciertamente</w:t>
      </w:r>
      <w:r w:rsidR="00070DB6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que habría incurrido en un error o vicio al momento de resolver</w:t>
      </w:r>
      <w:r w:rsidR="00613A39" w:rsidRPr="003A005D">
        <w:rPr>
          <w:rFonts w:ascii="Times New Roman" w:hAnsi="Times New Roman" w:cs="Times New Roman"/>
          <w:sz w:val="24"/>
          <w:szCs w:val="24"/>
          <w:lang w:val="es-ES"/>
        </w:rPr>
        <w:t>, dado que por los indicios presentados debería concluirse en la razonabilidad de las conclusiones de la aseguradora</w:t>
      </w:r>
      <w:r w:rsidR="00080A9A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sobre la existencia de</w:t>
      </w:r>
      <w:r w:rsidR="00613A39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una reclamación fraudulenta, conclusión que esta Defensoría no suscribe porque lo que se expresa de la relectura de los medios probatorios no permite concluir que media</w:t>
      </w:r>
      <w:r w:rsidR="00080A9A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necesariamente</w:t>
      </w:r>
      <w:r w:rsidR="00613A39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una reclamación fraudulenta, manteniéndose el rechazo sustentad</w:t>
      </w:r>
      <w:r w:rsidR="003E0CC2" w:rsidRPr="003A005D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613A39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en lo que son especulaciones,</w:t>
      </w:r>
      <w:r w:rsidR="003E0CC2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entendiéndose por éstas a afirmaciones que carecen de refrendo probatorio cierto,</w:t>
      </w:r>
      <w:r w:rsidR="00613A39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dad</w:t>
      </w:r>
      <w:r w:rsidR="003E0CC2" w:rsidRPr="003A005D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613A39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que los indicios probatorios a los que refiere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4239A4">
        <w:rPr>
          <w:rFonts w:ascii="Arial" w:hAnsi="Arial" w:cs="Arial"/>
          <w:sz w:val="24"/>
          <w:szCs w:val="24"/>
        </w:rPr>
        <w:t xml:space="preserve"> </w:t>
      </w:r>
      <w:r w:rsidR="00613A39" w:rsidRPr="003A005D">
        <w:rPr>
          <w:rFonts w:ascii="Times New Roman" w:hAnsi="Times New Roman" w:cs="Times New Roman"/>
          <w:sz w:val="24"/>
          <w:szCs w:val="24"/>
          <w:lang w:val="es-ES"/>
        </w:rPr>
        <w:t>no son unívocos, no permiten concluir en lo que se pretende concluir.</w:t>
      </w:r>
    </w:p>
    <w:p w14:paraId="1B8D4B04" w14:textId="77777777" w:rsidR="00613A39" w:rsidRPr="003A005D" w:rsidRDefault="00613A39" w:rsidP="00070DB6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A0EB726" w14:textId="6544F48E" w:rsidR="00070DB6" w:rsidRPr="003A005D" w:rsidRDefault="00613A39" w:rsidP="00613A39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005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070DB6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in perjuicio de </w:t>
      </w:r>
      <w:r w:rsidRPr="003A005D">
        <w:rPr>
          <w:rFonts w:ascii="Times New Roman" w:hAnsi="Times New Roman" w:cs="Times New Roman"/>
          <w:sz w:val="24"/>
          <w:szCs w:val="24"/>
          <w:lang w:val="es-ES"/>
        </w:rPr>
        <w:t>lo expresado</w:t>
      </w:r>
      <w:r w:rsidR="00070DB6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, este colegiado considera necesario </w:t>
      </w:r>
      <w:r w:rsidRPr="003A005D">
        <w:rPr>
          <w:rFonts w:ascii="Times New Roman" w:hAnsi="Times New Roman" w:cs="Times New Roman"/>
          <w:sz w:val="24"/>
          <w:szCs w:val="24"/>
          <w:lang w:val="es-ES"/>
        </w:rPr>
        <w:t>destaca</w:t>
      </w:r>
      <w:r w:rsidR="002768C6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r que las alegaciones expresadas por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4239A4">
        <w:rPr>
          <w:rFonts w:ascii="Arial" w:hAnsi="Arial" w:cs="Arial"/>
          <w:sz w:val="24"/>
          <w:szCs w:val="24"/>
        </w:rPr>
        <w:t xml:space="preserve"> </w:t>
      </w:r>
      <w:r w:rsidR="002768C6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que, en síntesis, </w:t>
      </w:r>
      <w:proofErr w:type="spellStart"/>
      <w:r w:rsidR="002768C6" w:rsidRPr="003A005D">
        <w:rPr>
          <w:rFonts w:ascii="Times New Roman" w:hAnsi="Times New Roman" w:cs="Times New Roman"/>
          <w:sz w:val="24"/>
          <w:szCs w:val="24"/>
          <w:lang w:val="es-ES"/>
        </w:rPr>
        <w:t>reexpresan</w:t>
      </w:r>
      <w:proofErr w:type="spellEnd"/>
      <w:r w:rsidR="002768C6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lo que ya fue materia de calificación al expedirse la resolución recurrida, no modifican lo analizado ni concluido en particular tratándose de los numerales 6.6, 6.7 y 6.8 de la resolución recurrida, siendo que los indicios invocados no generan convicción para llegar a la conclusión extrema de negar cobertura, menos cuando la aseguradora no ha cuidado de presentar medios probatorios adicionales que contribuyan </w:t>
      </w:r>
      <w:r w:rsidR="00080A9A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efectivamente </w:t>
      </w:r>
      <w:r w:rsidR="002768C6" w:rsidRPr="003A005D">
        <w:rPr>
          <w:rFonts w:ascii="Times New Roman" w:hAnsi="Times New Roman" w:cs="Times New Roman"/>
          <w:sz w:val="24"/>
          <w:szCs w:val="24"/>
          <w:lang w:val="es-ES"/>
        </w:rPr>
        <w:t>a generar dicha convicción</w:t>
      </w:r>
      <w:r w:rsidR="003E0CC2" w:rsidRPr="003A005D">
        <w:rPr>
          <w:rFonts w:ascii="Times New Roman" w:hAnsi="Times New Roman" w:cs="Times New Roman"/>
          <w:sz w:val="24"/>
          <w:szCs w:val="24"/>
          <w:lang w:val="es-ES"/>
        </w:rPr>
        <w:t>.  Debe destacarse además que, conforme a ley, la aseguradora no debe sustentar el rechazo en hechos ya conocidos o conocibles en su momento y que no fueron oportunamente invocados, por lo que resulta extemporáneo e impertinente plantear un cuestionamiento sobre la propiedad del vehículo asegurado, cuando el tema en discusión ha sido s</w:t>
      </w:r>
      <w:r w:rsidR="00080A9A" w:rsidRPr="003A005D">
        <w:rPr>
          <w:rFonts w:ascii="Times New Roman" w:hAnsi="Times New Roman" w:cs="Times New Roman"/>
          <w:sz w:val="24"/>
          <w:szCs w:val="24"/>
          <w:lang w:val="es-ES"/>
        </w:rPr>
        <w:t>obre si</w:t>
      </w:r>
      <w:r w:rsidR="003E0CC2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 está probada </w:t>
      </w:r>
      <w:r w:rsidR="00080A9A" w:rsidRPr="003A005D">
        <w:rPr>
          <w:rFonts w:ascii="Times New Roman" w:hAnsi="Times New Roman" w:cs="Times New Roman"/>
          <w:sz w:val="24"/>
          <w:szCs w:val="24"/>
          <w:lang w:val="es-ES"/>
        </w:rPr>
        <w:t xml:space="preserve">o no </w:t>
      </w:r>
      <w:r w:rsidR="003E0CC2" w:rsidRPr="003A005D">
        <w:rPr>
          <w:rFonts w:ascii="Times New Roman" w:hAnsi="Times New Roman" w:cs="Times New Roman"/>
          <w:sz w:val="24"/>
          <w:szCs w:val="24"/>
          <w:lang w:val="es-ES"/>
        </w:rPr>
        <w:t>la pretendida reclamación fraudulenta por suplantación del conductor.</w:t>
      </w:r>
    </w:p>
    <w:p w14:paraId="6F0CC42A" w14:textId="77777777" w:rsidR="00070DB6" w:rsidRPr="003A005D" w:rsidRDefault="00070DB6" w:rsidP="0007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2B2E28" w14:textId="48C4ACD8" w:rsidR="003E0CC2" w:rsidRPr="003A005D" w:rsidRDefault="00F439B5" w:rsidP="0046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3A005D">
        <w:rPr>
          <w:rFonts w:ascii="Times New Roman" w:hAnsi="Times New Roman" w:cs="Times New Roman"/>
          <w:sz w:val="24"/>
          <w:szCs w:val="24"/>
          <w:lang w:val="es-PE"/>
        </w:rPr>
        <w:t>Por consiguiente, e</w:t>
      </w:r>
      <w:r w:rsidR="00460C30" w:rsidRPr="003A005D">
        <w:rPr>
          <w:rFonts w:ascii="Times New Roman" w:hAnsi="Times New Roman" w:cs="Times New Roman"/>
          <w:sz w:val="24"/>
          <w:szCs w:val="24"/>
          <w:lang w:val="es-PE"/>
        </w:rPr>
        <w:t>ste colegiado</w:t>
      </w:r>
      <w:r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460C30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ratifica el análisis y </w:t>
      </w:r>
      <w:r w:rsidR="00946694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las </w:t>
      </w:r>
      <w:r w:rsidR="00460C30" w:rsidRPr="003A005D">
        <w:rPr>
          <w:rFonts w:ascii="Times New Roman" w:hAnsi="Times New Roman" w:cs="Times New Roman"/>
          <w:sz w:val="24"/>
          <w:szCs w:val="24"/>
          <w:lang w:val="es-PE"/>
        </w:rPr>
        <w:t>conclusiones contenidos en</w:t>
      </w:r>
      <w:r w:rsidR="0027301E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la resolución recurrida</w:t>
      </w:r>
      <w:r w:rsidR="003E0CC2" w:rsidRPr="003A005D">
        <w:rPr>
          <w:rFonts w:ascii="Times New Roman" w:hAnsi="Times New Roman" w:cs="Times New Roman"/>
          <w:sz w:val="24"/>
          <w:szCs w:val="24"/>
          <w:lang w:val="es-PE"/>
        </w:rPr>
        <w:t>.</w:t>
      </w:r>
    </w:p>
    <w:p w14:paraId="3C27B402" w14:textId="77777777" w:rsidR="003E0CC2" w:rsidRPr="003A005D" w:rsidRDefault="003E0CC2" w:rsidP="0046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7C9DD1B4" w14:textId="391AE492" w:rsidR="00EE1C4A" w:rsidRPr="003A005D" w:rsidRDefault="00EA4C4B" w:rsidP="00EE1C4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es-ES"/>
        </w:rPr>
      </w:pPr>
      <w:r w:rsidRPr="003A005D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Tercero</w:t>
      </w:r>
      <w:r w:rsidRPr="003A005D">
        <w:rPr>
          <w:rFonts w:ascii="Times New Roman" w:hAnsi="Times New Roman" w:cs="Times New Roman"/>
          <w:b/>
          <w:sz w:val="24"/>
          <w:szCs w:val="24"/>
          <w:lang w:val="es-PE"/>
        </w:rPr>
        <w:t>:</w:t>
      </w:r>
      <w:r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083D69" w:rsidRPr="003A005D">
        <w:rPr>
          <w:rFonts w:ascii="Times New Roman" w:hAnsi="Times New Roman" w:cs="Times New Roman"/>
          <w:sz w:val="24"/>
          <w:szCs w:val="24"/>
          <w:lang w:val="es-PE"/>
        </w:rPr>
        <w:t>Por las consideraciones expuestas</w:t>
      </w:r>
      <w:r w:rsidR="00083D69" w:rsidRPr="003A005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se concluye que el recurso impugnativo no enerva los fundamentos de la resolución recurrida, por lo que corresponde ser desestimado, confirmándose </w:t>
      </w:r>
      <w:r w:rsidR="00083D69" w:rsidRPr="003A005D">
        <w:rPr>
          <w:rFonts w:ascii="Times New Roman" w:hAnsi="Times New Roman" w:cs="Times New Roman"/>
          <w:sz w:val="24"/>
          <w:szCs w:val="24"/>
          <w:lang w:val="es-ES"/>
        </w:rPr>
        <w:t>la resolución de vista.</w:t>
      </w:r>
    </w:p>
    <w:p w14:paraId="59EB6BFC" w14:textId="77777777" w:rsidR="00EE1C4A" w:rsidRPr="003A005D" w:rsidRDefault="00EE1C4A" w:rsidP="00EE1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ar-SA"/>
        </w:rPr>
      </w:pPr>
    </w:p>
    <w:p w14:paraId="3AC2A441" w14:textId="627FE7D2" w:rsidR="00BF1421" w:rsidRPr="003A005D" w:rsidRDefault="00BF1421" w:rsidP="00B80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3A005D">
        <w:rPr>
          <w:rFonts w:ascii="Times New Roman" w:hAnsi="Times New Roman" w:cs="Times New Roman"/>
          <w:b/>
          <w:sz w:val="24"/>
          <w:szCs w:val="24"/>
          <w:lang w:val="es-PE"/>
        </w:rPr>
        <w:t>Atendiendo a lo expresado, conforme a su Reglamento, este colegiado resuelve:</w:t>
      </w:r>
    </w:p>
    <w:p w14:paraId="7847A8E8" w14:textId="77777777" w:rsidR="00DB58EC" w:rsidRPr="003A005D" w:rsidRDefault="00DB58EC" w:rsidP="00B8028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es-PE"/>
        </w:rPr>
      </w:pPr>
    </w:p>
    <w:p w14:paraId="39BAC841" w14:textId="28FC81F9" w:rsidR="00F06498" w:rsidRPr="003A005D" w:rsidRDefault="00BF1421" w:rsidP="00BB215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s-PE"/>
        </w:rPr>
      </w:pPr>
      <w:r w:rsidRPr="003A005D">
        <w:rPr>
          <w:rFonts w:ascii="Times New Roman" w:eastAsia="Arial Unicode MS" w:hAnsi="Times New Roman" w:cs="Times New Roman"/>
          <w:b/>
          <w:sz w:val="24"/>
          <w:szCs w:val="24"/>
          <w:lang w:val="es-PE"/>
        </w:rPr>
        <w:lastRenderedPageBreak/>
        <w:t xml:space="preserve">Declarar </w:t>
      </w:r>
      <w:r w:rsidR="007D5BB1" w:rsidRPr="003A005D">
        <w:rPr>
          <w:rFonts w:ascii="Times New Roman" w:eastAsia="Arial Unicode MS" w:hAnsi="Times New Roman" w:cs="Times New Roman"/>
          <w:b/>
          <w:sz w:val="24"/>
          <w:szCs w:val="24"/>
          <w:lang w:val="es-PE"/>
        </w:rPr>
        <w:t>IN</w:t>
      </w:r>
      <w:r w:rsidRPr="003A005D">
        <w:rPr>
          <w:rFonts w:ascii="Times New Roman" w:eastAsia="Arial Unicode MS" w:hAnsi="Times New Roman" w:cs="Times New Roman"/>
          <w:b/>
          <w:sz w:val="24"/>
          <w:szCs w:val="24"/>
          <w:lang w:val="es-PE"/>
        </w:rPr>
        <w:t xml:space="preserve">FUNDADO el recurso impugnativo </w:t>
      </w:r>
      <w:r w:rsidR="00623204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>interpuesto por</w:t>
      </w:r>
      <w:r w:rsidR="00B56649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BB2152" w:rsidRPr="003A005D">
        <w:rPr>
          <w:rFonts w:ascii="Times New Roman" w:hAnsi="Times New Roman" w:cs="Times New Roman"/>
          <w:sz w:val="24"/>
          <w:szCs w:val="24"/>
          <w:lang w:val="es-PE"/>
        </w:rPr>
        <w:t xml:space="preserve">y, por consiguiente, </w:t>
      </w:r>
      <w:r w:rsidR="00BB2152" w:rsidRPr="003A005D">
        <w:rPr>
          <w:rFonts w:ascii="Times New Roman" w:hAnsi="Times New Roman" w:cs="Times New Roman"/>
          <w:b/>
          <w:bCs/>
          <w:sz w:val="24"/>
          <w:szCs w:val="24"/>
          <w:lang w:val="es-PE"/>
        </w:rPr>
        <w:t>CONFIRMAR</w:t>
      </w:r>
      <w:r w:rsidR="00BB2152" w:rsidRPr="003A005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 la Resolución Nro. 0</w:t>
      </w:r>
      <w:r w:rsidR="00070DB6" w:rsidRPr="003A005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48</w:t>
      </w:r>
      <w:r w:rsidR="00BB2152" w:rsidRPr="003A005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/20, del </w:t>
      </w:r>
      <w:r w:rsidR="00070DB6" w:rsidRPr="003A005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22</w:t>
      </w:r>
      <w:r w:rsidR="00BB2152" w:rsidRPr="003A005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 de ju</w:t>
      </w:r>
      <w:r w:rsidR="00070DB6" w:rsidRPr="003A005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n</w:t>
      </w:r>
      <w:r w:rsidR="00BB2152" w:rsidRPr="003A005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io de 2020, </w:t>
      </w:r>
      <w:r w:rsidR="00BB2152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que declaró FUNDADA la reclamación interpuesta </w:t>
      </w:r>
      <w:r w:rsidR="00070DB6" w:rsidRPr="003A005D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por </w:t>
      </w:r>
      <w:r w:rsidR="004239A4" w:rsidRPr="00B23FC0">
        <w:rPr>
          <w:rFonts w:ascii="Arial" w:hAnsi="Arial" w:cs="Arial"/>
          <w:sz w:val="24"/>
          <w:szCs w:val="24"/>
        </w:rPr>
        <w:t>...................</w:t>
      </w:r>
      <w:r w:rsidR="00070DB6" w:rsidRPr="003A005D">
        <w:rPr>
          <w:rFonts w:ascii="Times New Roman" w:eastAsia="Arial Unicode MS" w:hAnsi="Times New Roman" w:cs="Times New Roman"/>
          <w:sz w:val="24"/>
          <w:szCs w:val="24"/>
          <w:lang w:val="es-PE"/>
        </w:rPr>
        <w:t>.</w:t>
      </w:r>
    </w:p>
    <w:p w14:paraId="0BC77DE7" w14:textId="77777777" w:rsidR="00A16942" w:rsidRPr="003A005D" w:rsidRDefault="00A16942" w:rsidP="00B8028F">
      <w:pPr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</w:pPr>
    </w:p>
    <w:p w14:paraId="78A39B5B" w14:textId="08FEEF02" w:rsidR="00517989" w:rsidRDefault="0091528B" w:rsidP="00A837A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es-MX" w:eastAsia="ar-SA"/>
        </w:rPr>
      </w:pPr>
      <w:r w:rsidRPr="003A005D"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  <w:t xml:space="preserve">Lima, </w:t>
      </w:r>
      <w:r w:rsidR="003A005D"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  <w:t>31</w:t>
      </w:r>
      <w:r w:rsidR="00707C99" w:rsidRPr="003A005D"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  <w:t xml:space="preserve"> de </w:t>
      </w:r>
      <w:r w:rsidR="00BB2152" w:rsidRPr="003A005D"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  <w:t>agost</w:t>
      </w:r>
      <w:r w:rsidR="00F06498" w:rsidRPr="003A005D"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  <w:t>o de 2020</w:t>
      </w:r>
      <w:r w:rsidR="00707C99" w:rsidRPr="003A005D">
        <w:rPr>
          <w:rFonts w:ascii="Times New Roman" w:eastAsia="Times New Roman" w:hAnsi="Times New Roman" w:cs="Times New Roman"/>
          <w:sz w:val="24"/>
          <w:szCs w:val="24"/>
          <w:lang w:val="es-MX" w:eastAsia="ar-SA"/>
        </w:rPr>
        <w:t xml:space="preserve"> </w:t>
      </w:r>
    </w:p>
    <w:p w14:paraId="119EEFB3" w14:textId="195E5DB4" w:rsidR="003A005D" w:rsidRDefault="003A005D" w:rsidP="003A005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s-MX" w:eastAsia="ar-SA"/>
        </w:rPr>
      </w:pPr>
    </w:p>
    <w:p w14:paraId="543D744B" w14:textId="54A33A09" w:rsidR="003A005D" w:rsidRDefault="003A005D" w:rsidP="003A005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s-MX" w:eastAsia="ar-SA"/>
        </w:rPr>
      </w:pPr>
    </w:p>
    <w:p w14:paraId="35EB3784" w14:textId="77777777" w:rsidR="003A005D" w:rsidRPr="003A005D" w:rsidRDefault="003A005D" w:rsidP="003A005D">
      <w:pPr>
        <w:jc w:val="both"/>
        <w:rPr>
          <w:rFonts w:ascii="Times New Roman" w:hAnsi="Times New Roman" w:cs="Times New Roman"/>
          <w:b/>
          <w:bCs/>
          <w:i/>
          <w:iCs/>
          <w:lang w:val="es-ES_tradnl"/>
        </w:rPr>
      </w:pPr>
      <w:r w:rsidRPr="003A005D">
        <w:rPr>
          <w:rFonts w:ascii="Times New Roman" w:hAnsi="Times New Roman" w:cs="Times New Roman"/>
          <w:b/>
          <w:bCs/>
          <w:i/>
          <w:iCs/>
          <w:lang w:val="es-ES_tradnl"/>
        </w:rPr>
        <w:t>La Secretaría Técnica certifica que la presente resolución cuenta con el voto de los vocales cuyos nombres figuran en el presente documento.</w:t>
      </w:r>
    </w:p>
    <w:p w14:paraId="1BBDA39D" w14:textId="77777777" w:rsidR="003A005D" w:rsidRPr="003A005D" w:rsidRDefault="003A005D" w:rsidP="003A005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53A7DA6" w14:textId="77777777" w:rsidR="003A005D" w:rsidRPr="003A005D" w:rsidRDefault="003A005D" w:rsidP="003A00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A005D">
        <w:rPr>
          <w:rFonts w:ascii="Times New Roman" w:hAnsi="Times New Roman" w:cs="Times New Roman"/>
          <w:b/>
          <w:bCs/>
        </w:rPr>
        <w:t xml:space="preserve">Marco Antonio Ortega Piana – </w:t>
      </w:r>
      <w:proofErr w:type="spellStart"/>
      <w:r w:rsidRPr="003A005D">
        <w:rPr>
          <w:rFonts w:ascii="Times New Roman" w:hAnsi="Times New Roman" w:cs="Times New Roman"/>
          <w:b/>
          <w:bCs/>
        </w:rPr>
        <w:t>Presidente</w:t>
      </w:r>
      <w:proofErr w:type="spellEnd"/>
    </w:p>
    <w:p w14:paraId="3FF32B50" w14:textId="77777777" w:rsidR="003A005D" w:rsidRPr="003A005D" w:rsidRDefault="003A005D" w:rsidP="003A00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A005D">
        <w:rPr>
          <w:rFonts w:ascii="Times New Roman" w:hAnsi="Times New Roman" w:cs="Times New Roman"/>
          <w:b/>
          <w:bCs/>
        </w:rPr>
        <w:t>María Eugenia Valdez Fernández Baca – Vocal</w:t>
      </w:r>
    </w:p>
    <w:p w14:paraId="6ED16604" w14:textId="77777777" w:rsidR="003A005D" w:rsidRPr="003A005D" w:rsidRDefault="003A005D" w:rsidP="003A00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A005D">
        <w:rPr>
          <w:rFonts w:ascii="Times New Roman" w:hAnsi="Times New Roman" w:cs="Times New Roman"/>
          <w:b/>
          <w:bCs/>
        </w:rPr>
        <w:t xml:space="preserve">Rolando Eyzaguirre </w:t>
      </w:r>
      <w:proofErr w:type="spellStart"/>
      <w:r w:rsidRPr="003A005D">
        <w:rPr>
          <w:rFonts w:ascii="Times New Roman" w:hAnsi="Times New Roman" w:cs="Times New Roman"/>
          <w:b/>
          <w:bCs/>
        </w:rPr>
        <w:t>Maccan</w:t>
      </w:r>
      <w:proofErr w:type="spellEnd"/>
      <w:r w:rsidRPr="003A005D">
        <w:rPr>
          <w:rFonts w:ascii="Times New Roman" w:hAnsi="Times New Roman" w:cs="Times New Roman"/>
          <w:b/>
          <w:bCs/>
        </w:rPr>
        <w:t xml:space="preserve"> – Vocal</w:t>
      </w:r>
    </w:p>
    <w:p w14:paraId="72438C01" w14:textId="77777777" w:rsidR="003A005D" w:rsidRPr="003A005D" w:rsidRDefault="003A005D" w:rsidP="003A005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A005D">
        <w:rPr>
          <w:rFonts w:ascii="Times New Roman" w:hAnsi="Times New Roman" w:cs="Times New Roman"/>
          <w:b/>
          <w:bCs/>
        </w:rPr>
        <w:t>Gonzalo Abad - Vocal</w:t>
      </w:r>
    </w:p>
    <w:p w14:paraId="14F64E7A" w14:textId="77777777" w:rsidR="003A005D" w:rsidRPr="003A005D" w:rsidRDefault="003A005D" w:rsidP="003A005D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</w:pPr>
    </w:p>
    <w:sectPr w:rsidR="003A005D" w:rsidRPr="003A005D" w:rsidSect="00265AF9">
      <w:headerReference w:type="default" r:id="rId8"/>
      <w:footerReference w:type="default" r:id="rId9"/>
      <w:pgSz w:w="11906" w:h="16838"/>
      <w:pgMar w:top="1700" w:right="1420" w:bottom="1400" w:left="14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964CC" w14:textId="77777777" w:rsidR="00F067F4" w:rsidRDefault="00F067F4" w:rsidP="00784355">
      <w:pPr>
        <w:spacing w:after="0" w:line="240" w:lineRule="auto"/>
      </w:pPr>
      <w:r>
        <w:separator/>
      </w:r>
    </w:p>
  </w:endnote>
  <w:endnote w:type="continuationSeparator" w:id="0">
    <w:p w14:paraId="1E4BFB77" w14:textId="77777777" w:rsidR="00F067F4" w:rsidRDefault="00F067F4" w:rsidP="0078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6734141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6ABEF1" w14:textId="428E6613" w:rsidR="003A005D" w:rsidRPr="003A005D" w:rsidRDefault="003A005D">
            <w:pPr>
              <w:pStyle w:val="Piedepgina"/>
              <w:jc w:val="right"/>
              <w:rPr>
                <w:sz w:val="20"/>
                <w:szCs w:val="20"/>
              </w:rPr>
            </w:pPr>
            <w:r w:rsidRPr="004239A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Página </w:t>
            </w:r>
            <w:r w:rsidRPr="00423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23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423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4239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2</w:t>
            </w:r>
            <w:r w:rsidRPr="00423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4239A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423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23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423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4239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2</w:t>
            </w:r>
            <w:r w:rsidRPr="00423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A05C52" w14:textId="77777777" w:rsidR="00784355" w:rsidRDefault="007843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8BA0F" w14:textId="77777777" w:rsidR="00F067F4" w:rsidRDefault="00F067F4" w:rsidP="00784355">
      <w:pPr>
        <w:spacing w:after="0" w:line="240" w:lineRule="auto"/>
      </w:pPr>
      <w:r>
        <w:separator/>
      </w:r>
    </w:p>
  </w:footnote>
  <w:footnote w:type="continuationSeparator" w:id="0">
    <w:p w14:paraId="100845B1" w14:textId="77777777" w:rsidR="00F067F4" w:rsidRDefault="00F067F4" w:rsidP="0078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99D3A" w14:textId="0D11916B" w:rsidR="003A005D" w:rsidRDefault="003A005D">
    <w:pPr>
      <w:pStyle w:val="Encabezado"/>
    </w:pPr>
  </w:p>
  <w:p w14:paraId="15EE2788" w14:textId="77777777" w:rsidR="003A005D" w:rsidRDefault="003A00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E5EF4"/>
    <w:multiLevelType w:val="multilevel"/>
    <w:tmpl w:val="EC0C2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6C0ACA"/>
    <w:multiLevelType w:val="hybridMultilevel"/>
    <w:tmpl w:val="486244DC"/>
    <w:lvl w:ilvl="0" w:tplc="377608F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5C8C"/>
    <w:multiLevelType w:val="hybridMultilevel"/>
    <w:tmpl w:val="91D4F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520A4"/>
    <w:multiLevelType w:val="hybridMultilevel"/>
    <w:tmpl w:val="D6DC6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99"/>
    <w:rsid w:val="000010A4"/>
    <w:rsid w:val="0000190A"/>
    <w:rsid w:val="00005B96"/>
    <w:rsid w:val="00010987"/>
    <w:rsid w:val="000159CC"/>
    <w:rsid w:val="00015C22"/>
    <w:rsid w:val="000167E0"/>
    <w:rsid w:val="000235E9"/>
    <w:rsid w:val="0002637D"/>
    <w:rsid w:val="0002733C"/>
    <w:rsid w:val="00027978"/>
    <w:rsid w:val="0004480C"/>
    <w:rsid w:val="00056D9F"/>
    <w:rsid w:val="00063183"/>
    <w:rsid w:val="0006548C"/>
    <w:rsid w:val="00070DB6"/>
    <w:rsid w:val="00071A25"/>
    <w:rsid w:val="00080A9A"/>
    <w:rsid w:val="000835CB"/>
    <w:rsid w:val="00083D69"/>
    <w:rsid w:val="00083F50"/>
    <w:rsid w:val="00092684"/>
    <w:rsid w:val="000A5666"/>
    <w:rsid w:val="000A5CAA"/>
    <w:rsid w:val="000B19A0"/>
    <w:rsid w:val="000F6340"/>
    <w:rsid w:val="0011308C"/>
    <w:rsid w:val="001320DF"/>
    <w:rsid w:val="00136E12"/>
    <w:rsid w:val="001377EF"/>
    <w:rsid w:val="00146F5D"/>
    <w:rsid w:val="001508BC"/>
    <w:rsid w:val="001529FE"/>
    <w:rsid w:val="001703D8"/>
    <w:rsid w:val="00170E39"/>
    <w:rsid w:val="00174DA5"/>
    <w:rsid w:val="00181908"/>
    <w:rsid w:val="00181DCE"/>
    <w:rsid w:val="00187BFD"/>
    <w:rsid w:val="001A008A"/>
    <w:rsid w:val="001A3395"/>
    <w:rsid w:val="001B1E59"/>
    <w:rsid w:val="001B58A3"/>
    <w:rsid w:val="001D0EED"/>
    <w:rsid w:val="001D59D9"/>
    <w:rsid w:val="001D6136"/>
    <w:rsid w:val="00201C0D"/>
    <w:rsid w:val="00204407"/>
    <w:rsid w:val="0020749F"/>
    <w:rsid w:val="00211977"/>
    <w:rsid w:val="002130B0"/>
    <w:rsid w:val="0021627D"/>
    <w:rsid w:val="00225288"/>
    <w:rsid w:val="00227D02"/>
    <w:rsid w:val="002331C3"/>
    <w:rsid w:val="00241719"/>
    <w:rsid w:val="00243F6B"/>
    <w:rsid w:val="0027261F"/>
    <w:rsid w:val="00272F4F"/>
    <w:rsid w:val="0027301E"/>
    <w:rsid w:val="00274985"/>
    <w:rsid w:val="002768C6"/>
    <w:rsid w:val="00277667"/>
    <w:rsid w:val="00290CA4"/>
    <w:rsid w:val="002A31D3"/>
    <w:rsid w:val="002A7E2E"/>
    <w:rsid w:val="002B726E"/>
    <w:rsid w:val="002C2A0F"/>
    <w:rsid w:val="002D3B01"/>
    <w:rsid w:val="002E17F9"/>
    <w:rsid w:val="002F09CA"/>
    <w:rsid w:val="002F35F0"/>
    <w:rsid w:val="0032132E"/>
    <w:rsid w:val="00340E4B"/>
    <w:rsid w:val="00345DF0"/>
    <w:rsid w:val="00345F7F"/>
    <w:rsid w:val="00347D7E"/>
    <w:rsid w:val="00357D70"/>
    <w:rsid w:val="00362449"/>
    <w:rsid w:val="00364E0F"/>
    <w:rsid w:val="00391F72"/>
    <w:rsid w:val="003A005D"/>
    <w:rsid w:val="003B3A93"/>
    <w:rsid w:val="003B5CE7"/>
    <w:rsid w:val="003B798E"/>
    <w:rsid w:val="003D09A9"/>
    <w:rsid w:val="003D4684"/>
    <w:rsid w:val="003D4687"/>
    <w:rsid w:val="003E0CC2"/>
    <w:rsid w:val="003E450C"/>
    <w:rsid w:val="003F1149"/>
    <w:rsid w:val="003F1B5F"/>
    <w:rsid w:val="00403814"/>
    <w:rsid w:val="00417E23"/>
    <w:rsid w:val="004239A4"/>
    <w:rsid w:val="00425F75"/>
    <w:rsid w:val="00440BC2"/>
    <w:rsid w:val="00444232"/>
    <w:rsid w:val="00460C30"/>
    <w:rsid w:val="00465FB9"/>
    <w:rsid w:val="00466302"/>
    <w:rsid w:val="0047370C"/>
    <w:rsid w:val="0047522D"/>
    <w:rsid w:val="004A3E25"/>
    <w:rsid w:val="004B51ED"/>
    <w:rsid w:val="004C51EC"/>
    <w:rsid w:val="004E65DD"/>
    <w:rsid w:val="004F549E"/>
    <w:rsid w:val="005201E9"/>
    <w:rsid w:val="00521B4C"/>
    <w:rsid w:val="005265A5"/>
    <w:rsid w:val="005316B2"/>
    <w:rsid w:val="00531BEE"/>
    <w:rsid w:val="005323A2"/>
    <w:rsid w:val="0053470F"/>
    <w:rsid w:val="00537DBF"/>
    <w:rsid w:val="00540F01"/>
    <w:rsid w:val="00544BFC"/>
    <w:rsid w:val="00547EE5"/>
    <w:rsid w:val="00567DEC"/>
    <w:rsid w:val="0057035B"/>
    <w:rsid w:val="005818E3"/>
    <w:rsid w:val="00582D26"/>
    <w:rsid w:val="0058358B"/>
    <w:rsid w:val="005948EF"/>
    <w:rsid w:val="00597430"/>
    <w:rsid w:val="005A0B70"/>
    <w:rsid w:val="005A782D"/>
    <w:rsid w:val="005B2924"/>
    <w:rsid w:val="005B5BBE"/>
    <w:rsid w:val="005C524E"/>
    <w:rsid w:val="005C5AB9"/>
    <w:rsid w:val="005E0EC2"/>
    <w:rsid w:val="005E2CBE"/>
    <w:rsid w:val="005F4C97"/>
    <w:rsid w:val="00605902"/>
    <w:rsid w:val="00606105"/>
    <w:rsid w:val="00613A39"/>
    <w:rsid w:val="00622ABC"/>
    <w:rsid w:val="00623204"/>
    <w:rsid w:val="00624034"/>
    <w:rsid w:val="006442E0"/>
    <w:rsid w:val="00652672"/>
    <w:rsid w:val="0065594D"/>
    <w:rsid w:val="00655A90"/>
    <w:rsid w:val="00655BA3"/>
    <w:rsid w:val="00657AD2"/>
    <w:rsid w:val="00671DB5"/>
    <w:rsid w:val="00686BB2"/>
    <w:rsid w:val="006878E1"/>
    <w:rsid w:val="0069304A"/>
    <w:rsid w:val="006B5CAE"/>
    <w:rsid w:val="006C1A65"/>
    <w:rsid w:val="006C29A7"/>
    <w:rsid w:val="006C6261"/>
    <w:rsid w:val="006D2BA9"/>
    <w:rsid w:val="006D397E"/>
    <w:rsid w:val="006F36EF"/>
    <w:rsid w:val="006F4986"/>
    <w:rsid w:val="0070030F"/>
    <w:rsid w:val="00701598"/>
    <w:rsid w:val="00701893"/>
    <w:rsid w:val="00703430"/>
    <w:rsid w:val="00704A95"/>
    <w:rsid w:val="00706EB2"/>
    <w:rsid w:val="00707C99"/>
    <w:rsid w:val="0072050F"/>
    <w:rsid w:val="0072240A"/>
    <w:rsid w:val="007261FD"/>
    <w:rsid w:val="007300C4"/>
    <w:rsid w:val="00753C83"/>
    <w:rsid w:val="007708AB"/>
    <w:rsid w:val="00784355"/>
    <w:rsid w:val="007906AF"/>
    <w:rsid w:val="00794424"/>
    <w:rsid w:val="007950DD"/>
    <w:rsid w:val="007965C0"/>
    <w:rsid w:val="007A09BB"/>
    <w:rsid w:val="007A4108"/>
    <w:rsid w:val="007A4EA9"/>
    <w:rsid w:val="007A7F95"/>
    <w:rsid w:val="007B1018"/>
    <w:rsid w:val="007C14D0"/>
    <w:rsid w:val="007C213D"/>
    <w:rsid w:val="007D13E3"/>
    <w:rsid w:val="007D13F3"/>
    <w:rsid w:val="007D39D3"/>
    <w:rsid w:val="007D5BB1"/>
    <w:rsid w:val="007D7213"/>
    <w:rsid w:val="007E5917"/>
    <w:rsid w:val="008010D0"/>
    <w:rsid w:val="008020A1"/>
    <w:rsid w:val="00816B3F"/>
    <w:rsid w:val="0081754D"/>
    <w:rsid w:val="00836831"/>
    <w:rsid w:val="00837DDE"/>
    <w:rsid w:val="008523F5"/>
    <w:rsid w:val="008548F9"/>
    <w:rsid w:val="00857988"/>
    <w:rsid w:val="00871F40"/>
    <w:rsid w:val="00883121"/>
    <w:rsid w:val="0088392F"/>
    <w:rsid w:val="00884426"/>
    <w:rsid w:val="00886D60"/>
    <w:rsid w:val="008916FF"/>
    <w:rsid w:val="00891DB3"/>
    <w:rsid w:val="00895A85"/>
    <w:rsid w:val="008A1D12"/>
    <w:rsid w:val="008A3A47"/>
    <w:rsid w:val="008D6DDF"/>
    <w:rsid w:val="008F1161"/>
    <w:rsid w:val="008F479E"/>
    <w:rsid w:val="009011F1"/>
    <w:rsid w:val="0091528B"/>
    <w:rsid w:val="009157B1"/>
    <w:rsid w:val="00917CAF"/>
    <w:rsid w:val="009272D7"/>
    <w:rsid w:val="00933532"/>
    <w:rsid w:val="00943343"/>
    <w:rsid w:val="00946694"/>
    <w:rsid w:val="00951B99"/>
    <w:rsid w:val="00964237"/>
    <w:rsid w:val="00966813"/>
    <w:rsid w:val="0097301B"/>
    <w:rsid w:val="00974D2D"/>
    <w:rsid w:val="00997863"/>
    <w:rsid w:val="009A5B27"/>
    <w:rsid w:val="009A6404"/>
    <w:rsid w:val="009A701F"/>
    <w:rsid w:val="009A7E68"/>
    <w:rsid w:val="009B29C9"/>
    <w:rsid w:val="009C1066"/>
    <w:rsid w:val="009C1372"/>
    <w:rsid w:val="009C5373"/>
    <w:rsid w:val="009C6404"/>
    <w:rsid w:val="009D3B98"/>
    <w:rsid w:val="009E5F11"/>
    <w:rsid w:val="009E7994"/>
    <w:rsid w:val="009F2EEB"/>
    <w:rsid w:val="00A02270"/>
    <w:rsid w:val="00A16942"/>
    <w:rsid w:val="00A17A72"/>
    <w:rsid w:val="00A25F51"/>
    <w:rsid w:val="00A30393"/>
    <w:rsid w:val="00A32246"/>
    <w:rsid w:val="00A3714C"/>
    <w:rsid w:val="00A427D6"/>
    <w:rsid w:val="00A46E96"/>
    <w:rsid w:val="00A62BEC"/>
    <w:rsid w:val="00A658C1"/>
    <w:rsid w:val="00A734AD"/>
    <w:rsid w:val="00A837A0"/>
    <w:rsid w:val="00A90926"/>
    <w:rsid w:val="00A97287"/>
    <w:rsid w:val="00AA2DED"/>
    <w:rsid w:val="00AB1C66"/>
    <w:rsid w:val="00AD1FEC"/>
    <w:rsid w:val="00AD2DF1"/>
    <w:rsid w:val="00B00552"/>
    <w:rsid w:val="00B02BEE"/>
    <w:rsid w:val="00B11C1C"/>
    <w:rsid w:val="00B17BD8"/>
    <w:rsid w:val="00B30B53"/>
    <w:rsid w:val="00B313E9"/>
    <w:rsid w:val="00B32325"/>
    <w:rsid w:val="00B340A4"/>
    <w:rsid w:val="00B45C2D"/>
    <w:rsid w:val="00B56649"/>
    <w:rsid w:val="00B625F2"/>
    <w:rsid w:val="00B710D8"/>
    <w:rsid w:val="00B73629"/>
    <w:rsid w:val="00B7466E"/>
    <w:rsid w:val="00B779BD"/>
    <w:rsid w:val="00B8021E"/>
    <w:rsid w:val="00B8028F"/>
    <w:rsid w:val="00B833BE"/>
    <w:rsid w:val="00B87B08"/>
    <w:rsid w:val="00B956C4"/>
    <w:rsid w:val="00BB2152"/>
    <w:rsid w:val="00BB2BE0"/>
    <w:rsid w:val="00BC29D0"/>
    <w:rsid w:val="00BD797F"/>
    <w:rsid w:val="00BE7C72"/>
    <w:rsid w:val="00BF1421"/>
    <w:rsid w:val="00BF414E"/>
    <w:rsid w:val="00BF78BF"/>
    <w:rsid w:val="00C00BBF"/>
    <w:rsid w:val="00C05445"/>
    <w:rsid w:val="00C12CBD"/>
    <w:rsid w:val="00C134DB"/>
    <w:rsid w:val="00C25B78"/>
    <w:rsid w:val="00C33FEF"/>
    <w:rsid w:val="00C4163B"/>
    <w:rsid w:val="00C41F24"/>
    <w:rsid w:val="00C47619"/>
    <w:rsid w:val="00C52848"/>
    <w:rsid w:val="00C67E5D"/>
    <w:rsid w:val="00C72528"/>
    <w:rsid w:val="00C748FF"/>
    <w:rsid w:val="00C74DA7"/>
    <w:rsid w:val="00C767DA"/>
    <w:rsid w:val="00C805FB"/>
    <w:rsid w:val="00C8675B"/>
    <w:rsid w:val="00C86CD7"/>
    <w:rsid w:val="00C9376B"/>
    <w:rsid w:val="00C9581A"/>
    <w:rsid w:val="00C9791B"/>
    <w:rsid w:val="00CA3682"/>
    <w:rsid w:val="00CB44BB"/>
    <w:rsid w:val="00CC4AEF"/>
    <w:rsid w:val="00CC6C0C"/>
    <w:rsid w:val="00CD4BE8"/>
    <w:rsid w:val="00CF55D6"/>
    <w:rsid w:val="00CF78D3"/>
    <w:rsid w:val="00D12CFF"/>
    <w:rsid w:val="00D156AF"/>
    <w:rsid w:val="00D16367"/>
    <w:rsid w:val="00D2092C"/>
    <w:rsid w:val="00D22DC3"/>
    <w:rsid w:val="00D27042"/>
    <w:rsid w:val="00D50B42"/>
    <w:rsid w:val="00D57228"/>
    <w:rsid w:val="00D64034"/>
    <w:rsid w:val="00D73109"/>
    <w:rsid w:val="00D76C43"/>
    <w:rsid w:val="00D810EC"/>
    <w:rsid w:val="00D835B6"/>
    <w:rsid w:val="00DA0540"/>
    <w:rsid w:val="00DA2840"/>
    <w:rsid w:val="00DA4030"/>
    <w:rsid w:val="00DB15FD"/>
    <w:rsid w:val="00DB58EC"/>
    <w:rsid w:val="00DC399B"/>
    <w:rsid w:val="00DD5E2B"/>
    <w:rsid w:val="00DF3781"/>
    <w:rsid w:val="00E107CA"/>
    <w:rsid w:val="00E1216B"/>
    <w:rsid w:val="00E1477F"/>
    <w:rsid w:val="00E16C63"/>
    <w:rsid w:val="00E25D54"/>
    <w:rsid w:val="00E30E76"/>
    <w:rsid w:val="00E341F5"/>
    <w:rsid w:val="00E43D94"/>
    <w:rsid w:val="00E531B9"/>
    <w:rsid w:val="00E53BC5"/>
    <w:rsid w:val="00E57869"/>
    <w:rsid w:val="00E64057"/>
    <w:rsid w:val="00E6771C"/>
    <w:rsid w:val="00E70381"/>
    <w:rsid w:val="00E70F8F"/>
    <w:rsid w:val="00E73DEF"/>
    <w:rsid w:val="00E80D65"/>
    <w:rsid w:val="00EA4C4B"/>
    <w:rsid w:val="00EC19C1"/>
    <w:rsid w:val="00EC7271"/>
    <w:rsid w:val="00ED38AF"/>
    <w:rsid w:val="00ED60A1"/>
    <w:rsid w:val="00ED6123"/>
    <w:rsid w:val="00EE1C4A"/>
    <w:rsid w:val="00EE6D21"/>
    <w:rsid w:val="00F01B55"/>
    <w:rsid w:val="00F06498"/>
    <w:rsid w:val="00F067F4"/>
    <w:rsid w:val="00F11E0A"/>
    <w:rsid w:val="00F14F22"/>
    <w:rsid w:val="00F16CF9"/>
    <w:rsid w:val="00F20B09"/>
    <w:rsid w:val="00F3335E"/>
    <w:rsid w:val="00F349E0"/>
    <w:rsid w:val="00F439B5"/>
    <w:rsid w:val="00F52E75"/>
    <w:rsid w:val="00F63F49"/>
    <w:rsid w:val="00F65837"/>
    <w:rsid w:val="00F81150"/>
    <w:rsid w:val="00F833B7"/>
    <w:rsid w:val="00F83A22"/>
    <w:rsid w:val="00F84CF9"/>
    <w:rsid w:val="00F87E38"/>
    <w:rsid w:val="00F97EA2"/>
    <w:rsid w:val="00FA2322"/>
    <w:rsid w:val="00FB4B0C"/>
    <w:rsid w:val="00FB5E23"/>
    <w:rsid w:val="00FC0D10"/>
    <w:rsid w:val="00FC1934"/>
    <w:rsid w:val="00FE43A9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FDCB09"/>
  <w15:docId w15:val="{C5A45202-D180-4E9E-8F68-9A85AD5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7A7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BD79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es-MX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D797F"/>
    <w:rPr>
      <w:rFonts w:ascii="Times New Roman" w:eastAsia="Times New Roman" w:hAnsi="Times New Roman" w:cs="Times New Roman"/>
      <w:bCs/>
      <w:sz w:val="24"/>
      <w:szCs w:val="24"/>
      <w:lang w:val="es-MX" w:eastAsia="ar-SA"/>
    </w:rPr>
  </w:style>
  <w:style w:type="character" w:styleId="Hipervnculo">
    <w:name w:val="Hyperlink"/>
    <w:basedOn w:val="Fuentedeprrafopredeter"/>
    <w:uiPriority w:val="99"/>
    <w:unhideWhenUsed/>
    <w:rsid w:val="00201C0D"/>
    <w:rPr>
      <w:color w:val="0563C1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201C0D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C0D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5C2D"/>
    <w:rPr>
      <w:color w:val="808080"/>
      <w:shd w:val="clear" w:color="auto" w:fill="E6E6E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22DC3"/>
    <w:pPr>
      <w:spacing w:after="120" w:line="276" w:lineRule="auto"/>
      <w:ind w:left="283"/>
    </w:pPr>
    <w:rPr>
      <w:rFonts w:ascii="Calibri" w:eastAsia="Calibri" w:hAnsi="Calibri" w:cs="Times New Roman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22DC3"/>
    <w:rPr>
      <w:rFonts w:ascii="Calibri" w:eastAsia="Calibri" w:hAnsi="Calibri" w:cs="Times New Roman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784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355"/>
  </w:style>
  <w:style w:type="paragraph" w:styleId="Piedepgina">
    <w:name w:val="footer"/>
    <w:basedOn w:val="Normal"/>
    <w:link w:val="PiedepginaCar"/>
    <w:uiPriority w:val="99"/>
    <w:unhideWhenUsed/>
    <w:rsid w:val="00784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4739-B224-40EE-99F9-7AE77CB5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1193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Aló Seguros</cp:lastModifiedBy>
  <cp:revision>6</cp:revision>
  <cp:lastPrinted>2020-09-02T20:11:00Z</cp:lastPrinted>
  <dcterms:created xsi:type="dcterms:W3CDTF">2020-09-02T20:11:00Z</dcterms:created>
  <dcterms:modified xsi:type="dcterms:W3CDTF">2021-02-19T22:09:00Z</dcterms:modified>
</cp:coreProperties>
</file>