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17DB8" w14:textId="61A91F29" w:rsidR="00035FC5" w:rsidRPr="00710E6C" w:rsidRDefault="00035FC5" w:rsidP="00151F72">
      <w:pPr>
        <w:jc w:val="center"/>
        <w:rPr>
          <w:b/>
          <w:bCs/>
        </w:rPr>
      </w:pPr>
      <w:r w:rsidRPr="00710E6C">
        <w:rPr>
          <w:b/>
          <w:bCs/>
        </w:rPr>
        <w:t xml:space="preserve">RESOLUCIÓN DE RECURSO DE IMPUGNACIÓN </w:t>
      </w:r>
      <w:proofErr w:type="spellStart"/>
      <w:r w:rsidRPr="00710E6C">
        <w:rPr>
          <w:b/>
          <w:bCs/>
        </w:rPr>
        <w:t>N</w:t>
      </w:r>
      <w:r w:rsidR="00975689" w:rsidRPr="00710E6C">
        <w:rPr>
          <w:b/>
          <w:bCs/>
        </w:rPr>
        <w:t>°</w:t>
      </w:r>
      <w:proofErr w:type="spellEnd"/>
      <w:r w:rsidR="00975689" w:rsidRPr="00710E6C">
        <w:rPr>
          <w:b/>
          <w:bCs/>
        </w:rPr>
        <w:t xml:space="preserve"> 046/20</w:t>
      </w:r>
    </w:p>
    <w:p w14:paraId="3280EAAA" w14:textId="77777777" w:rsidR="00035FC5" w:rsidRPr="00710E6C" w:rsidRDefault="00035FC5" w:rsidP="00505939">
      <w:pPr>
        <w:jc w:val="both"/>
        <w:rPr>
          <w:bCs/>
          <w:lang w:val="es-MX"/>
        </w:rPr>
      </w:pPr>
    </w:p>
    <w:p w14:paraId="7B2E2B3C" w14:textId="77777777" w:rsidR="00AE0FBC" w:rsidRPr="00710E6C" w:rsidRDefault="00AE0FBC" w:rsidP="00505939">
      <w:pPr>
        <w:jc w:val="both"/>
        <w:outlineLvl w:val="0"/>
        <w:rPr>
          <w:bCs/>
          <w:lang w:val="es-MX"/>
        </w:rPr>
      </w:pPr>
    </w:p>
    <w:p w14:paraId="10563789" w14:textId="4D456B32" w:rsidR="00035FC5" w:rsidRPr="00710E6C" w:rsidRDefault="00035FC5" w:rsidP="00505939">
      <w:pPr>
        <w:jc w:val="both"/>
        <w:outlineLvl w:val="0"/>
        <w:rPr>
          <w:b/>
          <w:lang w:val="es-MX"/>
        </w:rPr>
      </w:pPr>
      <w:r w:rsidRPr="00710E6C">
        <w:rPr>
          <w:b/>
          <w:lang w:val="es-MX"/>
        </w:rPr>
        <w:t>VISTOS:</w:t>
      </w:r>
    </w:p>
    <w:p w14:paraId="569D42AF" w14:textId="77777777" w:rsidR="00035FC5" w:rsidRPr="00710E6C" w:rsidRDefault="00035FC5" w:rsidP="00505939">
      <w:pPr>
        <w:jc w:val="both"/>
        <w:rPr>
          <w:bCs/>
          <w:lang w:val="es-MX"/>
        </w:rPr>
      </w:pPr>
    </w:p>
    <w:p w14:paraId="2877C87F" w14:textId="4EC0DDF1" w:rsidR="00035FC5" w:rsidRPr="00710E6C" w:rsidRDefault="00035FC5" w:rsidP="00505939">
      <w:pPr>
        <w:jc w:val="both"/>
        <w:rPr>
          <w:bCs/>
          <w:lang w:val="es-PE"/>
        </w:rPr>
      </w:pPr>
      <w:r w:rsidRPr="00710E6C">
        <w:rPr>
          <w:bCs/>
        </w:rPr>
        <w:t xml:space="preserve">El recurso de impugnación presentado el 13 de agosto de 2020 por </w:t>
      </w:r>
      <w:r w:rsidR="00710E6C">
        <w:t>..................</w:t>
      </w:r>
      <w:r w:rsidRPr="00710E6C">
        <w:rPr>
          <w:bCs/>
        </w:rPr>
        <w:t xml:space="preserve">respecto de la Resolución Nro. 068/20 de fecha 03 de setiembre de 2020, expedida por esta Defensoría del Asegurado (DEFASEG), conforme a la cual se declaró INFUNDADA la reclamación interpuesta contra </w:t>
      </w:r>
      <w:r w:rsidR="00710E6C">
        <w:t>..................</w:t>
      </w:r>
      <w:r w:rsidR="00710E6C">
        <w:t xml:space="preserve"> </w:t>
      </w:r>
      <w:r w:rsidRPr="00710E6C">
        <w:rPr>
          <w:bCs/>
        </w:rPr>
        <w:t xml:space="preserve">respecto al seguro </w:t>
      </w:r>
      <w:r w:rsidRPr="00710E6C">
        <w:rPr>
          <w:bCs/>
          <w:lang w:val="es-PE"/>
        </w:rPr>
        <w:t xml:space="preserve">múltiple contratado a través del Banco </w:t>
      </w:r>
      <w:r w:rsidR="00710E6C">
        <w:t>..................</w:t>
      </w:r>
      <w:r w:rsidR="00710E6C">
        <w:t xml:space="preserve"> </w:t>
      </w:r>
      <w:r w:rsidRPr="00710E6C">
        <w:rPr>
          <w:bCs/>
          <w:lang w:val="es-PE"/>
        </w:rPr>
        <w:t xml:space="preserve">como consecuencia del fallecimiento de su hermana </w:t>
      </w:r>
      <w:r w:rsidR="00710E6C">
        <w:t>..................</w:t>
      </w:r>
      <w:r w:rsidRPr="00710E6C">
        <w:rPr>
          <w:bCs/>
          <w:lang w:val="es-PE"/>
        </w:rPr>
        <w:t xml:space="preserve">, asegurada bajo dicha póliza;  </w:t>
      </w:r>
      <w:bookmarkStart w:id="0" w:name="OLE_LINK2"/>
    </w:p>
    <w:bookmarkEnd w:id="0"/>
    <w:p w14:paraId="1DFA5131" w14:textId="77777777" w:rsidR="00035FC5" w:rsidRPr="00710E6C" w:rsidRDefault="00035FC5" w:rsidP="00505939">
      <w:pPr>
        <w:jc w:val="both"/>
        <w:rPr>
          <w:bCs/>
          <w:lang w:val="es-PE"/>
        </w:rPr>
      </w:pPr>
    </w:p>
    <w:p w14:paraId="2709847E" w14:textId="2CA1CCBD" w:rsidR="00035FC5" w:rsidRPr="00710E6C" w:rsidRDefault="00035FC5" w:rsidP="00505939">
      <w:pPr>
        <w:pStyle w:val="Textoindependiente"/>
      </w:pPr>
      <w:r w:rsidRPr="00710E6C">
        <w:t xml:space="preserve">Que, el indicado recurso se sustenta resumidamente en lo siguiente: a) que la resolución le causa agravio por cuanto no se han tomado en cuenta los informes médicos que ha presentado, lo que determina que la resolución no se encuentre debidamente motivada; b) que no se ha valorado que lo que produjo el fallecimiento de su hermana fue la insuficiencia respiratoria, que si bien se hace referencia como estado morboso a la neoplasia de endometrio, </w:t>
      </w:r>
      <w:r w:rsidR="00060EEC" w:rsidRPr="00710E6C">
        <w:t xml:space="preserve">se indica “si </w:t>
      </w:r>
      <w:r w:rsidR="000C40F2" w:rsidRPr="00710E6C">
        <w:t>existiera alguno</w:t>
      </w:r>
      <w:r w:rsidR="00060EEC" w:rsidRPr="00710E6C">
        <w:t>”</w:t>
      </w:r>
      <w:r w:rsidRPr="00710E6C">
        <w:t xml:space="preserve"> por lo que no existe certeza que sea la causa de fallecimiento; c) que no existe un informe anatomopatológico </w:t>
      </w:r>
      <w:r w:rsidR="00C04ED5" w:rsidRPr="00710E6C">
        <w:t xml:space="preserve">actual </w:t>
      </w:r>
      <w:r w:rsidRPr="00710E6C">
        <w:t xml:space="preserve">del cáncer de endometrio metastásico por lo que no puede ser considerado como causa del fallecimiento; d) </w:t>
      </w:r>
      <w:r w:rsidR="00C04ED5" w:rsidRPr="00710E6C">
        <w:t xml:space="preserve">que ninguno de los informes actuales hacen referencia a una neoplasia maligna de endometrio, reiterando que la clínica </w:t>
      </w:r>
      <w:r w:rsidR="00417B62">
        <w:t>..................</w:t>
      </w:r>
      <w:r w:rsidR="00C04ED5" w:rsidRPr="00710E6C">
        <w:t xml:space="preserve"> que emite el certificado de defunción</w:t>
      </w:r>
      <w:r w:rsidR="00836D83" w:rsidRPr="00710E6C">
        <w:t xml:space="preserve"> no diagnosticó </w:t>
      </w:r>
      <w:r w:rsidR="00DA7AA5" w:rsidRPr="00710E6C">
        <w:t>el cáncer</w:t>
      </w:r>
      <w:r w:rsidR="00C04ED5" w:rsidRPr="00710E6C">
        <w:t>; e) que el término neoplasia metacrónica que refiere la historia clínica del INEN se refiere a cánceres primarios que excluy</w:t>
      </w:r>
      <w:r w:rsidR="00DA7AA5" w:rsidRPr="00710E6C">
        <w:t>en</w:t>
      </w:r>
      <w:r w:rsidR="00C04ED5" w:rsidRPr="00710E6C">
        <w:t xml:space="preserve"> que uno sea metástasis del otro; g) que se vulneró el debido proceso por cuanto se le notificó de lo presentado por la aseguradora con fecha 4 de agosto cuando el 3 ya se había expedido la resolución impugnada, por lo que en el fondo no se le corrió traslado de lo requerido a la aseguradora en la audiencia de vista</w:t>
      </w:r>
      <w:r w:rsidR="002013C6" w:rsidRPr="00710E6C">
        <w:t>, negándosele la posibilidad de pronunciarse al respecto</w:t>
      </w:r>
      <w:r w:rsidR="00DA7AA5" w:rsidRPr="00710E6C">
        <w:t xml:space="preserve"> y afectando su derecho </w:t>
      </w:r>
      <w:r w:rsidR="00B50B29" w:rsidRPr="00710E6C">
        <w:t>constitucional a la</w:t>
      </w:r>
      <w:r w:rsidR="00DA7AA5" w:rsidRPr="00710E6C">
        <w:t xml:space="preserve"> defensa</w:t>
      </w:r>
      <w:r w:rsidR="00B50B29" w:rsidRPr="00710E6C">
        <w:t>, siendo que existe reiterada jurisprudencia del Tribunal Constitucional que ha determinado que toda resolución sea judicial o administrativa debe cumplir con la debida motivación, lo que abarca valoración de las pruebas que obran en un proceso y esto no se ha cumplido</w:t>
      </w:r>
      <w:r w:rsidRPr="00710E6C">
        <w:t xml:space="preserve">. </w:t>
      </w:r>
    </w:p>
    <w:p w14:paraId="332C9863" w14:textId="38822F4C" w:rsidR="00035FC5" w:rsidRPr="00710E6C" w:rsidRDefault="00035FC5" w:rsidP="00505939">
      <w:pPr>
        <w:pStyle w:val="Textoindependiente"/>
      </w:pPr>
    </w:p>
    <w:p w14:paraId="21482BF7" w14:textId="094F405F" w:rsidR="002013C6" w:rsidRPr="00710E6C" w:rsidRDefault="00035FC5" w:rsidP="00505939">
      <w:pPr>
        <w:pStyle w:val="Default"/>
        <w:jc w:val="both"/>
        <w:rPr>
          <w:rFonts w:ascii="Times New Roman" w:hAnsi="Times New Roman" w:cs="Times New Roman"/>
          <w:bCs/>
          <w:lang w:val="es-ES"/>
        </w:rPr>
      </w:pPr>
      <w:r w:rsidRPr="00710E6C">
        <w:rPr>
          <w:rFonts w:ascii="Times New Roman" w:hAnsi="Times New Roman" w:cs="Times New Roman"/>
          <w:bCs/>
        </w:rPr>
        <w:t xml:space="preserve">Que, habiéndose corrido traslado de la respectiva impugnación a la empresa aseguradora, </w:t>
      </w:r>
      <w:r w:rsidR="002013C6" w:rsidRPr="00710E6C">
        <w:rPr>
          <w:rFonts w:ascii="Times New Roman" w:hAnsi="Times New Roman" w:cs="Times New Roman"/>
          <w:bCs/>
        </w:rPr>
        <w:t xml:space="preserve">esta lo absuelve </w:t>
      </w:r>
      <w:r w:rsidRPr="00710E6C">
        <w:rPr>
          <w:rFonts w:ascii="Times New Roman" w:hAnsi="Times New Roman" w:cs="Times New Roman"/>
          <w:bCs/>
        </w:rPr>
        <w:t xml:space="preserve">mediante escrito de fecha </w:t>
      </w:r>
      <w:r w:rsidR="002013C6" w:rsidRPr="00710E6C">
        <w:rPr>
          <w:rFonts w:ascii="Times New Roman" w:hAnsi="Times New Roman" w:cs="Times New Roman"/>
          <w:bCs/>
        </w:rPr>
        <w:t>08</w:t>
      </w:r>
      <w:r w:rsidRPr="00710E6C">
        <w:rPr>
          <w:rFonts w:ascii="Times New Roman" w:hAnsi="Times New Roman" w:cs="Times New Roman"/>
          <w:bCs/>
        </w:rPr>
        <w:t xml:space="preserve"> de setiembre de 20</w:t>
      </w:r>
      <w:r w:rsidR="002013C6" w:rsidRPr="00710E6C">
        <w:rPr>
          <w:rFonts w:ascii="Times New Roman" w:hAnsi="Times New Roman" w:cs="Times New Roman"/>
          <w:bCs/>
        </w:rPr>
        <w:t xml:space="preserve">20 </w:t>
      </w:r>
      <w:r w:rsidRPr="00710E6C">
        <w:rPr>
          <w:rFonts w:ascii="Times New Roman" w:hAnsi="Times New Roman" w:cs="Times New Roman"/>
          <w:bCs/>
        </w:rPr>
        <w:t>señal</w:t>
      </w:r>
      <w:r w:rsidR="002013C6" w:rsidRPr="00710E6C">
        <w:rPr>
          <w:rFonts w:ascii="Times New Roman" w:hAnsi="Times New Roman" w:cs="Times New Roman"/>
          <w:bCs/>
        </w:rPr>
        <w:t xml:space="preserve">ando </w:t>
      </w:r>
      <w:r w:rsidRPr="00710E6C">
        <w:rPr>
          <w:rFonts w:ascii="Times New Roman" w:hAnsi="Times New Roman" w:cs="Times New Roman"/>
          <w:bCs/>
        </w:rPr>
        <w:t xml:space="preserve">resumidamente lo siguiente: que </w:t>
      </w:r>
      <w:r w:rsidR="002013C6" w:rsidRPr="00710E6C">
        <w:rPr>
          <w:rFonts w:ascii="Times New Roman" w:hAnsi="Times New Roman" w:cs="Times New Roman"/>
          <w:bCs/>
        </w:rPr>
        <w:t xml:space="preserve">el certificado de defunción consigna como causa del fallecimiento la Neoplasia Maligna por Endometrio </w:t>
      </w:r>
      <w:r w:rsidR="00516F8E" w:rsidRPr="00710E6C">
        <w:rPr>
          <w:rFonts w:ascii="Times New Roman" w:hAnsi="Times New Roman" w:cs="Times New Roman"/>
          <w:bCs/>
        </w:rPr>
        <w:t>Metastásico</w:t>
      </w:r>
      <w:r w:rsidR="002013C6" w:rsidRPr="00710E6C">
        <w:rPr>
          <w:rFonts w:ascii="Times New Roman" w:hAnsi="Times New Roman" w:cs="Times New Roman"/>
          <w:bCs/>
        </w:rPr>
        <w:t xml:space="preserve">; añadiendo que no han tomado como materia de análisis solo el certificado médico, sino toda la Historia </w:t>
      </w:r>
      <w:r w:rsidR="002013C6" w:rsidRPr="00710E6C">
        <w:rPr>
          <w:rFonts w:ascii="Times New Roman" w:hAnsi="Times New Roman" w:cs="Times New Roman"/>
          <w:bCs/>
          <w:lang w:val="es-ES"/>
        </w:rPr>
        <w:t>Clínica que en su momento remitió el padre de la asegurada.</w:t>
      </w:r>
    </w:p>
    <w:p w14:paraId="1446DCFF" w14:textId="7D98CC38" w:rsidR="00B91659" w:rsidRPr="00710E6C" w:rsidRDefault="00B91659" w:rsidP="00505939">
      <w:pPr>
        <w:pStyle w:val="Default"/>
        <w:jc w:val="both"/>
        <w:rPr>
          <w:rFonts w:ascii="Times New Roman" w:hAnsi="Times New Roman" w:cs="Times New Roman"/>
          <w:bCs/>
          <w:lang w:val="es-ES"/>
        </w:rPr>
      </w:pPr>
    </w:p>
    <w:p w14:paraId="54037724" w14:textId="2F5460E8" w:rsidR="00B91659" w:rsidRPr="00710E6C" w:rsidRDefault="00577B79" w:rsidP="00505939">
      <w:pPr>
        <w:pStyle w:val="Textoindependiente"/>
      </w:pPr>
      <w:r w:rsidRPr="00710E6C">
        <w:t>Que, revisa</w:t>
      </w:r>
      <w:r w:rsidR="00B50B29" w:rsidRPr="00710E6C">
        <w:t>n</w:t>
      </w:r>
      <w:r w:rsidRPr="00710E6C">
        <w:t xml:space="preserve">do el escrito a través del cual </w:t>
      </w:r>
      <w:r w:rsidR="00417B62">
        <w:t>..................</w:t>
      </w:r>
      <w:r w:rsidR="00417B62">
        <w:t xml:space="preserve"> </w:t>
      </w:r>
      <w:r w:rsidR="00776C97" w:rsidRPr="00710E6C">
        <w:t>remitió</w:t>
      </w:r>
      <w:r w:rsidRPr="00710E6C">
        <w:t xml:space="preserve"> </w:t>
      </w:r>
      <w:r w:rsidR="00776C97" w:rsidRPr="00710E6C">
        <w:t xml:space="preserve">la solicitud </w:t>
      </w:r>
      <w:r w:rsidRPr="00710E6C">
        <w:t xml:space="preserve">certificado de seguro requerido en la audiencia de vista, se constata que este fue presentado el 30 de julio de 2020 por correo electrónico cursado por la Gerencia de Operaciones de </w:t>
      </w:r>
      <w:r w:rsidR="00417B62">
        <w:t>..................</w:t>
      </w:r>
      <w:r w:rsidRPr="00710E6C">
        <w:t xml:space="preserve">. </w:t>
      </w:r>
      <w:r w:rsidR="00DD339A" w:rsidRPr="00710E6C">
        <w:t xml:space="preserve">Que en mérito a la entrega de dicho </w:t>
      </w:r>
      <w:r w:rsidR="00776C97" w:rsidRPr="00710E6C">
        <w:t xml:space="preserve">documento </w:t>
      </w:r>
      <w:r w:rsidR="00DD339A" w:rsidRPr="00710E6C">
        <w:t xml:space="preserve">esta Defensoría expidió la resolución </w:t>
      </w:r>
      <w:r w:rsidR="0054272E" w:rsidRPr="00710E6C">
        <w:t>de</w:t>
      </w:r>
      <w:r w:rsidR="00DD339A" w:rsidRPr="00710E6C">
        <w:t xml:space="preserve"> fecha 3 de agosto de 2020</w:t>
      </w:r>
      <w:r w:rsidR="00BB0070" w:rsidRPr="00710E6C">
        <w:t>, la cual fue notificada el 7 de agosto de 2020</w:t>
      </w:r>
      <w:r w:rsidR="00DD339A" w:rsidRPr="00710E6C">
        <w:t xml:space="preserve">. </w:t>
      </w:r>
      <w:r w:rsidRPr="00710E6C">
        <w:t xml:space="preserve">Que, sin embargo, por un error administrativo interno, </w:t>
      </w:r>
      <w:r w:rsidR="00BB0070" w:rsidRPr="00710E6C">
        <w:t xml:space="preserve">no se corrió traslado del </w:t>
      </w:r>
      <w:r w:rsidR="000565EF" w:rsidRPr="00710E6C">
        <w:t xml:space="preserve">indicado </w:t>
      </w:r>
      <w:r w:rsidR="00F923D5" w:rsidRPr="00710E6C">
        <w:t xml:space="preserve">correo electrónico </w:t>
      </w:r>
      <w:r w:rsidR="004816B5" w:rsidRPr="00710E6C">
        <w:t xml:space="preserve">presentado por la </w:t>
      </w:r>
      <w:r w:rsidR="00FB480E" w:rsidRPr="00710E6C">
        <w:t>aseguradora</w:t>
      </w:r>
      <w:r w:rsidR="004816B5" w:rsidRPr="00710E6C">
        <w:t xml:space="preserve"> antes de la emisión de la resolución impugnada, siendo que </w:t>
      </w:r>
      <w:r w:rsidR="00F923D5" w:rsidRPr="00710E6C">
        <w:t xml:space="preserve">recién </w:t>
      </w:r>
      <w:r w:rsidRPr="00710E6C">
        <w:t xml:space="preserve">se </w:t>
      </w:r>
      <w:r w:rsidRPr="00710E6C">
        <w:lastRenderedPageBreak/>
        <w:t>corrió traslado del mismo a la parte reclamante el 4 de agosto de 2020</w:t>
      </w:r>
      <w:r w:rsidR="004816B5" w:rsidRPr="00710E6C">
        <w:t xml:space="preserve">, </w:t>
      </w:r>
      <w:r w:rsidR="00F923D5" w:rsidRPr="00710E6C">
        <w:t xml:space="preserve">es decir, </w:t>
      </w:r>
      <w:r w:rsidR="004816B5" w:rsidRPr="00710E6C">
        <w:t xml:space="preserve">luego de resuelto el reclamo y antes de </w:t>
      </w:r>
      <w:r w:rsidR="00FE37AD" w:rsidRPr="00710E6C">
        <w:t xml:space="preserve">su </w:t>
      </w:r>
      <w:r w:rsidR="004816B5" w:rsidRPr="00710E6C">
        <w:t>notificación</w:t>
      </w:r>
      <w:r w:rsidR="00FE37AD" w:rsidRPr="00710E6C">
        <w:t>, siendo que el mismo 07 de agosto de 2020</w:t>
      </w:r>
      <w:r w:rsidR="00F923D5" w:rsidRPr="00710E6C">
        <w:t xml:space="preserve"> y minutos antes de ser notificada con la resolución </w:t>
      </w:r>
      <w:r w:rsidR="0054272E" w:rsidRPr="00710E6C">
        <w:t xml:space="preserve">que ahora </w:t>
      </w:r>
      <w:r w:rsidR="00F923D5" w:rsidRPr="00710E6C">
        <w:t>impugna</w:t>
      </w:r>
      <w:r w:rsidR="00FE37AD" w:rsidRPr="00710E6C">
        <w:t>,</w:t>
      </w:r>
      <w:r w:rsidRPr="00710E6C">
        <w:t xml:space="preserve"> la reclamante presentó un escrito pronunciándose sobre el certificado de seguro </w:t>
      </w:r>
      <w:r w:rsidR="00F923D5" w:rsidRPr="00710E6C">
        <w:t xml:space="preserve">remitido </w:t>
      </w:r>
      <w:r w:rsidRPr="00710E6C">
        <w:t>por la aseguradora y formulando una serie de observaciones</w:t>
      </w:r>
      <w:r w:rsidR="0054272E" w:rsidRPr="00710E6C">
        <w:t>,</w:t>
      </w:r>
      <w:r w:rsidRPr="00710E6C">
        <w:t xml:space="preserve"> lo que ya no pudo ser evaluado</w:t>
      </w:r>
      <w:r w:rsidR="00411D7E" w:rsidRPr="00710E6C">
        <w:t>.</w:t>
      </w:r>
    </w:p>
    <w:p w14:paraId="2D8ABB54" w14:textId="3E414D5F" w:rsidR="0054272E" w:rsidRPr="00710E6C" w:rsidRDefault="0054272E" w:rsidP="00505939">
      <w:pPr>
        <w:pStyle w:val="Textoindependiente"/>
      </w:pPr>
    </w:p>
    <w:p w14:paraId="547A9925" w14:textId="2CB81E75" w:rsidR="00D9277E" w:rsidRPr="00710E6C" w:rsidRDefault="0054272E" w:rsidP="00505939">
      <w:pPr>
        <w:pStyle w:val="Textoindependiente"/>
      </w:pPr>
      <w:r w:rsidRPr="00710E6C">
        <w:t xml:space="preserve">Que, con fecha </w:t>
      </w:r>
      <w:r w:rsidR="00CB521A" w:rsidRPr="00710E6C">
        <w:t>25 de setiembre de 20</w:t>
      </w:r>
      <w:r w:rsidR="00F1785E" w:rsidRPr="00710E6C">
        <w:t xml:space="preserve">20 la aseguradora </w:t>
      </w:r>
      <w:r w:rsidR="00E66767" w:rsidRPr="00710E6C">
        <w:t xml:space="preserve">precisó que su decisión se basó en lo establecido en el certificado médico, acta de </w:t>
      </w:r>
      <w:r w:rsidR="002D3462" w:rsidRPr="00710E6C">
        <w:t>defunción</w:t>
      </w:r>
      <w:r w:rsidR="00E66767" w:rsidRPr="00710E6C">
        <w:t xml:space="preserve"> e historia clínica; que de haber alguna discrepancia con dichos documentos médicos legales </w:t>
      </w:r>
      <w:r w:rsidR="004A0BFE" w:rsidRPr="00710E6C">
        <w:t>corresponde a la reclamante solicitar su rectificación o modificación a las autoridades pertinentes</w:t>
      </w:r>
      <w:r w:rsidR="00D9277E" w:rsidRPr="00710E6C">
        <w:t>.</w:t>
      </w:r>
    </w:p>
    <w:p w14:paraId="2BD2D89F" w14:textId="77777777" w:rsidR="00D9277E" w:rsidRPr="00710E6C" w:rsidRDefault="00D9277E" w:rsidP="00505939">
      <w:pPr>
        <w:pStyle w:val="Textoindependiente"/>
      </w:pPr>
    </w:p>
    <w:p w14:paraId="258B4ED1" w14:textId="746EA6C2" w:rsidR="00577B79" w:rsidRPr="00710E6C" w:rsidRDefault="00D9277E" w:rsidP="00505939">
      <w:pPr>
        <w:pStyle w:val="Default"/>
        <w:jc w:val="both"/>
        <w:rPr>
          <w:rFonts w:ascii="Times New Roman" w:hAnsi="Times New Roman" w:cs="Times New Roman"/>
          <w:bCs/>
        </w:rPr>
      </w:pPr>
      <w:r w:rsidRPr="00710E6C">
        <w:rPr>
          <w:rFonts w:ascii="Times New Roman" w:hAnsi="Times New Roman" w:cs="Times New Roman"/>
          <w:bCs/>
        </w:rPr>
        <w:t xml:space="preserve">Que con fecha </w:t>
      </w:r>
      <w:r w:rsidR="00BC02E3" w:rsidRPr="00710E6C">
        <w:rPr>
          <w:rFonts w:ascii="Times New Roman" w:hAnsi="Times New Roman" w:cs="Times New Roman"/>
          <w:bCs/>
        </w:rPr>
        <w:t xml:space="preserve">28 de setiembre de 2020 la reclamante </w:t>
      </w:r>
      <w:r w:rsidR="00483E6B" w:rsidRPr="00710E6C">
        <w:rPr>
          <w:rFonts w:ascii="Times New Roman" w:hAnsi="Times New Roman" w:cs="Times New Roman"/>
          <w:bCs/>
        </w:rPr>
        <w:t xml:space="preserve">entre otras consideraciones señala que </w:t>
      </w:r>
      <w:r w:rsidR="00982FC4" w:rsidRPr="00710E6C">
        <w:rPr>
          <w:rFonts w:ascii="Times New Roman" w:hAnsi="Times New Roman" w:cs="Times New Roman"/>
          <w:bCs/>
        </w:rPr>
        <w:t xml:space="preserve">nunca ha negado que su hermana sufriera de una neoplasia maligna de endometrio en el año 2016, </w:t>
      </w:r>
      <w:r w:rsidR="00AF41BB" w:rsidRPr="00710E6C">
        <w:rPr>
          <w:rFonts w:ascii="Times New Roman" w:hAnsi="Times New Roman" w:cs="Times New Roman"/>
          <w:bCs/>
        </w:rPr>
        <w:t xml:space="preserve">que se debería pedir a </w:t>
      </w:r>
      <w:r w:rsidR="00417B62">
        <w:rPr>
          <w:rFonts w:ascii="Times New Roman" w:hAnsi="Times New Roman"/>
        </w:rPr>
        <w:t>..................</w:t>
      </w:r>
      <w:r w:rsidR="00AF41BB" w:rsidRPr="00710E6C">
        <w:rPr>
          <w:rFonts w:ascii="Times New Roman" w:hAnsi="Times New Roman" w:cs="Times New Roman"/>
          <w:bCs/>
        </w:rPr>
        <w:t xml:space="preserve"> un informe médico de un </w:t>
      </w:r>
      <w:r w:rsidR="002D3462" w:rsidRPr="00710E6C">
        <w:rPr>
          <w:rFonts w:ascii="Times New Roman" w:hAnsi="Times New Roman" w:cs="Times New Roman"/>
          <w:bCs/>
        </w:rPr>
        <w:t>oncólogo</w:t>
      </w:r>
      <w:r w:rsidR="00AF41BB" w:rsidRPr="00710E6C">
        <w:rPr>
          <w:rFonts w:ascii="Times New Roman" w:hAnsi="Times New Roman" w:cs="Times New Roman"/>
          <w:bCs/>
        </w:rPr>
        <w:t xml:space="preserve"> que indique expresamente que su hermana falleció de un cáncer de endometrio metastásico</w:t>
      </w:r>
      <w:r w:rsidR="00E423D9" w:rsidRPr="00710E6C">
        <w:rPr>
          <w:rFonts w:ascii="Times New Roman" w:hAnsi="Times New Roman" w:cs="Times New Roman"/>
          <w:bCs/>
        </w:rPr>
        <w:t>; ya que lo consignado en el certificado de defunción fue un error</w:t>
      </w:r>
      <w:r w:rsidR="001A1052" w:rsidRPr="00710E6C">
        <w:rPr>
          <w:rFonts w:ascii="Times New Roman" w:hAnsi="Times New Roman" w:cs="Times New Roman"/>
          <w:bCs/>
        </w:rPr>
        <w:t xml:space="preserve"> al no existir una biopsia que determina que el cáncer de endometrio era metastásico</w:t>
      </w:r>
      <w:r w:rsidR="002D3462" w:rsidRPr="00710E6C">
        <w:rPr>
          <w:rFonts w:ascii="Times New Roman" w:hAnsi="Times New Roman" w:cs="Times New Roman"/>
          <w:bCs/>
        </w:rPr>
        <w:t xml:space="preserve">; que no formuló contradicción alguna respecto del certificado de defunción porque </w:t>
      </w:r>
      <w:r w:rsidR="008A1A4F" w:rsidRPr="00710E6C">
        <w:rPr>
          <w:rFonts w:ascii="Times New Roman" w:hAnsi="Times New Roman" w:cs="Times New Roman"/>
          <w:bCs/>
        </w:rPr>
        <w:t xml:space="preserve"> se percat</w:t>
      </w:r>
      <w:r w:rsidR="00A739D6" w:rsidRPr="00710E6C">
        <w:rPr>
          <w:rFonts w:ascii="Times New Roman" w:hAnsi="Times New Roman" w:cs="Times New Roman"/>
          <w:bCs/>
        </w:rPr>
        <w:t>ó</w:t>
      </w:r>
      <w:r w:rsidR="008A1A4F" w:rsidRPr="00710E6C">
        <w:rPr>
          <w:rFonts w:ascii="Times New Roman" w:hAnsi="Times New Roman" w:cs="Times New Roman"/>
          <w:bCs/>
        </w:rPr>
        <w:t xml:space="preserve"> del error con motivo del rechazo de su reclamo y no tenía conocimiento que podía formular contradicción, lo cual además podría poner en riesgo su salud dada la cuarentena</w:t>
      </w:r>
      <w:r w:rsidR="00AD45C3" w:rsidRPr="00710E6C">
        <w:rPr>
          <w:rFonts w:ascii="Times New Roman" w:hAnsi="Times New Roman" w:cs="Times New Roman"/>
          <w:bCs/>
        </w:rPr>
        <w:t>.</w:t>
      </w:r>
    </w:p>
    <w:p w14:paraId="1E428376" w14:textId="77777777" w:rsidR="00A739D6" w:rsidRPr="00710E6C" w:rsidRDefault="00A739D6" w:rsidP="00505939">
      <w:pPr>
        <w:pStyle w:val="Textoindependiente"/>
        <w:tabs>
          <w:tab w:val="left" w:pos="930"/>
        </w:tabs>
        <w:rPr>
          <w:lang w:val="es-PE"/>
        </w:rPr>
      </w:pPr>
    </w:p>
    <w:p w14:paraId="392CC788" w14:textId="52338A03" w:rsidR="00B91659" w:rsidRPr="00710E6C" w:rsidRDefault="00B91659" w:rsidP="00505939">
      <w:pPr>
        <w:pStyle w:val="Textoindependiente"/>
        <w:tabs>
          <w:tab w:val="left" w:pos="930"/>
        </w:tabs>
      </w:pPr>
      <w:r w:rsidRPr="00710E6C">
        <w:t>Atendiendo a lo expuesto, esta Defensoría resuelve finalmente lo siguiente:</w:t>
      </w:r>
    </w:p>
    <w:p w14:paraId="69DF7947" w14:textId="77777777" w:rsidR="00B91659" w:rsidRPr="00710E6C" w:rsidRDefault="00B91659" w:rsidP="00505939">
      <w:pPr>
        <w:pStyle w:val="Default"/>
        <w:jc w:val="both"/>
        <w:rPr>
          <w:rFonts w:ascii="Times New Roman" w:hAnsi="Times New Roman" w:cs="Times New Roman"/>
          <w:bCs/>
          <w:lang w:val="es-MX"/>
        </w:rPr>
      </w:pPr>
    </w:p>
    <w:p w14:paraId="1C92D05C" w14:textId="4B9C3C92" w:rsidR="00035FC5" w:rsidRPr="00710E6C" w:rsidRDefault="009B46DD" w:rsidP="00505939">
      <w:pPr>
        <w:jc w:val="both"/>
        <w:rPr>
          <w:bCs/>
          <w:lang w:val="es-PE"/>
        </w:rPr>
      </w:pPr>
      <w:r w:rsidRPr="00710E6C">
        <w:rPr>
          <w:b/>
          <w:u w:val="single"/>
          <w:lang w:val="es-PE"/>
        </w:rPr>
        <w:t>PRIMERO</w:t>
      </w:r>
      <w:r w:rsidRPr="00710E6C">
        <w:rPr>
          <w:b/>
          <w:lang w:val="es-PE"/>
        </w:rPr>
        <w:t>:</w:t>
      </w:r>
      <w:r w:rsidRPr="00710E6C">
        <w:rPr>
          <w:bCs/>
          <w:lang w:val="es-PE"/>
        </w:rPr>
        <w:t xml:space="preserve"> </w:t>
      </w:r>
      <w:r w:rsidR="00035FC5" w:rsidRPr="00710E6C">
        <w:rPr>
          <w:bCs/>
          <w:lang w:val="es-PE"/>
        </w:rPr>
        <w:t xml:space="preserve">El artículo 10 (Procedimiento) del Reglamento de la DEFASEG </w:t>
      </w:r>
      <w:r w:rsidR="00035FC5" w:rsidRPr="00710E6C">
        <w:rPr>
          <w:rFonts w:eastAsia="Arial Unicode MS"/>
          <w:bCs/>
          <w:lang w:val="es-PE"/>
        </w:rPr>
        <w:t>(http://www.defaseg.com.pe/reglamento)</w:t>
      </w:r>
      <w:r w:rsidR="00035FC5" w:rsidRPr="00710E6C">
        <w:rPr>
          <w:bCs/>
          <w:lang w:val="es-PE"/>
        </w:rPr>
        <w:t xml:space="preserve"> establece que cualquiera de las partes que no se encuentre de acuerdo con la decisión adoptada por el colegiado sobre la materia reclamada, podrá impugnarla, interponiendo el correspondiente recurso de impugnación.  </w:t>
      </w:r>
    </w:p>
    <w:p w14:paraId="47500EB2" w14:textId="77777777" w:rsidR="00035FC5" w:rsidRPr="00710E6C" w:rsidRDefault="00035FC5" w:rsidP="00505939">
      <w:pPr>
        <w:jc w:val="both"/>
        <w:rPr>
          <w:bCs/>
          <w:lang w:val="es-PE"/>
        </w:rPr>
      </w:pPr>
    </w:p>
    <w:p w14:paraId="6550A21F" w14:textId="77777777" w:rsidR="00035FC5" w:rsidRPr="00710E6C" w:rsidRDefault="00035FC5" w:rsidP="00505939">
      <w:pPr>
        <w:jc w:val="both"/>
        <w:rPr>
          <w:bCs/>
          <w:lang w:val="es-PE"/>
        </w:rPr>
      </w:pPr>
      <w:r w:rsidRPr="00710E6C">
        <w:rPr>
          <w:bCs/>
          <w:lang w:val="es-PE"/>
        </w:rPr>
        <w:t>Conforme a ello, en el caso concreto, al interponer el recurso de impugnación la reclamante ha ejercido formalmente su derecho a contradecir lo resuelto por la Defensoría.</w:t>
      </w:r>
    </w:p>
    <w:p w14:paraId="616868D5" w14:textId="77777777" w:rsidR="00035FC5" w:rsidRPr="00710E6C" w:rsidRDefault="00035FC5" w:rsidP="00505939">
      <w:pPr>
        <w:pStyle w:val="Textoindependiente"/>
        <w:tabs>
          <w:tab w:val="left" w:pos="0"/>
          <w:tab w:val="left" w:pos="720"/>
        </w:tabs>
        <w:rPr>
          <w:u w:val="single"/>
          <w:lang w:val="es-PE"/>
        </w:rPr>
      </w:pPr>
    </w:p>
    <w:p w14:paraId="3671BFC7" w14:textId="2294A183" w:rsidR="005E4F16" w:rsidRPr="00710E6C" w:rsidRDefault="00F16D3E" w:rsidP="00505939">
      <w:pPr>
        <w:jc w:val="both"/>
        <w:rPr>
          <w:bCs/>
          <w:lang w:val="es-PE"/>
        </w:rPr>
      </w:pPr>
      <w:r w:rsidRPr="00710E6C">
        <w:rPr>
          <w:b/>
          <w:u w:val="single"/>
          <w:lang w:val="es-PE"/>
        </w:rPr>
        <w:t>SEGUNDO:</w:t>
      </w:r>
      <w:r w:rsidRPr="00710E6C">
        <w:rPr>
          <w:bCs/>
          <w:lang w:val="es-PE"/>
        </w:rPr>
        <w:t xml:space="preserve">  </w:t>
      </w:r>
      <w:r w:rsidR="00FC0ECE" w:rsidRPr="00710E6C">
        <w:rPr>
          <w:bCs/>
          <w:lang w:val="es-PE"/>
        </w:rPr>
        <w:t xml:space="preserve">Que </w:t>
      </w:r>
      <w:r w:rsidR="0054272E" w:rsidRPr="00710E6C">
        <w:rPr>
          <w:bCs/>
          <w:lang w:val="es-PE"/>
        </w:rPr>
        <w:t>por</w:t>
      </w:r>
      <w:r w:rsidR="00FC0ECE" w:rsidRPr="00710E6C">
        <w:rPr>
          <w:bCs/>
          <w:lang w:val="es-PE"/>
        </w:rPr>
        <w:t xml:space="preserve"> un error administrativo no se notificó oportunamente </w:t>
      </w:r>
      <w:r w:rsidR="00114B3A" w:rsidRPr="00710E6C">
        <w:rPr>
          <w:bCs/>
          <w:lang w:val="es-PE"/>
        </w:rPr>
        <w:t xml:space="preserve">a la reclamante </w:t>
      </w:r>
      <w:r w:rsidR="00FC0ECE" w:rsidRPr="00710E6C">
        <w:rPr>
          <w:bCs/>
          <w:lang w:val="es-PE"/>
        </w:rPr>
        <w:t xml:space="preserve">del </w:t>
      </w:r>
      <w:r w:rsidR="00114B3A" w:rsidRPr="00710E6C">
        <w:rPr>
          <w:bCs/>
          <w:lang w:val="es-PE"/>
        </w:rPr>
        <w:t xml:space="preserve">certificado de seguro remitido por </w:t>
      </w:r>
      <w:r w:rsidR="00FC0ECE" w:rsidRPr="00710E6C">
        <w:rPr>
          <w:bCs/>
          <w:lang w:val="es-PE"/>
        </w:rPr>
        <w:t xml:space="preserve">la aseguradora </w:t>
      </w:r>
      <w:r w:rsidR="00114B3A" w:rsidRPr="00710E6C">
        <w:rPr>
          <w:bCs/>
          <w:lang w:val="es-PE"/>
        </w:rPr>
        <w:t xml:space="preserve">y requerido </w:t>
      </w:r>
      <w:r w:rsidR="00FC0ECE" w:rsidRPr="00710E6C">
        <w:rPr>
          <w:bCs/>
          <w:lang w:val="es-PE"/>
        </w:rPr>
        <w:t xml:space="preserve">en la audiencia de vista, lo que en opinión de la reclamante habría afectado su derecho de defensa. Que, no obstante, </w:t>
      </w:r>
      <w:r w:rsidR="00BE23C7" w:rsidRPr="00710E6C">
        <w:rPr>
          <w:bCs/>
          <w:lang w:val="es-PE"/>
        </w:rPr>
        <w:t xml:space="preserve">la reclamante ha podido presentar el recurso impugnatorio lo que le permite </w:t>
      </w:r>
      <w:r w:rsidR="00A66B5D" w:rsidRPr="00710E6C">
        <w:rPr>
          <w:bCs/>
          <w:lang w:val="es-PE"/>
        </w:rPr>
        <w:t>a</w:t>
      </w:r>
      <w:r w:rsidR="00BD5D6F" w:rsidRPr="00710E6C">
        <w:rPr>
          <w:bCs/>
          <w:lang w:val="es-PE"/>
        </w:rPr>
        <w:t xml:space="preserve"> este colegiado evaluar y analizar </w:t>
      </w:r>
      <w:r w:rsidR="00A66B5D" w:rsidRPr="00710E6C">
        <w:rPr>
          <w:bCs/>
          <w:lang w:val="es-PE"/>
        </w:rPr>
        <w:t>sus observaciones.</w:t>
      </w:r>
      <w:r w:rsidR="005E4F16" w:rsidRPr="00710E6C">
        <w:rPr>
          <w:bCs/>
          <w:lang w:val="es-PE"/>
        </w:rPr>
        <w:t xml:space="preserve"> </w:t>
      </w:r>
      <w:r w:rsidR="00BD5D6F" w:rsidRPr="00710E6C">
        <w:rPr>
          <w:bCs/>
          <w:lang w:val="es-PE"/>
        </w:rPr>
        <w:t>Que, por lo tanto</w:t>
      </w:r>
      <w:r w:rsidR="001368EB" w:rsidRPr="00710E6C">
        <w:rPr>
          <w:bCs/>
          <w:lang w:val="es-PE"/>
        </w:rPr>
        <w:t>,</w:t>
      </w:r>
      <w:r w:rsidR="00BD5D6F" w:rsidRPr="00710E6C">
        <w:rPr>
          <w:bCs/>
          <w:lang w:val="es-PE"/>
        </w:rPr>
        <w:t xml:space="preserve"> </w:t>
      </w:r>
      <w:r w:rsidR="005E4F16" w:rsidRPr="00710E6C">
        <w:rPr>
          <w:bCs/>
          <w:lang w:val="es-PE"/>
        </w:rPr>
        <w:t xml:space="preserve">a través de dicho recurso puede ejercer su derecho de defensa. </w:t>
      </w:r>
      <w:r w:rsidR="00FA4C1B" w:rsidRPr="00710E6C">
        <w:rPr>
          <w:bCs/>
          <w:lang w:val="es-PE"/>
        </w:rPr>
        <w:t xml:space="preserve">Sin perjuicio de lo cual lamenta el </w:t>
      </w:r>
      <w:r w:rsidR="001754E0" w:rsidRPr="00710E6C">
        <w:rPr>
          <w:bCs/>
          <w:lang w:val="es-PE"/>
        </w:rPr>
        <w:t>error en la omisión d</w:t>
      </w:r>
      <w:r w:rsidR="00DA261E" w:rsidRPr="00710E6C">
        <w:rPr>
          <w:bCs/>
          <w:lang w:val="es-PE"/>
        </w:rPr>
        <w:t xml:space="preserve">el envío del documento presentado por la aseguradora, así como el </w:t>
      </w:r>
      <w:r w:rsidR="00FA4C1B" w:rsidRPr="00710E6C">
        <w:rPr>
          <w:bCs/>
          <w:lang w:val="es-PE"/>
        </w:rPr>
        <w:t>inconveniente causado y se pronunciará a través de esta resolución sobre lo</w:t>
      </w:r>
      <w:r w:rsidR="00FB432F" w:rsidRPr="00710E6C">
        <w:rPr>
          <w:bCs/>
          <w:lang w:val="es-PE"/>
        </w:rPr>
        <w:t xml:space="preserve">s aspectos pertinentes </w:t>
      </w:r>
      <w:r w:rsidR="003E5554" w:rsidRPr="00710E6C">
        <w:rPr>
          <w:bCs/>
          <w:lang w:val="es-PE"/>
        </w:rPr>
        <w:t xml:space="preserve">expresados por la reclamante en su escrito de fecha </w:t>
      </w:r>
      <w:r w:rsidR="00913E95" w:rsidRPr="00710E6C">
        <w:rPr>
          <w:bCs/>
          <w:lang w:val="es-PE"/>
        </w:rPr>
        <w:t xml:space="preserve">07 de </w:t>
      </w:r>
      <w:r w:rsidR="001754E0" w:rsidRPr="00710E6C">
        <w:rPr>
          <w:bCs/>
          <w:lang w:val="es-PE"/>
        </w:rPr>
        <w:t xml:space="preserve">agosto </w:t>
      </w:r>
      <w:r w:rsidR="00913E95" w:rsidRPr="00710E6C">
        <w:rPr>
          <w:bCs/>
          <w:lang w:val="es-PE"/>
        </w:rPr>
        <w:t>de 2020</w:t>
      </w:r>
      <w:r w:rsidR="00AA0AC5" w:rsidRPr="00710E6C">
        <w:rPr>
          <w:bCs/>
          <w:lang w:val="es-PE"/>
        </w:rPr>
        <w:t>, resumidos en su recurso impugnatorio</w:t>
      </w:r>
      <w:r w:rsidR="00913E95" w:rsidRPr="00710E6C">
        <w:rPr>
          <w:bCs/>
          <w:lang w:val="es-PE"/>
        </w:rPr>
        <w:t xml:space="preserve">. </w:t>
      </w:r>
    </w:p>
    <w:p w14:paraId="0610E3B2" w14:textId="77777777" w:rsidR="005E4F16" w:rsidRPr="00710E6C" w:rsidRDefault="005E4F16" w:rsidP="00505939">
      <w:pPr>
        <w:jc w:val="both"/>
        <w:rPr>
          <w:bCs/>
          <w:lang w:val="es-PE"/>
        </w:rPr>
      </w:pPr>
    </w:p>
    <w:p w14:paraId="1BC0A3FE" w14:textId="75E1F8A2" w:rsidR="0032246D" w:rsidRPr="00710E6C" w:rsidRDefault="00A5769A" w:rsidP="00505939">
      <w:pPr>
        <w:pStyle w:val="Textoindependiente"/>
      </w:pPr>
      <w:r w:rsidRPr="00710E6C">
        <w:rPr>
          <w:b/>
          <w:bCs w:val="0"/>
          <w:u w:val="single"/>
        </w:rPr>
        <w:t>TERCERA:</w:t>
      </w:r>
      <w:r w:rsidRPr="00710E6C">
        <w:t xml:space="preserve"> </w:t>
      </w:r>
      <w:r w:rsidR="00AD45C3" w:rsidRPr="00710E6C">
        <w:t>Que, l</w:t>
      </w:r>
      <w:r w:rsidR="0032246D" w:rsidRPr="00710E6C">
        <w:t>a reclamante considera que la resolución impugnada no se ha pronunciado sobre una serie de aspectos y solicita que se analice</w:t>
      </w:r>
      <w:r w:rsidR="006403E0" w:rsidRPr="00710E6C">
        <w:t>, entre otros aspectos,</w:t>
      </w:r>
      <w:r w:rsidR="0032246D" w:rsidRPr="00710E6C">
        <w:t xml:space="preserve"> lo</w:t>
      </w:r>
      <w:r w:rsidR="00D77344" w:rsidRPr="00710E6C">
        <w:t>s</w:t>
      </w:r>
      <w:r w:rsidR="0032246D" w:rsidRPr="00710E6C">
        <w:t xml:space="preserve"> siguiente</w:t>
      </w:r>
      <w:r w:rsidR="00D77344" w:rsidRPr="00710E6C">
        <w:t>s</w:t>
      </w:r>
      <w:r w:rsidR="0032246D" w:rsidRPr="00710E6C">
        <w:t xml:space="preserve">: </w:t>
      </w:r>
    </w:p>
    <w:p w14:paraId="273CF13D" w14:textId="77777777" w:rsidR="0032246D" w:rsidRPr="00710E6C" w:rsidRDefault="0032246D" w:rsidP="00505939">
      <w:pPr>
        <w:pStyle w:val="Textoindependiente"/>
      </w:pPr>
    </w:p>
    <w:p w14:paraId="6021BE21" w14:textId="77777777" w:rsidR="0032246D" w:rsidRPr="00710E6C" w:rsidRDefault="0032246D" w:rsidP="00505939">
      <w:pPr>
        <w:pStyle w:val="Textoindependiente"/>
        <w:numPr>
          <w:ilvl w:val="0"/>
          <w:numId w:val="2"/>
        </w:numPr>
        <w:rPr>
          <w:b/>
          <w:bCs w:val="0"/>
        </w:rPr>
      </w:pPr>
      <w:r w:rsidRPr="00710E6C">
        <w:rPr>
          <w:b/>
          <w:bCs w:val="0"/>
        </w:rPr>
        <w:t>Informes médicos presentados por la parte reclamante</w:t>
      </w:r>
    </w:p>
    <w:p w14:paraId="3A756498" w14:textId="77777777" w:rsidR="0032246D" w:rsidRPr="00710E6C" w:rsidRDefault="0032246D" w:rsidP="00505939">
      <w:pPr>
        <w:pStyle w:val="Textoindependiente"/>
        <w:ind w:left="720"/>
      </w:pPr>
    </w:p>
    <w:p w14:paraId="47836CD6" w14:textId="575C48F8" w:rsidR="00832AF9" w:rsidRPr="00710E6C" w:rsidRDefault="0032246D" w:rsidP="001D7BAF">
      <w:pPr>
        <w:pStyle w:val="Textoindependiente"/>
        <w:ind w:left="360"/>
        <w:rPr>
          <w:rFonts w:eastAsiaTheme="minorHAnsi"/>
          <w:color w:val="000000"/>
          <w:lang w:val="es-PE" w:eastAsia="en-US"/>
        </w:rPr>
      </w:pPr>
      <w:r w:rsidRPr="00710E6C">
        <w:t xml:space="preserve">La reclamante señala que </w:t>
      </w:r>
      <w:r w:rsidR="00F17500" w:rsidRPr="00710E6C">
        <w:t>se incurre en un grave error</w:t>
      </w:r>
      <w:r w:rsidR="00A207C6" w:rsidRPr="00710E6C">
        <w:t xml:space="preserve"> y una falsedad </w:t>
      </w:r>
      <w:r w:rsidR="00F17500" w:rsidRPr="00710E6C">
        <w:t>cuando</w:t>
      </w:r>
      <w:r w:rsidR="00DA261E" w:rsidRPr="00710E6C">
        <w:t xml:space="preserve"> se</w:t>
      </w:r>
      <w:r w:rsidR="00F17500" w:rsidRPr="00710E6C">
        <w:t xml:space="preserve"> señala</w:t>
      </w:r>
      <w:r w:rsidR="00DA261E" w:rsidRPr="00710E6C">
        <w:t xml:space="preserve">: </w:t>
      </w:r>
      <w:r w:rsidR="00A207C6" w:rsidRPr="00710E6C">
        <w:rPr>
          <w:rFonts w:eastAsiaTheme="minorHAnsi"/>
          <w:i/>
          <w:iCs/>
          <w:color w:val="000000"/>
          <w:lang w:val="es-PE" w:eastAsia="en-US"/>
        </w:rPr>
        <w:t>“……No obstante más allá de sostener que ello se desprende de</w:t>
      </w:r>
      <w:r w:rsidR="00AD45C3" w:rsidRPr="00710E6C">
        <w:rPr>
          <w:rFonts w:eastAsiaTheme="minorHAnsi"/>
          <w:i/>
          <w:iCs/>
          <w:color w:val="000000"/>
          <w:lang w:val="es-PE" w:eastAsia="en-US"/>
        </w:rPr>
        <w:t xml:space="preserve"> </w:t>
      </w:r>
      <w:r w:rsidR="00A207C6" w:rsidRPr="00710E6C">
        <w:rPr>
          <w:rFonts w:eastAsiaTheme="minorHAnsi"/>
          <w:i/>
          <w:iCs/>
          <w:color w:val="000000"/>
          <w:lang w:val="es-PE" w:eastAsia="en-US"/>
        </w:rPr>
        <w:t>la historia clínica del INEN no adjunta un informe médico que llegue a esa conclusión….”</w:t>
      </w:r>
      <w:r w:rsidR="00370DEA" w:rsidRPr="00710E6C">
        <w:rPr>
          <w:rFonts w:eastAsiaTheme="minorHAnsi"/>
          <w:i/>
          <w:iCs/>
          <w:color w:val="000000"/>
          <w:lang w:val="es-PE" w:eastAsia="en-US"/>
        </w:rPr>
        <w:t>,</w:t>
      </w:r>
      <w:r w:rsidR="00370DEA" w:rsidRPr="00710E6C">
        <w:rPr>
          <w:rFonts w:eastAsiaTheme="minorHAnsi"/>
          <w:color w:val="000000"/>
          <w:lang w:val="es-PE" w:eastAsia="en-US"/>
        </w:rPr>
        <w:t xml:space="preserve"> pues considera que los informes médicos del</w:t>
      </w:r>
      <w:r w:rsidR="00A207C6" w:rsidRPr="00710E6C">
        <w:rPr>
          <w:rFonts w:eastAsiaTheme="minorHAnsi"/>
          <w:color w:val="000000"/>
          <w:lang w:val="es-PE" w:eastAsia="en-US"/>
        </w:rPr>
        <w:t xml:space="preserve"> Dr. </w:t>
      </w:r>
      <w:r w:rsidR="00417B62">
        <w:t>..................</w:t>
      </w:r>
      <w:r w:rsidR="00A207C6" w:rsidRPr="00710E6C">
        <w:rPr>
          <w:rFonts w:eastAsiaTheme="minorHAnsi"/>
          <w:color w:val="000000"/>
          <w:lang w:val="es-PE" w:eastAsia="en-US"/>
        </w:rPr>
        <w:t>, los 4 Informes anatomopatológicos, biopsias del INEN del 2019</w:t>
      </w:r>
      <w:r w:rsidR="000D65A0" w:rsidRPr="00710E6C">
        <w:rPr>
          <w:rFonts w:eastAsiaTheme="minorHAnsi"/>
          <w:color w:val="000000"/>
          <w:lang w:val="es-PE" w:eastAsia="en-US"/>
        </w:rPr>
        <w:t xml:space="preserve"> </w:t>
      </w:r>
      <w:r w:rsidR="00A207C6" w:rsidRPr="00710E6C">
        <w:rPr>
          <w:rFonts w:eastAsiaTheme="minorHAnsi"/>
          <w:color w:val="000000"/>
          <w:lang w:val="es-PE" w:eastAsia="en-US"/>
        </w:rPr>
        <w:t xml:space="preserve"> determinan que </w:t>
      </w:r>
      <w:r w:rsidR="000D65A0" w:rsidRPr="00710E6C">
        <w:rPr>
          <w:rFonts w:eastAsiaTheme="minorHAnsi"/>
          <w:color w:val="000000"/>
          <w:lang w:val="es-PE" w:eastAsia="en-US"/>
        </w:rPr>
        <w:t>su</w:t>
      </w:r>
      <w:r w:rsidR="00A207C6" w:rsidRPr="00710E6C">
        <w:rPr>
          <w:rFonts w:eastAsiaTheme="minorHAnsi"/>
          <w:color w:val="000000"/>
          <w:lang w:val="es-PE" w:eastAsia="en-US"/>
        </w:rPr>
        <w:t xml:space="preserve"> hermana tenía un Sarcoma (que figura anotado en el certificado de defunción)   y Carcinoma, los cuales no fueron valorados individual ni conjuntamente y, que obran en el expediente</w:t>
      </w:r>
      <w:r w:rsidR="00832AF9" w:rsidRPr="00710E6C">
        <w:rPr>
          <w:rFonts w:eastAsiaTheme="minorHAnsi"/>
          <w:color w:val="000000"/>
          <w:lang w:val="es-PE" w:eastAsia="en-US"/>
        </w:rPr>
        <w:t>; y que no existe informe médico, pruebas médicas, biopsias que acrediten que su hermana tenía una neoplasia maligna de endometrio metastásico consignado erróneamente en el certificado de defunción por un médico no especialista en oncología.</w:t>
      </w:r>
    </w:p>
    <w:p w14:paraId="0EE49E4E" w14:textId="77777777" w:rsidR="00832AF9" w:rsidRPr="00710E6C" w:rsidRDefault="00832AF9" w:rsidP="00505939">
      <w:pPr>
        <w:pStyle w:val="Textoindependiente"/>
      </w:pPr>
    </w:p>
    <w:p w14:paraId="56D8AF7E" w14:textId="77777777" w:rsidR="00E41576" w:rsidRPr="00710E6C" w:rsidRDefault="00E41576" w:rsidP="001D7BAF">
      <w:pPr>
        <w:pStyle w:val="Textoindependiente"/>
        <w:ind w:left="360"/>
        <w:rPr>
          <w:i/>
          <w:iCs/>
        </w:rPr>
      </w:pPr>
      <w:r w:rsidRPr="00710E6C">
        <w:t xml:space="preserve">La frase completa señalada en la resolución impugnada indica lo siguiente: </w:t>
      </w:r>
      <w:r w:rsidRPr="00710E6C">
        <w:rPr>
          <w:i/>
          <w:iCs/>
        </w:rPr>
        <w:t>“</w:t>
      </w:r>
      <w:r w:rsidR="00F17500" w:rsidRPr="00710E6C">
        <w:rPr>
          <w:i/>
          <w:iCs/>
        </w:rPr>
        <w:t>La reclamante discrepa que el cáncer haya sido la causa del fallecimiento y considera que ese fue un error del médico que completó el certificado de defunción. No obstante, más allá de sostener que ello se desprende de la historia clínica del INEN no adjunta un informe médico que llegue a esa conclusión.</w:t>
      </w:r>
      <w:r w:rsidRPr="00710E6C">
        <w:rPr>
          <w:i/>
          <w:iCs/>
        </w:rPr>
        <w:t>”</w:t>
      </w:r>
    </w:p>
    <w:p w14:paraId="66EF8120" w14:textId="77777777" w:rsidR="00E41576" w:rsidRPr="00710E6C" w:rsidRDefault="00E41576" w:rsidP="001D7BAF">
      <w:pPr>
        <w:pStyle w:val="Textoindependiente"/>
        <w:ind w:left="360"/>
      </w:pPr>
    </w:p>
    <w:p w14:paraId="73C43DB5" w14:textId="7E7E7B10" w:rsidR="00297051" w:rsidRPr="00710E6C" w:rsidRDefault="0098153B" w:rsidP="001D7BAF">
      <w:pPr>
        <w:pStyle w:val="Default"/>
        <w:ind w:left="360"/>
        <w:jc w:val="both"/>
        <w:rPr>
          <w:rFonts w:ascii="Times New Roman" w:hAnsi="Times New Roman" w:cs="Times New Roman"/>
          <w:bCs/>
        </w:rPr>
      </w:pPr>
      <w:r w:rsidRPr="00710E6C">
        <w:rPr>
          <w:rFonts w:ascii="Times New Roman" w:hAnsi="Times New Roman" w:cs="Times New Roman"/>
          <w:bCs/>
        </w:rPr>
        <w:t xml:space="preserve">Esta Defensoría no desconoce ni niega los informes médicos del Dr. </w:t>
      </w:r>
      <w:r w:rsidR="00417B62">
        <w:rPr>
          <w:rFonts w:ascii="Times New Roman" w:hAnsi="Times New Roman"/>
        </w:rPr>
        <w:t>..................</w:t>
      </w:r>
      <w:r w:rsidRPr="00710E6C">
        <w:rPr>
          <w:rFonts w:ascii="Times New Roman" w:hAnsi="Times New Roman" w:cs="Times New Roman"/>
          <w:bCs/>
        </w:rPr>
        <w:t xml:space="preserve">, Dr. </w:t>
      </w:r>
      <w:r w:rsidR="00417B62">
        <w:rPr>
          <w:rFonts w:ascii="Times New Roman" w:hAnsi="Times New Roman"/>
        </w:rPr>
        <w:t>..................</w:t>
      </w:r>
      <w:r w:rsidRPr="00710E6C">
        <w:rPr>
          <w:rFonts w:ascii="Times New Roman" w:hAnsi="Times New Roman" w:cs="Times New Roman"/>
          <w:bCs/>
        </w:rPr>
        <w:t>, ni los 4 informes ana</w:t>
      </w:r>
      <w:r w:rsidR="00D47308" w:rsidRPr="00710E6C">
        <w:rPr>
          <w:rFonts w:ascii="Times New Roman" w:hAnsi="Times New Roman" w:cs="Times New Roman"/>
          <w:bCs/>
        </w:rPr>
        <w:t>t</w:t>
      </w:r>
      <w:r w:rsidRPr="00710E6C">
        <w:rPr>
          <w:rFonts w:ascii="Times New Roman" w:hAnsi="Times New Roman" w:cs="Times New Roman"/>
          <w:bCs/>
        </w:rPr>
        <w:t xml:space="preserve">omopatológicos, lo cuales dan cuenta de las otras enfermedades </w:t>
      </w:r>
      <w:r w:rsidR="002B7DD9" w:rsidRPr="00710E6C">
        <w:rPr>
          <w:rFonts w:ascii="Times New Roman" w:hAnsi="Times New Roman" w:cs="Times New Roman"/>
          <w:bCs/>
        </w:rPr>
        <w:t>y diagnósticos de la asegurada</w:t>
      </w:r>
      <w:r w:rsidR="00D47308" w:rsidRPr="00710E6C">
        <w:rPr>
          <w:rFonts w:ascii="Times New Roman" w:hAnsi="Times New Roman" w:cs="Times New Roman"/>
          <w:bCs/>
        </w:rPr>
        <w:t xml:space="preserve">, los cuales no constituyen aspectos controvertidos. Sin embargo, ellos no desvirtúan que la asegurada también </w:t>
      </w:r>
      <w:r w:rsidR="00297051" w:rsidRPr="00710E6C">
        <w:rPr>
          <w:rFonts w:ascii="Times New Roman" w:hAnsi="Times New Roman" w:cs="Times New Roman"/>
          <w:bCs/>
        </w:rPr>
        <w:t xml:space="preserve">padeciera de un </w:t>
      </w:r>
      <w:r w:rsidR="00240AA0" w:rsidRPr="00710E6C">
        <w:rPr>
          <w:rFonts w:ascii="Times New Roman" w:hAnsi="Times New Roman" w:cs="Times New Roman"/>
          <w:bCs/>
        </w:rPr>
        <w:t>cáncer</w:t>
      </w:r>
      <w:r w:rsidR="00297051" w:rsidRPr="00710E6C">
        <w:rPr>
          <w:rFonts w:ascii="Times New Roman" w:hAnsi="Times New Roman" w:cs="Times New Roman"/>
          <w:bCs/>
        </w:rPr>
        <w:t xml:space="preserve"> de endometrio que tal como se consigna en la propia historia clínica del INEN fue operado en el año </w:t>
      </w:r>
      <w:r w:rsidR="006705D7" w:rsidRPr="00710E6C">
        <w:rPr>
          <w:rFonts w:ascii="Times New Roman" w:hAnsi="Times New Roman" w:cs="Times New Roman"/>
          <w:bCs/>
        </w:rPr>
        <w:t xml:space="preserve">2,016, siendo que el seguro se </w:t>
      </w:r>
      <w:r w:rsidR="00240AA0" w:rsidRPr="00710E6C">
        <w:rPr>
          <w:rFonts w:ascii="Times New Roman" w:hAnsi="Times New Roman" w:cs="Times New Roman"/>
          <w:bCs/>
        </w:rPr>
        <w:t>contrató</w:t>
      </w:r>
      <w:r w:rsidR="006705D7" w:rsidRPr="00710E6C">
        <w:rPr>
          <w:rFonts w:ascii="Times New Roman" w:hAnsi="Times New Roman" w:cs="Times New Roman"/>
          <w:bCs/>
        </w:rPr>
        <w:t xml:space="preserve"> el </w:t>
      </w:r>
      <w:r w:rsidR="009C29D8" w:rsidRPr="00710E6C">
        <w:rPr>
          <w:rFonts w:ascii="Times New Roman" w:hAnsi="Times New Roman" w:cs="Times New Roman"/>
          <w:bCs/>
        </w:rPr>
        <w:t>14 de agosto de 2017</w:t>
      </w:r>
      <w:r w:rsidR="00961FD7" w:rsidRPr="00710E6C">
        <w:rPr>
          <w:rFonts w:ascii="Times New Roman" w:hAnsi="Times New Roman" w:cs="Times New Roman"/>
          <w:bCs/>
        </w:rPr>
        <w:t xml:space="preserve">, y que figura en el certificado de </w:t>
      </w:r>
      <w:r w:rsidR="0090534A" w:rsidRPr="00710E6C">
        <w:rPr>
          <w:rFonts w:ascii="Times New Roman" w:hAnsi="Times New Roman" w:cs="Times New Roman"/>
          <w:bCs/>
        </w:rPr>
        <w:t>defunción</w:t>
      </w:r>
      <w:r w:rsidR="00961FD7" w:rsidRPr="00710E6C">
        <w:rPr>
          <w:rFonts w:ascii="Times New Roman" w:hAnsi="Times New Roman" w:cs="Times New Roman"/>
          <w:bCs/>
        </w:rPr>
        <w:t xml:space="preserve"> como causa </w:t>
      </w:r>
      <w:r w:rsidR="00655DF9" w:rsidRPr="00710E6C">
        <w:rPr>
          <w:rFonts w:ascii="Times New Roman" w:hAnsi="Times New Roman" w:cs="Times New Roman"/>
          <w:bCs/>
        </w:rPr>
        <w:t xml:space="preserve">básica </w:t>
      </w:r>
      <w:r w:rsidR="00961FD7" w:rsidRPr="00710E6C">
        <w:rPr>
          <w:rFonts w:ascii="Times New Roman" w:hAnsi="Times New Roman" w:cs="Times New Roman"/>
          <w:bCs/>
        </w:rPr>
        <w:t xml:space="preserve">del fallecimiento, habiendo sido </w:t>
      </w:r>
      <w:r w:rsidR="00655DF9" w:rsidRPr="00710E6C">
        <w:rPr>
          <w:rFonts w:ascii="Times New Roman" w:hAnsi="Times New Roman" w:cs="Times New Roman"/>
          <w:bCs/>
        </w:rPr>
        <w:t xml:space="preserve">dicho documento legal </w:t>
      </w:r>
      <w:r w:rsidR="00961FD7" w:rsidRPr="00710E6C">
        <w:rPr>
          <w:rFonts w:ascii="Times New Roman" w:hAnsi="Times New Roman" w:cs="Times New Roman"/>
          <w:bCs/>
        </w:rPr>
        <w:t xml:space="preserve">llenado por un médico colegiado. Y, si bien la reclamante sustenta las razones por las cuales considera que consignar dicho </w:t>
      </w:r>
      <w:r w:rsidR="0090534A" w:rsidRPr="00710E6C">
        <w:rPr>
          <w:rFonts w:ascii="Times New Roman" w:hAnsi="Times New Roman" w:cs="Times New Roman"/>
          <w:bCs/>
        </w:rPr>
        <w:t>cáncer</w:t>
      </w:r>
      <w:r w:rsidR="00961FD7" w:rsidRPr="00710E6C">
        <w:rPr>
          <w:rFonts w:ascii="Times New Roman" w:hAnsi="Times New Roman" w:cs="Times New Roman"/>
          <w:bCs/>
        </w:rPr>
        <w:t xml:space="preserve"> de endometrio como causa del fallecimiento fue un error</w:t>
      </w:r>
      <w:r w:rsidR="003B5842" w:rsidRPr="00710E6C">
        <w:rPr>
          <w:rFonts w:ascii="Times New Roman" w:hAnsi="Times New Roman" w:cs="Times New Roman"/>
          <w:bCs/>
        </w:rPr>
        <w:t>, más allá de adjuntar otros informes que dan cuenta de otras enfermedades relacionadas o no con el cáncer de endometrio, no constituyen la opinión de un médico especializado que concluya que el cáncer de endometrio operado en el 201</w:t>
      </w:r>
      <w:r w:rsidR="003309D1" w:rsidRPr="00710E6C">
        <w:rPr>
          <w:rFonts w:ascii="Times New Roman" w:hAnsi="Times New Roman" w:cs="Times New Roman"/>
          <w:bCs/>
        </w:rPr>
        <w:t xml:space="preserve">6 no fue causa del fallecimiento y </w:t>
      </w:r>
      <w:r w:rsidR="00655DF9" w:rsidRPr="00710E6C">
        <w:rPr>
          <w:rFonts w:ascii="Times New Roman" w:hAnsi="Times New Roman" w:cs="Times New Roman"/>
          <w:bCs/>
        </w:rPr>
        <w:t xml:space="preserve">que </w:t>
      </w:r>
      <w:r w:rsidR="003309D1" w:rsidRPr="00710E6C">
        <w:rPr>
          <w:rFonts w:ascii="Times New Roman" w:hAnsi="Times New Roman" w:cs="Times New Roman"/>
          <w:bCs/>
        </w:rPr>
        <w:t xml:space="preserve">por tanto fue un error </w:t>
      </w:r>
      <w:r w:rsidR="0090534A" w:rsidRPr="00710E6C">
        <w:rPr>
          <w:rFonts w:ascii="Times New Roman" w:hAnsi="Times New Roman" w:cs="Times New Roman"/>
          <w:bCs/>
        </w:rPr>
        <w:t>consignar</w:t>
      </w:r>
      <w:r w:rsidR="003309D1" w:rsidRPr="00710E6C">
        <w:rPr>
          <w:rFonts w:ascii="Times New Roman" w:hAnsi="Times New Roman" w:cs="Times New Roman"/>
          <w:bCs/>
        </w:rPr>
        <w:t xml:space="preserve"> dicha circunstancia como causa del fallecimiento</w:t>
      </w:r>
      <w:r w:rsidR="00655DF9" w:rsidRPr="00710E6C">
        <w:rPr>
          <w:rFonts w:ascii="Times New Roman" w:hAnsi="Times New Roman" w:cs="Times New Roman"/>
          <w:bCs/>
        </w:rPr>
        <w:t>; s</w:t>
      </w:r>
      <w:r w:rsidR="0090534A" w:rsidRPr="00710E6C">
        <w:rPr>
          <w:rFonts w:ascii="Times New Roman" w:hAnsi="Times New Roman" w:cs="Times New Roman"/>
          <w:bCs/>
        </w:rPr>
        <w:t xml:space="preserve">iendo que además dicho certificado de defunción no ha sido </w:t>
      </w:r>
      <w:r w:rsidR="006403E0" w:rsidRPr="00710E6C">
        <w:rPr>
          <w:rFonts w:ascii="Times New Roman" w:hAnsi="Times New Roman" w:cs="Times New Roman"/>
          <w:bCs/>
        </w:rPr>
        <w:t>objetado legalmente.</w:t>
      </w:r>
    </w:p>
    <w:p w14:paraId="7B97EDE8" w14:textId="0E8ECBE1" w:rsidR="003309D1" w:rsidRPr="00710E6C" w:rsidRDefault="003309D1" w:rsidP="00505939">
      <w:pPr>
        <w:pStyle w:val="Default"/>
        <w:jc w:val="both"/>
        <w:rPr>
          <w:rFonts w:ascii="Times New Roman" w:hAnsi="Times New Roman" w:cs="Times New Roman"/>
          <w:bCs/>
        </w:rPr>
      </w:pPr>
    </w:p>
    <w:p w14:paraId="03D4A15F" w14:textId="4F0F834C" w:rsidR="00DA261E" w:rsidRPr="00417B62" w:rsidRDefault="00005AE9" w:rsidP="00085030">
      <w:pPr>
        <w:pStyle w:val="Default"/>
        <w:numPr>
          <w:ilvl w:val="0"/>
          <w:numId w:val="2"/>
        </w:numPr>
        <w:jc w:val="both"/>
        <w:rPr>
          <w:rFonts w:ascii="Times New Roman" w:hAnsi="Times New Roman" w:cs="Times New Roman"/>
          <w:bCs/>
        </w:rPr>
      </w:pPr>
      <w:r w:rsidRPr="00417B62">
        <w:rPr>
          <w:rFonts w:ascii="Times New Roman" w:hAnsi="Times New Roman" w:cs="Times New Roman"/>
          <w:b/>
        </w:rPr>
        <w:t xml:space="preserve">Las dos cartas de garantía expedidas por </w:t>
      </w:r>
      <w:r w:rsidR="00417B62">
        <w:rPr>
          <w:rFonts w:ascii="Times New Roman" w:hAnsi="Times New Roman"/>
        </w:rPr>
        <w:t>..................</w:t>
      </w:r>
    </w:p>
    <w:p w14:paraId="212CE65C" w14:textId="77777777" w:rsidR="00417B62" w:rsidRPr="00417B62" w:rsidRDefault="00417B62" w:rsidP="00417B62">
      <w:pPr>
        <w:pStyle w:val="Default"/>
        <w:ind w:left="360"/>
        <w:jc w:val="both"/>
        <w:rPr>
          <w:rFonts w:ascii="Times New Roman" w:hAnsi="Times New Roman" w:cs="Times New Roman"/>
          <w:bCs/>
        </w:rPr>
      </w:pPr>
    </w:p>
    <w:p w14:paraId="223984D5" w14:textId="1D55C4DA" w:rsidR="00787571" w:rsidRPr="00710E6C" w:rsidRDefault="00005AE9" w:rsidP="001D7BAF">
      <w:pPr>
        <w:pStyle w:val="Default"/>
        <w:ind w:left="360"/>
        <w:jc w:val="both"/>
        <w:rPr>
          <w:rFonts w:ascii="Times New Roman" w:hAnsi="Times New Roman" w:cs="Times New Roman"/>
          <w:bCs/>
        </w:rPr>
      </w:pPr>
      <w:r w:rsidRPr="00710E6C">
        <w:rPr>
          <w:rFonts w:ascii="Times New Roman" w:hAnsi="Times New Roman" w:cs="Times New Roman"/>
          <w:bCs/>
        </w:rPr>
        <w:t xml:space="preserve">La reclamante considera que deben tomarse como antecedente </w:t>
      </w:r>
      <w:r w:rsidR="00A641C7" w:rsidRPr="00710E6C">
        <w:rPr>
          <w:rFonts w:ascii="Times New Roman" w:hAnsi="Times New Roman" w:cs="Times New Roman"/>
          <w:bCs/>
        </w:rPr>
        <w:t xml:space="preserve">el </w:t>
      </w:r>
      <w:r w:rsidRPr="00710E6C">
        <w:rPr>
          <w:rFonts w:ascii="Times New Roman" w:hAnsi="Times New Roman" w:cs="Times New Roman"/>
          <w:bCs/>
        </w:rPr>
        <w:t>que la aseguradora dio cobertura médica a la asegurada</w:t>
      </w:r>
      <w:r w:rsidR="00965180" w:rsidRPr="00710E6C">
        <w:rPr>
          <w:rFonts w:ascii="Times New Roman" w:hAnsi="Times New Roman" w:cs="Times New Roman"/>
          <w:bCs/>
        </w:rPr>
        <w:t>, lo que demuestra que no era tratada de un cáncer antiguo o preexistente, porque de lo contrario no hubieran activado dichas cartas. Al respecto, e</w:t>
      </w:r>
      <w:r w:rsidRPr="00710E6C">
        <w:rPr>
          <w:rFonts w:ascii="Times New Roman" w:hAnsi="Times New Roman" w:cs="Times New Roman"/>
          <w:bCs/>
        </w:rPr>
        <w:t xml:space="preserve">ste colegiado precisa, que el presente reclamo no versa sobre la cobertura médica otorgada en momentos anteriores, sino sobre el rechazo de cobertura por el fallecimiento de la asegurada, la cual se basa en el certificado de </w:t>
      </w:r>
      <w:r w:rsidR="00E65141" w:rsidRPr="00710E6C">
        <w:rPr>
          <w:rFonts w:ascii="Times New Roman" w:hAnsi="Times New Roman" w:cs="Times New Roman"/>
          <w:bCs/>
        </w:rPr>
        <w:t>defunción</w:t>
      </w:r>
      <w:r w:rsidRPr="00710E6C">
        <w:rPr>
          <w:rFonts w:ascii="Times New Roman" w:hAnsi="Times New Roman" w:cs="Times New Roman"/>
          <w:bCs/>
        </w:rPr>
        <w:t xml:space="preserve"> que consigna como causa del fallecimiento al cáncer de endometrio preexistente a la contratación del seguro, y por lo tanto no corresponde analizar la posición de la aseguradora respecto de otras coberturas que no forman parte de este proceso</w:t>
      </w:r>
      <w:r w:rsidR="00BD0AD3" w:rsidRPr="00710E6C">
        <w:rPr>
          <w:rFonts w:ascii="Times New Roman" w:hAnsi="Times New Roman" w:cs="Times New Roman"/>
          <w:bCs/>
        </w:rPr>
        <w:t xml:space="preserve">, siendo oportuno precisar que no se desconoce </w:t>
      </w:r>
      <w:r w:rsidR="00E65141" w:rsidRPr="00710E6C">
        <w:rPr>
          <w:rFonts w:ascii="Times New Roman" w:hAnsi="Times New Roman" w:cs="Times New Roman"/>
          <w:bCs/>
        </w:rPr>
        <w:t xml:space="preserve">que la asegurada </w:t>
      </w:r>
      <w:r w:rsidR="00BD0AD3" w:rsidRPr="00710E6C">
        <w:rPr>
          <w:rFonts w:ascii="Times New Roman" w:hAnsi="Times New Roman" w:cs="Times New Roman"/>
          <w:bCs/>
        </w:rPr>
        <w:t xml:space="preserve">pudiera haber tenido cobertura por otras </w:t>
      </w:r>
      <w:r w:rsidR="00E65141" w:rsidRPr="00710E6C">
        <w:rPr>
          <w:rFonts w:ascii="Times New Roman" w:hAnsi="Times New Roman" w:cs="Times New Roman"/>
          <w:bCs/>
        </w:rPr>
        <w:t>condiciones de salud</w:t>
      </w:r>
      <w:r w:rsidRPr="00710E6C">
        <w:rPr>
          <w:rFonts w:ascii="Times New Roman" w:hAnsi="Times New Roman" w:cs="Times New Roman"/>
          <w:bCs/>
        </w:rPr>
        <w:t xml:space="preserve">. </w:t>
      </w:r>
      <w:r w:rsidR="00A52F83" w:rsidRPr="00710E6C">
        <w:rPr>
          <w:rFonts w:ascii="Times New Roman" w:hAnsi="Times New Roman" w:cs="Times New Roman"/>
          <w:bCs/>
        </w:rPr>
        <w:t xml:space="preserve">En este caso, </w:t>
      </w:r>
      <w:r w:rsidR="00A52F83" w:rsidRPr="00710E6C">
        <w:rPr>
          <w:rFonts w:ascii="Times New Roman" w:hAnsi="Times New Roman" w:cs="Times New Roman"/>
          <w:bCs/>
        </w:rPr>
        <w:lastRenderedPageBreak/>
        <w:t xml:space="preserve">la </w:t>
      </w:r>
      <w:r w:rsidR="00787571" w:rsidRPr="00710E6C">
        <w:rPr>
          <w:rFonts w:ascii="Times New Roman" w:hAnsi="Times New Roman" w:cs="Times New Roman"/>
          <w:bCs/>
        </w:rPr>
        <w:t xml:space="preserve">aseguradora invoca la exclusión basado en un documento </w:t>
      </w:r>
      <w:r w:rsidR="00A52F83" w:rsidRPr="00710E6C">
        <w:rPr>
          <w:rFonts w:ascii="Times New Roman" w:hAnsi="Times New Roman" w:cs="Times New Roman"/>
          <w:bCs/>
        </w:rPr>
        <w:t xml:space="preserve">médico legal que establece la causa </w:t>
      </w:r>
      <w:r w:rsidR="00787571" w:rsidRPr="00710E6C">
        <w:rPr>
          <w:rFonts w:ascii="Times New Roman" w:hAnsi="Times New Roman" w:cs="Times New Roman"/>
          <w:bCs/>
        </w:rPr>
        <w:t xml:space="preserve">del cual toma </w:t>
      </w:r>
      <w:r w:rsidR="00A52F83" w:rsidRPr="00710E6C">
        <w:rPr>
          <w:rFonts w:ascii="Times New Roman" w:hAnsi="Times New Roman" w:cs="Times New Roman"/>
          <w:bCs/>
        </w:rPr>
        <w:t xml:space="preserve">recién </w:t>
      </w:r>
      <w:r w:rsidR="00787571" w:rsidRPr="00710E6C">
        <w:rPr>
          <w:rFonts w:ascii="Times New Roman" w:hAnsi="Times New Roman" w:cs="Times New Roman"/>
          <w:bCs/>
        </w:rPr>
        <w:t>conocimiento con ocasión del fallecimiento de la asegurada.</w:t>
      </w:r>
    </w:p>
    <w:p w14:paraId="6D1D1A16" w14:textId="1EB1CA25" w:rsidR="00787571" w:rsidRPr="00710E6C" w:rsidRDefault="00787571" w:rsidP="00505939">
      <w:pPr>
        <w:pStyle w:val="Default"/>
        <w:jc w:val="both"/>
        <w:rPr>
          <w:rFonts w:ascii="Times New Roman" w:hAnsi="Times New Roman" w:cs="Times New Roman"/>
          <w:bCs/>
        </w:rPr>
      </w:pPr>
    </w:p>
    <w:p w14:paraId="70A4790E" w14:textId="429993AB" w:rsidR="005266F8" w:rsidRPr="00710E6C" w:rsidRDefault="005266F8" w:rsidP="00BF20D4">
      <w:pPr>
        <w:pStyle w:val="Prrafodelista"/>
        <w:numPr>
          <w:ilvl w:val="0"/>
          <w:numId w:val="2"/>
        </w:numPr>
        <w:jc w:val="both"/>
        <w:rPr>
          <w:rFonts w:eastAsiaTheme="minorHAnsi"/>
          <w:b/>
          <w:color w:val="000000"/>
          <w:lang w:val="es-PE" w:eastAsia="en-US"/>
        </w:rPr>
      </w:pPr>
      <w:r w:rsidRPr="00710E6C">
        <w:rPr>
          <w:rFonts w:eastAsiaTheme="minorHAnsi"/>
          <w:b/>
          <w:color w:val="000000"/>
          <w:lang w:val="es-PE" w:eastAsia="en-US"/>
        </w:rPr>
        <w:t xml:space="preserve">La causa directa que produjo la muerte de </w:t>
      </w:r>
      <w:r w:rsidR="00A641C7" w:rsidRPr="00710E6C">
        <w:rPr>
          <w:rFonts w:eastAsiaTheme="minorHAnsi"/>
          <w:b/>
          <w:color w:val="000000"/>
          <w:lang w:val="es-PE" w:eastAsia="en-US"/>
        </w:rPr>
        <w:t xml:space="preserve">la asegurada </w:t>
      </w:r>
      <w:r w:rsidRPr="00710E6C">
        <w:rPr>
          <w:rFonts w:eastAsiaTheme="minorHAnsi"/>
          <w:b/>
          <w:color w:val="000000"/>
          <w:lang w:val="es-PE" w:eastAsia="en-US"/>
        </w:rPr>
        <w:t>que aparece en el certificado de defunción: INSUFICIENCIA RESPIRATORIA</w:t>
      </w:r>
    </w:p>
    <w:p w14:paraId="5005EFA3" w14:textId="6F189492" w:rsidR="005266F8" w:rsidRPr="00710E6C" w:rsidRDefault="005266F8" w:rsidP="00505939">
      <w:pPr>
        <w:suppressAutoHyphens w:val="0"/>
        <w:autoSpaceDE w:val="0"/>
        <w:autoSpaceDN w:val="0"/>
        <w:adjustRightInd w:val="0"/>
        <w:jc w:val="both"/>
        <w:rPr>
          <w:rFonts w:eastAsiaTheme="minorHAnsi"/>
          <w:bCs/>
          <w:color w:val="000000"/>
          <w:lang w:val="es-PE" w:eastAsia="en-US"/>
        </w:rPr>
      </w:pPr>
    </w:p>
    <w:p w14:paraId="1D088EB1" w14:textId="308D5868" w:rsidR="00A74334" w:rsidRPr="00710E6C" w:rsidRDefault="00A74334" w:rsidP="001D7BAF">
      <w:pPr>
        <w:suppressAutoHyphens w:val="0"/>
        <w:autoSpaceDE w:val="0"/>
        <w:autoSpaceDN w:val="0"/>
        <w:adjustRightInd w:val="0"/>
        <w:ind w:left="360"/>
        <w:jc w:val="both"/>
        <w:rPr>
          <w:rFonts w:eastAsiaTheme="minorHAnsi"/>
          <w:bCs/>
          <w:color w:val="000000"/>
          <w:lang w:val="es-PE" w:eastAsia="en-US"/>
        </w:rPr>
      </w:pPr>
      <w:r w:rsidRPr="00710E6C">
        <w:rPr>
          <w:rFonts w:eastAsiaTheme="minorHAnsi"/>
          <w:bCs/>
          <w:color w:val="000000"/>
          <w:lang w:val="es-PE" w:eastAsia="en-US"/>
        </w:rPr>
        <w:t>Al respecto, el certificad</w:t>
      </w:r>
      <w:r w:rsidR="00425FF8" w:rsidRPr="00710E6C">
        <w:rPr>
          <w:rFonts w:eastAsiaTheme="minorHAnsi"/>
          <w:bCs/>
          <w:color w:val="000000"/>
          <w:lang w:val="es-PE" w:eastAsia="en-US"/>
        </w:rPr>
        <w:t>o</w:t>
      </w:r>
      <w:r w:rsidRPr="00710E6C">
        <w:rPr>
          <w:rFonts w:eastAsiaTheme="minorHAnsi"/>
          <w:bCs/>
          <w:color w:val="000000"/>
          <w:lang w:val="es-PE" w:eastAsia="en-US"/>
        </w:rPr>
        <w:t xml:space="preserve"> de defunción </w:t>
      </w:r>
      <w:r w:rsidR="001B0AEE" w:rsidRPr="00710E6C">
        <w:rPr>
          <w:rFonts w:eastAsiaTheme="minorHAnsi"/>
          <w:bCs/>
          <w:color w:val="000000"/>
          <w:lang w:val="es-PE" w:eastAsia="en-US"/>
        </w:rPr>
        <w:t>señala:</w:t>
      </w:r>
    </w:p>
    <w:p w14:paraId="5CDD60B6" w14:textId="33D40474" w:rsidR="001B0AEE" w:rsidRPr="00710E6C" w:rsidRDefault="001B0AEE" w:rsidP="00505939">
      <w:pPr>
        <w:suppressAutoHyphens w:val="0"/>
        <w:autoSpaceDE w:val="0"/>
        <w:autoSpaceDN w:val="0"/>
        <w:adjustRightInd w:val="0"/>
        <w:jc w:val="both"/>
        <w:rPr>
          <w:rFonts w:eastAsiaTheme="minorHAnsi"/>
          <w:bCs/>
          <w:color w:val="000000"/>
          <w:lang w:val="es-PE" w:eastAsia="en-US"/>
        </w:rPr>
      </w:pPr>
    </w:p>
    <w:p w14:paraId="67BBA3EA" w14:textId="41EF9C77" w:rsidR="001B0AEE" w:rsidRPr="00710E6C" w:rsidRDefault="00417B62" w:rsidP="00417B62">
      <w:pPr>
        <w:suppressAutoHyphens w:val="0"/>
        <w:autoSpaceDE w:val="0"/>
        <w:autoSpaceDN w:val="0"/>
        <w:adjustRightInd w:val="0"/>
        <w:jc w:val="center"/>
        <w:rPr>
          <w:rFonts w:eastAsiaTheme="minorHAnsi"/>
          <w:bCs/>
          <w:color w:val="000000"/>
          <w:lang w:val="es-PE" w:eastAsia="en-US"/>
        </w:rPr>
      </w:pPr>
      <w:r>
        <w:rPr>
          <w:bCs/>
          <w:noProof/>
          <w:lang w:val="es-PE"/>
        </w:rPr>
        <w:t>(</w:t>
      </w:r>
      <w:r>
        <w:t>..................</w:t>
      </w:r>
      <w:r>
        <w:t>)</w:t>
      </w:r>
    </w:p>
    <w:p w14:paraId="0B10B0CA" w14:textId="77777777" w:rsidR="005266F8" w:rsidRPr="00710E6C" w:rsidRDefault="005266F8" w:rsidP="00505939">
      <w:pPr>
        <w:suppressAutoHyphens w:val="0"/>
        <w:autoSpaceDE w:val="0"/>
        <w:autoSpaceDN w:val="0"/>
        <w:adjustRightInd w:val="0"/>
        <w:jc w:val="both"/>
        <w:rPr>
          <w:rFonts w:eastAsiaTheme="minorHAnsi"/>
          <w:bCs/>
          <w:color w:val="000000"/>
          <w:lang w:val="es-PE" w:eastAsia="en-US"/>
        </w:rPr>
      </w:pPr>
    </w:p>
    <w:p w14:paraId="7F5467CB" w14:textId="3DD051AF" w:rsidR="00DE3494" w:rsidRPr="00710E6C" w:rsidRDefault="004B2BB1" w:rsidP="001D7BAF">
      <w:pPr>
        <w:suppressAutoHyphens w:val="0"/>
        <w:autoSpaceDE w:val="0"/>
        <w:autoSpaceDN w:val="0"/>
        <w:adjustRightInd w:val="0"/>
        <w:ind w:left="720"/>
        <w:jc w:val="both"/>
        <w:rPr>
          <w:bCs/>
          <w:lang w:val="es-PE"/>
        </w:rPr>
      </w:pPr>
      <w:proofErr w:type="gramStart"/>
      <w:r w:rsidRPr="00710E6C">
        <w:rPr>
          <w:rFonts w:eastAsiaTheme="minorHAnsi"/>
          <w:bCs/>
          <w:color w:val="000000"/>
          <w:lang w:val="es-PE" w:eastAsia="en-US"/>
        </w:rPr>
        <w:t>De acuerdo a</w:t>
      </w:r>
      <w:proofErr w:type="gramEnd"/>
      <w:r w:rsidRPr="00710E6C">
        <w:rPr>
          <w:rFonts w:eastAsiaTheme="minorHAnsi"/>
          <w:bCs/>
          <w:color w:val="000000"/>
          <w:lang w:val="es-PE" w:eastAsia="en-US"/>
        </w:rPr>
        <w:t xml:space="preserve"> lo establecido en la</w:t>
      </w:r>
      <w:r w:rsidR="00DE3494" w:rsidRPr="00710E6C">
        <w:rPr>
          <w:bCs/>
          <w:lang w:val="es-PE"/>
        </w:rPr>
        <w:t xml:space="preserve"> guía para el correcto llenado del certificado de defunción aprobada por R.M. 214-2017/MINSA, se considera lo siguiente:</w:t>
      </w:r>
    </w:p>
    <w:p w14:paraId="41DE541C" w14:textId="4AFA93C7" w:rsidR="00E311FF" w:rsidRPr="00710E6C" w:rsidRDefault="00E311FF" w:rsidP="00505939">
      <w:pPr>
        <w:suppressAutoHyphens w:val="0"/>
        <w:autoSpaceDE w:val="0"/>
        <w:autoSpaceDN w:val="0"/>
        <w:adjustRightInd w:val="0"/>
        <w:jc w:val="both"/>
        <w:rPr>
          <w:bCs/>
          <w:lang w:val="es-PE"/>
        </w:rPr>
      </w:pPr>
    </w:p>
    <w:p w14:paraId="0A0414C9" w14:textId="20526856" w:rsidR="005812CD" w:rsidRPr="00710E6C" w:rsidRDefault="005812CD" w:rsidP="00505939">
      <w:pPr>
        <w:suppressAutoHyphens w:val="0"/>
        <w:autoSpaceDE w:val="0"/>
        <w:autoSpaceDN w:val="0"/>
        <w:adjustRightInd w:val="0"/>
        <w:jc w:val="both"/>
        <w:rPr>
          <w:bCs/>
          <w:lang w:val="es-PE"/>
        </w:rPr>
      </w:pPr>
    </w:p>
    <w:p w14:paraId="7CA3B6E6" w14:textId="7F8F6857" w:rsidR="00E311FF" w:rsidRPr="00710E6C" w:rsidRDefault="00417B62" w:rsidP="00417B62">
      <w:pPr>
        <w:suppressAutoHyphens w:val="0"/>
        <w:autoSpaceDE w:val="0"/>
        <w:autoSpaceDN w:val="0"/>
        <w:adjustRightInd w:val="0"/>
        <w:jc w:val="center"/>
        <w:rPr>
          <w:bCs/>
          <w:lang w:val="es-PE"/>
        </w:rPr>
      </w:pPr>
      <w:r>
        <w:rPr>
          <w:bCs/>
          <w:noProof/>
        </w:rPr>
        <w:t>(</w:t>
      </w:r>
      <w:r>
        <w:t>..................</w:t>
      </w:r>
      <w:r>
        <w:t>)</w:t>
      </w:r>
    </w:p>
    <w:p w14:paraId="0EE3D18C" w14:textId="213C6322" w:rsidR="00DE3494" w:rsidRPr="00710E6C" w:rsidRDefault="00CC1784" w:rsidP="00505939">
      <w:pPr>
        <w:suppressAutoHyphens w:val="0"/>
        <w:autoSpaceDE w:val="0"/>
        <w:autoSpaceDN w:val="0"/>
        <w:adjustRightInd w:val="0"/>
        <w:jc w:val="both"/>
        <w:rPr>
          <w:bCs/>
          <w:lang w:val="es-PE"/>
        </w:rPr>
      </w:pPr>
      <w:r w:rsidRPr="00710E6C">
        <w:rPr>
          <w:bCs/>
          <w:lang w:val="es-PE"/>
        </w:rPr>
        <w:tab/>
      </w:r>
      <w:r w:rsidRPr="00710E6C">
        <w:rPr>
          <w:bCs/>
          <w:lang w:val="es-PE"/>
        </w:rPr>
        <w:tab/>
        <w:t>(…)</w:t>
      </w:r>
    </w:p>
    <w:p w14:paraId="24B3E333" w14:textId="77777777" w:rsidR="00CC1784" w:rsidRPr="00710E6C" w:rsidRDefault="00CC1784" w:rsidP="00505939">
      <w:pPr>
        <w:suppressAutoHyphens w:val="0"/>
        <w:autoSpaceDE w:val="0"/>
        <w:autoSpaceDN w:val="0"/>
        <w:adjustRightInd w:val="0"/>
        <w:jc w:val="both"/>
        <w:rPr>
          <w:bCs/>
          <w:lang w:val="es-PE"/>
        </w:rPr>
      </w:pPr>
    </w:p>
    <w:p w14:paraId="02F2DFF3" w14:textId="44BC42F3" w:rsidR="00310F41" w:rsidRPr="00710E6C" w:rsidRDefault="00310F41" w:rsidP="001D7BAF">
      <w:pPr>
        <w:suppressAutoHyphens w:val="0"/>
        <w:autoSpaceDE w:val="0"/>
        <w:autoSpaceDN w:val="0"/>
        <w:adjustRightInd w:val="0"/>
        <w:ind w:left="720"/>
        <w:jc w:val="both"/>
        <w:rPr>
          <w:bCs/>
          <w:lang w:val="es-PE"/>
        </w:rPr>
      </w:pPr>
      <w:r w:rsidRPr="00710E6C">
        <w:rPr>
          <w:bCs/>
          <w:lang w:val="es-PE"/>
        </w:rPr>
        <w:t xml:space="preserve">En consecuencia, </w:t>
      </w:r>
      <w:r w:rsidR="003123D2" w:rsidRPr="00710E6C">
        <w:rPr>
          <w:bCs/>
          <w:lang w:val="es-PE"/>
        </w:rPr>
        <w:t>de acuerdo con el</w:t>
      </w:r>
      <w:r w:rsidR="003706CF" w:rsidRPr="00710E6C">
        <w:rPr>
          <w:bCs/>
          <w:lang w:val="es-PE"/>
        </w:rPr>
        <w:t xml:space="preserve"> certificado de defunción </w:t>
      </w:r>
      <w:r w:rsidRPr="00710E6C">
        <w:rPr>
          <w:bCs/>
          <w:lang w:val="es-PE"/>
        </w:rPr>
        <w:t>la insuficiencia respiratoria no fue la causa básica del fallecimiento</w:t>
      </w:r>
      <w:r w:rsidR="003706CF" w:rsidRPr="00710E6C">
        <w:rPr>
          <w:bCs/>
          <w:lang w:val="es-PE"/>
        </w:rPr>
        <w:t xml:space="preserve">, sino la causa final, que se deriva de la </w:t>
      </w:r>
      <w:r w:rsidR="003123D2" w:rsidRPr="00710E6C">
        <w:rPr>
          <w:bCs/>
          <w:lang w:val="es-PE"/>
        </w:rPr>
        <w:t>causa básica que conforme al certificado fue el cáncer de endometrio</w:t>
      </w:r>
      <w:r w:rsidR="00D13FF5" w:rsidRPr="00710E6C">
        <w:rPr>
          <w:bCs/>
          <w:lang w:val="es-PE"/>
        </w:rPr>
        <w:t xml:space="preserve">, tal como expresamente se consigna en el certificado de </w:t>
      </w:r>
      <w:r w:rsidR="00BF20D4" w:rsidRPr="00710E6C">
        <w:rPr>
          <w:bCs/>
          <w:lang w:val="es-PE"/>
        </w:rPr>
        <w:t>defunción</w:t>
      </w:r>
      <w:r w:rsidR="00D13FF5" w:rsidRPr="00710E6C">
        <w:rPr>
          <w:bCs/>
          <w:lang w:val="es-PE"/>
        </w:rPr>
        <w:t xml:space="preserve">, </w:t>
      </w:r>
      <w:r w:rsidR="00BF20D4" w:rsidRPr="00710E6C">
        <w:rPr>
          <w:bCs/>
          <w:lang w:val="es-PE"/>
        </w:rPr>
        <w:t xml:space="preserve">cuya parte pertinente </w:t>
      </w:r>
      <w:r w:rsidR="00D13FF5" w:rsidRPr="00710E6C">
        <w:rPr>
          <w:bCs/>
          <w:lang w:val="es-PE"/>
        </w:rPr>
        <w:t>fue</w:t>
      </w:r>
      <w:r w:rsidR="00BF20D4" w:rsidRPr="00710E6C">
        <w:rPr>
          <w:bCs/>
          <w:lang w:val="es-PE"/>
        </w:rPr>
        <w:t xml:space="preserve"> copiada en </w:t>
      </w:r>
      <w:r w:rsidR="00D13FF5" w:rsidRPr="00710E6C">
        <w:rPr>
          <w:bCs/>
          <w:lang w:val="es-PE"/>
        </w:rPr>
        <w:t xml:space="preserve">la resolución impugnada y </w:t>
      </w:r>
      <w:r w:rsidR="00BF20D4" w:rsidRPr="00710E6C">
        <w:rPr>
          <w:bCs/>
          <w:lang w:val="es-PE"/>
        </w:rPr>
        <w:t xml:space="preserve">al </w:t>
      </w:r>
      <w:r w:rsidR="00D13FF5" w:rsidRPr="00710E6C">
        <w:rPr>
          <w:bCs/>
          <w:lang w:val="es-PE"/>
        </w:rPr>
        <w:t xml:space="preserve">que nuevamente </w:t>
      </w:r>
      <w:r w:rsidR="00BF20D4" w:rsidRPr="00710E6C">
        <w:rPr>
          <w:bCs/>
          <w:lang w:val="es-PE"/>
        </w:rPr>
        <w:t>nos remitimos:</w:t>
      </w:r>
    </w:p>
    <w:p w14:paraId="5A3459B2" w14:textId="73EE09D7" w:rsidR="003D7F79" w:rsidRPr="00710E6C" w:rsidRDefault="003D7F79" w:rsidP="00505939">
      <w:pPr>
        <w:suppressAutoHyphens w:val="0"/>
        <w:autoSpaceDE w:val="0"/>
        <w:autoSpaceDN w:val="0"/>
        <w:adjustRightInd w:val="0"/>
        <w:jc w:val="both"/>
        <w:rPr>
          <w:bCs/>
          <w:lang w:val="es-PE"/>
        </w:rPr>
      </w:pPr>
    </w:p>
    <w:p w14:paraId="703E4DD2" w14:textId="77777777" w:rsidR="008B051F" w:rsidRPr="00710E6C" w:rsidRDefault="008B051F" w:rsidP="00505939">
      <w:pPr>
        <w:suppressAutoHyphens w:val="0"/>
        <w:autoSpaceDE w:val="0"/>
        <w:autoSpaceDN w:val="0"/>
        <w:adjustRightInd w:val="0"/>
        <w:jc w:val="both"/>
        <w:rPr>
          <w:bCs/>
          <w:lang w:val="es-PE"/>
        </w:rPr>
      </w:pPr>
    </w:p>
    <w:p w14:paraId="0DFC64E2" w14:textId="78005928" w:rsidR="003D7F79" w:rsidRPr="00710E6C" w:rsidRDefault="00417B62" w:rsidP="00417B62">
      <w:pPr>
        <w:suppressAutoHyphens w:val="0"/>
        <w:autoSpaceDE w:val="0"/>
        <w:autoSpaceDN w:val="0"/>
        <w:adjustRightInd w:val="0"/>
        <w:jc w:val="center"/>
        <w:rPr>
          <w:bCs/>
          <w:lang w:val="es-PE"/>
        </w:rPr>
      </w:pPr>
      <w:r>
        <w:rPr>
          <w:bCs/>
          <w:noProof/>
          <w:lang w:val="es-PE"/>
        </w:rPr>
        <w:t>(</w:t>
      </w:r>
      <w:r>
        <w:t>..................</w:t>
      </w:r>
      <w:r>
        <w:t>)</w:t>
      </w:r>
    </w:p>
    <w:p w14:paraId="78FB80F6" w14:textId="77777777" w:rsidR="00847E09" w:rsidRPr="00710E6C" w:rsidRDefault="00847E09" w:rsidP="00505939">
      <w:pPr>
        <w:suppressAutoHyphens w:val="0"/>
        <w:autoSpaceDE w:val="0"/>
        <w:autoSpaceDN w:val="0"/>
        <w:adjustRightInd w:val="0"/>
        <w:jc w:val="both"/>
        <w:rPr>
          <w:rFonts w:eastAsiaTheme="minorHAnsi"/>
          <w:bCs/>
          <w:color w:val="000000"/>
          <w:lang w:val="es-PE" w:eastAsia="en-US"/>
        </w:rPr>
      </w:pPr>
    </w:p>
    <w:p w14:paraId="2A87823A" w14:textId="28455BCD" w:rsidR="00847E09" w:rsidRPr="00710E6C" w:rsidRDefault="00847E09" w:rsidP="00505939">
      <w:pPr>
        <w:pStyle w:val="Prrafodelista"/>
        <w:numPr>
          <w:ilvl w:val="0"/>
          <w:numId w:val="2"/>
        </w:numPr>
        <w:suppressAutoHyphens w:val="0"/>
        <w:autoSpaceDE w:val="0"/>
        <w:autoSpaceDN w:val="0"/>
        <w:adjustRightInd w:val="0"/>
        <w:jc w:val="both"/>
        <w:rPr>
          <w:rFonts w:eastAsiaTheme="minorHAnsi"/>
          <w:bCs/>
          <w:color w:val="000000"/>
          <w:lang w:val="es-PE" w:eastAsia="en-US"/>
        </w:rPr>
      </w:pPr>
      <w:r w:rsidRPr="00710E6C">
        <w:rPr>
          <w:rFonts w:eastAsiaTheme="minorHAnsi"/>
          <w:b/>
          <w:color w:val="000000"/>
          <w:lang w:val="es-PE" w:eastAsia="en-US"/>
        </w:rPr>
        <w:t>¿Por qué no le dan mérito a la anotación del Sarcoma Pleomórfico</w:t>
      </w:r>
      <w:r w:rsidR="000C312F" w:rsidRPr="00710E6C">
        <w:rPr>
          <w:rFonts w:eastAsiaTheme="minorHAnsi"/>
          <w:b/>
          <w:color w:val="000000"/>
          <w:lang w:val="es-PE" w:eastAsia="en-US"/>
        </w:rPr>
        <w:t xml:space="preserve"> </w:t>
      </w:r>
      <w:r w:rsidRPr="00710E6C">
        <w:rPr>
          <w:rFonts w:eastAsiaTheme="minorHAnsi"/>
          <w:b/>
          <w:color w:val="000000"/>
          <w:lang w:val="es-PE" w:eastAsia="en-US"/>
        </w:rPr>
        <w:t xml:space="preserve">que aparece en el certificado de defunción y que si tiene sustento médico </w:t>
      </w:r>
    </w:p>
    <w:p w14:paraId="07DF8598" w14:textId="77777777" w:rsidR="000C312F" w:rsidRPr="00710E6C" w:rsidRDefault="000C312F" w:rsidP="000C312F">
      <w:pPr>
        <w:pStyle w:val="Prrafodelista"/>
        <w:suppressAutoHyphens w:val="0"/>
        <w:autoSpaceDE w:val="0"/>
        <w:autoSpaceDN w:val="0"/>
        <w:adjustRightInd w:val="0"/>
        <w:ind w:left="360"/>
        <w:jc w:val="both"/>
        <w:rPr>
          <w:rFonts w:eastAsiaTheme="minorHAnsi"/>
          <w:bCs/>
          <w:color w:val="000000"/>
          <w:lang w:val="es-PE" w:eastAsia="en-US"/>
        </w:rPr>
      </w:pPr>
    </w:p>
    <w:p w14:paraId="05B150FD" w14:textId="7E0A7F99" w:rsidR="00B11972" w:rsidRPr="00710E6C" w:rsidRDefault="00B11972" w:rsidP="001D7BAF">
      <w:pPr>
        <w:suppressAutoHyphens w:val="0"/>
        <w:autoSpaceDE w:val="0"/>
        <w:autoSpaceDN w:val="0"/>
        <w:adjustRightInd w:val="0"/>
        <w:ind w:left="360"/>
        <w:jc w:val="both"/>
        <w:rPr>
          <w:rFonts w:eastAsiaTheme="minorHAnsi"/>
          <w:bCs/>
          <w:color w:val="000000"/>
          <w:lang w:val="es-PE" w:eastAsia="en-US"/>
        </w:rPr>
      </w:pPr>
      <w:r w:rsidRPr="00710E6C">
        <w:rPr>
          <w:rFonts w:eastAsiaTheme="minorHAnsi"/>
          <w:bCs/>
          <w:color w:val="000000"/>
          <w:lang w:val="es-PE" w:eastAsia="en-US"/>
        </w:rPr>
        <w:t>Como el propio certificado de defunción indica</w:t>
      </w:r>
      <w:r w:rsidR="000C312F" w:rsidRPr="00710E6C">
        <w:rPr>
          <w:rFonts w:eastAsiaTheme="minorHAnsi"/>
          <w:bCs/>
          <w:color w:val="000000"/>
          <w:lang w:val="es-PE" w:eastAsia="en-US"/>
        </w:rPr>
        <w:t>,</w:t>
      </w:r>
      <w:r w:rsidRPr="00710E6C">
        <w:rPr>
          <w:rFonts w:eastAsiaTheme="minorHAnsi"/>
          <w:bCs/>
          <w:color w:val="000000"/>
          <w:lang w:val="es-PE" w:eastAsia="en-US"/>
        </w:rPr>
        <w:t xml:space="preserve"> dicha anotación corresponde a </w:t>
      </w:r>
      <w:r w:rsidRPr="00710E6C">
        <w:rPr>
          <w:rFonts w:eastAsiaTheme="minorHAnsi"/>
          <w:bCs/>
          <w:i/>
          <w:iCs/>
          <w:color w:val="000000"/>
          <w:lang w:val="es-PE" w:eastAsia="en-US"/>
        </w:rPr>
        <w:t>“otros estados patológicos significativos que contribuyeron a la muerte, pero no relacionados con la enfermedad o estado morboso que lo produjo”</w:t>
      </w:r>
      <w:r w:rsidR="000C312F" w:rsidRPr="00710E6C">
        <w:rPr>
          <w:rFonts w:eastAsiaTheme="minorHAnsi"/>
          <w:bCs/>
          <w:color w:val="000000"/>
          <w:lang w:val="es-PE" w:eastAsia="en-US"/>
        </w:rPr>
        <w:t xml:space="preserve">. En este sentido, no es que no se le de mérito, sino </w:t>
      </w:r>
      <w:proofErr w:type="gramStart"/>
      <w:r w:rsidR="000C312F" w:rsidRPr="00710E6C">
        <w:rPr>
          <w:rFonts w:eastAsiaTheme="minorHAnsi"/>
          <w:bCs/>
          <w:color w:val="000000"/>
          <w:lang w:val="es-PE" w:eastAsia="en-US"/>
        </w:rPr>
        <w:t>que</w:t>
      </w:r>
      <w:proofErr w:type="gramEnd"/>
      <w:r w:rsidR="000C312F" w:rsidRPr="00710E6C">
        <w:rPr>
          <w:rFonts w:eastAsiaTheme="minorHAnsi"/>
          <w:bCs/>
          <w:color w:val="000000"/>
          <w:lang w:val="es-PE" w:eastAsia="en-US"/>
        </w:rPr>
        <w:t xml:space="preserve"> conforme al documento médico legal, no constituye la causa básica del fallecimiento.</w:t>
      </w:r>
    </w:p>
    <w:p w14:paraId="7E7CA85D" w14:textId="77777777" w:rsidR="00B11972" w:rsidRPr="00710E6C" w:rsidRDefault="00B11972" w:rsidP="00505939">
      <w:pPr>
        <w:suppressAutoHyphens w:val="0"/>
        <w:autoSpaceDE w:val="0"/>
        <w:autoSpaceDN w:val="0"/>
        <w:adjustRightInd w:val="0"/>
        <w:jc w:val="both"/>
        <w:rPr>
          <w:rFonts w:eastAsiaTheme="minorHAnsi"/>
          <w:bCs/>
          <w:color w:val="000000"/>
          <w:lang w:val="es-PE" w:eastAsia="en-US"/>
        </w:rPr>
      </w:pPr>
    </w:p>
    <w:p w14:paraId="4FF07F04" w14:textId="5B22A051" w:rsidR="005266F8" w:rsidRPr="00710E6C" w:rsidRDefault="005266F8" w:rsidP="0038676E">
      <w:pPr>
        <w:pStyle w:val="Prrafodelista"/>
        <w:numPr>
          <w:ilvl w:val="0"/>
          <w:numId w:val="2"/>
        </w:numPr>
        <w:suppressAutoHyphens w:val="0"/>
        <w:autoSpaceDE w:val="0"/>
        <w:autoSpaceDN w:val="0"/>
        <w:adjustRightInd w:val="0"/>
        <w:jc w:val="both"/>
        <w:rPr>
          <w:rFonts w:eastAsiaTheme="minorHAnsi"/>
          <w:b/>
          <w:color w:val="000000"/>
          <w:lang w:val="es-PE" w:eastAsia="en-US"/>
        </w:rPr>
      </w:pPr>
      <w:r w:rsidRPr="00710E6C">
        <w:rPr>
          <w:rFonts w:eastAsiaTheme="minorHAnsi"/>
          <w:b/>
          <w:color w:val="000000"/>
          <w:lang w:val="es-PE" w:eastAsia="en-US"/>
        </w:rPr>
        <w:t xml:space="preserve">Si realmente </w:t>
      </w:r>
      <w:r w:rsidR="00417B62">
        <w:t>..................</w:t>
      </w:r>
      <w:r w:rsidRPr="00710E6C">
        <w:rPr>
          <w:rFonts w:eastAsiaTheme="minorHAnsi"/>
          <w:b/>
          <w:color w:val="000000"/>
          <w:lang w:val="es-PE" w:eastAsia="en-US"/>
        </w:rPr>
        <w:t xml:space="preserve"> presentó el certificado de seguro cómo lo menciona la resolución apelada</w:t>
      </w:r>
      <w:r w:rsidR="00683E64" w:rsidRPr="00710E6C">
        <w:rPr>
          <w:rFonts w:eastAsiaTheme="minorHAnsi"/>
          <w:b/>
          <w:color w:val="000000"/>
          <w:lang w:val="es-PE" w:eastAsia="en-US"/>
        </w:rPr>
        <w:t>, pues considera que de acuerdo a la</w:t>
      </w:r>
      <w:r w:rsidRPr="00710E6C">
        <w:rPr>
          <w:rFonts w:eastAsiaTheme="minorHAnsi"/>
          <w:b/>
          <w:color w:val="000000"/>
          <w:lang w:val="es-PE" w:eastAsia="en-US"/>
        </w:rPr>
        <w:t xml:space="preserve"> documentación remitida a la recurrente con fecha 4 de agosto, no hay ningún documento con título certificado de seguro, solo aparece una solicitud de seguro con 4 </w:t>
      </w:r>
      <w:proofErr w:type="gramStart"/>
      <w:r w:rsidRPr="00710E6C">
        <w:rPr>
          <w:rFonts w:eastAsiaTheme="minorHAnsi"/>
          <w:b/>
          <w:color w:val="000000"/>
          <w:lang w:val="es-PE" w:eastAsia="en-US"/>
        </w:rPr>
        <w:t>folios</w:t>
      </w:r>
      <w:proofErr w:type="gramEnd"/>
      <w:r w:rsidRPr="00710E6C">
        <w:rPr>
          <w:rFonts w:eastAsiaTheme="minorHAnsi"/>
          <w:b/>
          <w:color w:val="000000"/>
          <w:lang w:val="es-PE" w:eastAsia="en-US"/>
        </w:rPr>
        <w:t xml:space="preserve"> pero ello no es el certificado de seguro</w:t>
      </w:r>
    </w:p>
    <w:p w14:paraId="25A4B2FA" w14:textId="2165899E" w:rsidR="005266F8" w:rsidRPr="00710E6C" w:rsidRDefault="005266F8" w:rsidP="00505939">
      <w:pPr>
        <w:pStyle w:val="Default"/>
        <w:jc w:val="both"/>
        <w:rPr>
          <w:rFonts w:ascii="Times New Roman" w:hAnsi="Times New Roman" w:cs="Times New Roman"/>
          <w:bCs/>
        </w:rPr>
      </w:pPr>
    </w:p>
    <w:p w14:paraId="7E4DAC45" w14:textId="436633F5" w:rsidR="00D13369" w:rsidRPr="00710E6C" w:rsidRDefault="0091495C" w:rsidP="001D7BAF">
      <w:pPr>
        <w:pStyle w:val="Default"/>
        <w:ind w:left="360"/>
        <w:jc w:val="both"/>
        <w:rPr>
          <w:rFonts w:ascii="Times New Roman" w:hAnsi="Times New Roman" w:cs="Times New Roman"/>
          <w:bCs/>
        </w:rPr>
      </w:pPr>
      <w:r w:rsidRPr="00710E6C">
        <w:rPr>
          <w:rFonts w:ascii="Times New Roman" w:hAnsi="Times New Roman" w:cs="Times New Roman"/>
          <w:bCs/>
        </w:rPr>
        <w:t>Las compañías de seguros pueden emitir solicitud</w:t>
      </w:r>
      <w:r w:rsidR="006452A4" w:rsidRPr="00710E6C">
        <w:rPr>
          <w:rFonts w:ascii="Times New Roman" w:hAnsi="Times New Roman" w:cs="Times New Roman"/>
          <w:bCs/>
        </w:rPr>
        <w:t xml:space="preserve">es que son </w:t>
      </w:r>
      <w:r w:rsidR="002B1BC2" w:rsidRPr="00710E6C">
        <w:rPr>
          <w:rFonts w:ascii="Times New Roman" w:hAnsi="Times New Roman" w:cs="Times New Roman"/>
          <w:bCs/>
        </w:rPr>
        <w:t xml:space="preserve">a su vez certificados de seguros, </w:t>
      </w:r>
      <w:r w:rsidR="006452A4" w:rsidRPr="00710E6C">
        <w:rPr>
          <w:rFonts w:ascii="Times New Roman" w:hAnsi="Times New Roman" w:cs="Times New Roman"/>
          <w:bCs/>
        </w:rPr>
        <w:t xml:space="preserve">en tanto contienen la información que debe consignar el certificado de seguro. </w:t>
      </w:r>
      <w:r w:rsidR="00B71F53" w:rsidRPr="00710E6C">
        <w:rPr>
          <w:rFonts w:ascii="Times New Roman" w:hAnsi="Times New Roman" w:cs="Times New Roman"/>
          <w:bCs/>
        </w:rPr>
        <w:t xml:space="preserve">Lo importante en estos casos es que la aseguradora acredite que las exclusiones que invoca fueron oportunamente informadas al asegurado, y en este caso el documento presentado de 4 folios </w:t>
      </w:r>
      <w:r w:rsidR="002B1BC2" w:rsidRPr="00710E6C">
        <w:rPr>
          <w:rFonts w:ascii="Times New Roman" w:hAnsi="Times New Roman" w:cs="Times New Roman"/>
          <w:bCs/>
        </w:rPr>
        <w:t xml:space="preserve">que en parte de su contenido </w:t>
      </w:r>
      <w:r w:rsidR="00F46C70" w:rsidRPr="00710E6C">
        <w:rPr>
          <w:rFonts w:ascii="Times New Roman" w:hAnsi="Times New Roman" w:cs="Times New Roman"/>
          <w:bCs/>
        </w:rPr>
        <w:t>y expresamente en</w:t>
      </w:r>
      <w:r w:rsidR="0038676E" w:rsidRPr="00710E6C">
        <w:rPr>
          <w:rFonts w:ascii="Times New Roman" w:hAnsi="Times New Roman" w:cs="Times New Roman"/>
          <w:bCs/>
        </w:rPr>
        <w:t xml:space="preserve"> su</w:t>
      </w:r>
      <w:r w:rsidR="00F46C70" w:rsidRPr="00710E6C">
        <w:rPr>
          <w:rFonts w:ascii="Times New Roman" w:hAnsi="Times New Roman" w:cs="Times New Roman"/>
          <w:bCs/>
        </w:rPr>
        <w:t xml:space="preserve"> parte final</w:t>
      </w:r>
      <w:r w:rsidR="0038676E" w:rsidRPr="00710E6C">
        <w:rPr>
          <w:rFonts w:ascii="Times New Roman" w:hAnsi="Times New Roman" w:cs="Times New Roman"/>
          <w:bCs/>
        </w:rPr>
        <w:t xml:space="preserve"> (</w:t>
      </w:r>
      <w:r w:rsidR="00F46C70" w:rsidRPr="00710E6C">
        <w:rPr>
          <w:rFonts w:ascii="Times New Roman" w:hAnsi="Times New Roman" w:cs="Times New Roman"/>
          <w:bCs/>
        </w:rPr>
        <w:t>previa a la firma del asegurado</w:t>
      </w:r>
      <w:r w:rsidR="0038676E" w:rsidRPr="00710E6C">
        <w:rPr>
          <w:rFonts w:ascii="Times New Roman" w:hAnsi="Times New Roman" w:cs="Times New Roman"/>
          <w:bCs/>
        </w:rPr>
        <w:t xml:space="preserve">) </w:t>
      </w:r>
      <w:r w:rsidR="00F46C70" w:rsidRPr="00710E6C">
        <w:rPr>
          <w:rFonts w:ascii="Times New Roman" w:hAnsi="Times New Roman" w:cs="Times New Roman"/>
          <w:bCs/>
        </w:rPr>
        <w:t xml:space="preserve"> </w:t>
      </w:r>
      <w:r w:rsidR="002B1BC2" w:rsidRPr="00710E6C">
        <w:rPr>
          <w:rFonts w:ascii="Times New Roman" w:hAnsi="Times New Roman" w:cs="Times New Roman"/>
          <w:bCs/>
        </w:rPr>
        <w:t xml:space="preserve">hace referencia a que se trata de una Solicitud/ </w:t>
      </w:r>
      <w:r w:rsidR="002B1BC2" w:rsidRPr="00710E6C">
        <w:rPr>
          <w:rFonts w:ascii="Times New Roman" w:hAnsi="Times New Roman" w:cs="Times New Roman"/>
          <w:bCs/>
        </w:rPr>
        <w:lastRenderedPageBreak/>
        <w:t xml:space="preserve">Certificado, </w:t>
      </w:r>
      <w:r w:rsidR="00B71F53" w:rsidRPr="00710E6C">
        <w:rPr>
          <w:rFonts w:ascii="Times New Roman" w:hAnsi="Times New Roman" w:cs="Times New Roman"/>
          <w:bCs/>
        </w:rPr>
        <w:t>contiene la exclusión de preexistencia y fue suscrito por el asegurado</w:t>
      </w:r>
      <w:r w:rsidR="001D7BAF" w:rsidRPr="00710E6C">
        <w:rPr>
          <w:rFonts w:ascii="Times New Roman" w:hAnsi="Times New Roman" w:cs="Times New Roman"/>
          <w:bCs/>
        </w:rPr>
        <w:t>;</w:t>
      </w:r>
      <w:r w:rsidR="00D13369" w:rsidRPr="00710E6C">
        <w:rPr>
          <w:rFonts w:ascii="Times New Roman" w:hAnsi="Times New Roman" w:cs="Times New Roman"/>
          <w:bCs/>
        </w:rPr>
        <w:t xml:space="preserve"> por lo que ello es suficiente para que la aseguradora pueda oponer la exclusión invocada. </w:t>
      </w:r>
    </w:p>
    <w:p w14:paraId="65831409" w14:textId="77777777" w:rsidR="005266F8" w:rsidRPr="00710E6C" w:rsidRDefault="005266F8" w:rsidP="00505939">
      <w:pPr>
        <w:pStyle w:val="Default"/>
        <w:jc w:val="both"/>
        <w:rPr>
          <w:rFonts w:ascii="Times New Roman" w:hAnsi="Times New Roman" w:cs="Times New Roman"/>
          <w:bCs/>
          <w:iCs/>
        </w:rPr>
      </w:pPr>
    </w:p>
    <w:p w14:paraId="157E5B05" w14:textId="6B36483B" w:rsidR="00F471D7" w:rsidRPr="00710E6C" w:rsidRDefault="00735F1E" w:rsidP="00505939">
      <w:pPr>
        <w:pStyle w:val="Default"/>
        <w:jc w:val="both"/>
        <w:rPr>
          <w:rFonts w:ascii="Times New Roman" w:hAnsi="Times New Roman" w:cs="Times New Roman"/>
          <w:bCs/>
        </w:rPr>
      </w:pPr>
      <w:r w:rsidRPr="00710E6C">
        <w:rPr>
          <w:rFonts w:ascii="Times New Roman" w:hAnsi="Times New Roman" w:cs="Times New Roman"/>
          <w:bCs/>
        </w:rPr>
        <w:t>Finalmente, l</w:t>
      </w:r>
      <w:r w:rsidR="00DF0EBA" w:rsidRPr="00710E6C">
        <w:rPr>
          <w:rFonts w:ascii="Times New Roman" w:hAnsi="Times New Roman" w:cs="Times New Roman"/>
          <w:bCs/>
        </w:rPr>
        <w:t>a reclamante solicit</w:t>
      </w:r>
      <w:r w:rsidR="00683E64" w:rsidRPr="00710E6C">
        <w:rPr>
          <w:rFonts w:ascii="Times New Roman" w:hAnsi="Times New Roman" w:cs="Times New Roman"/>
          <w:bCs/>
        </w:rPr>
        <w:t>a</w:t>
      </w:r>
      <w:r w:rsidR="00DF0EBA" w:rsidRPr="00710E6C">
        <w:rPr>
          <w:rFonts w:ascii="Times New Roman" w:hAnsi="Times New Roman" w:cs="Times New Roman"/>
          <w:bCs/>
        </w:rPr>
        <w:t xml:space="preserve"> que este colegiado se pronuncie sobre cada uno de los puntos que expresa en su recurso impugnatorio, refiriendo que </w:t>
      </w:r>
      <w:r w:rsidR="00AC5BD7" w:rsidRPr="00710E6C">
        <w:rPr>
          <w:rFonts w:ascii="Times New Roman" w:hAnsi="Times New Roman" w:cs="Times New Roman"/>
          <w:bCs/>
        </w:rPr>
        <w:t xml:space="preserve">al no haberse pronunciado cada uno de los aspectos referidos en su reclamo se ha vulnerado el debido proceso. </w:t>
      </w:r>
    </w:p>
    <w:p w14:paraId="7B7CF3E8" w14:textId="77777777" w:rsidR="00F471D7" w:rsidRPr="00710E6C" w:rsidRDefault="00F471D7" w:rsidP="00505939">
      <w:pPr>
        <w:pStyle w:val="Default"/>
        <w:jc w:val="both"/>
        <w:rPr>
          <w:rFonts w:ascii="Times New Roman" w:hAnsi="Times New Roman" w:cs="Times New Roman"/>
          <w:bCs/>
        </w:rPr>
      </w:pPr>
    </w:p>
    <w:p w14:paraId="4D28732E" w14:textId="343EEFDD" w:rsidR="00AC5BD7" w:rsidRPr="00710E6C" w:rsidRDefault="00AC5BD7" w:rsidP="00505939">
      <w:pPr>
        <w:jc w:val="both"/>
        <w:rPr>
          <w:bCs/>
        </w:rPr>
      </w:pPr>
      <w:r w:rsidRPr="00710E6C">
        <w:rPr>
          <w:bCs/>
        </w:rPr>
        <w:t xml:space="preserve">Al respecto, este colegiado precisa que </w:t>
      </w:r>
      <w:r w:rsidRPr="00710E6C">
        <w:rPr>
          <w:bCs/>
          <w:lang w:val="es-419"/>
        </w:rPr>
        <w:t xml:space="preserve">la Defensoría del Asegurado es una entidad privada y por ende no constituye una instancia administrativa regida por la ley del procedimiento administrativo general. </w:t>
      </w:r>
      <w:r w:rsidR="00E33ECF" w:rsidRPr="00710E6C">
        <w:rPr>
          <w:bCs/>
          <w:lang w:val="es-419"/>
        </w:rPr>
        <w:t>L</w:t>
      </w:r>
      <w:r w:rsidRPr="00710E6C">
        <w:rPr>
          <w:bCs/>
          <w:lang w:val="es-419"/>
        </w:rPr>
        <w:t>a Defensoría se rige por su propio reglamento (</w:t>
      </w:r>
      <w:hyperlink r:id="rId7" w:history="1">
        <w:r w:rsidRPr="00710E6C">
          <w:rPr>
            <w:rStyle w:val="Hipervnculo"/>
            <w:bCs/>
            <w:lang w:val="es-419"/>
          </w:rPr>
          <w:t>http://www.defaseg.com.pe/reglamento-de-defaseg/</w:t>
        </w:r>
      </w:hyperlink>
      <w:r w:rsidRPr="00710E6C">
        <w:rPr>
          <w:bCs/>
          <w:lang w:val="es-419"/>
        </w:rPr>
        <w:t xml:space="preserve">), de acuerdo al cual </w:t>
      </w:r>
      <w:r w:rsidRPr="00710E6C">
        <w:rPr>
          <w:bCs/>
        </w:rPr>
        <w:t xml:space="preserve">el sometimiento voluntario de controversias en materia de seguros ante esta Defensoría, no afecta el derecho a la tutela jurisdiccional del asegurado, toda vez que lo resuelto por esta Defensoría no </w:t>
      </w:r>
      <w:r w:rsidR="00E33ECF" w:rsidRPr="00710E6C">
        <w:rPr>
          <w:bCs/>
        </w:rPr>
        <w:t xml:space="preserve">vincula al asegurado cuando el resultado le es desfavorable, ni </w:t>
      </w:r>
      <w:r w:rsidRPr="00710E6C">
        <w:rPr>
          <w:bCs/>
        </w:rPr>
        <w:t>afecta su derecho a iniciar procesos ante las instancias que considere pertinentes</w:t>
      </w:r>
      <w:r w:rsidR="00E33ECF" w:rsidRPr="00710E6C">
        <w:rPr>
          <w:bCs/>
        </w:rPr>
        <w:t xml:space="preserve">, sin que sea necesario </w:t>
      </w:r>
      <w:r w:rsidR="005A2E22" w:rsidRPr="00710E6C">
        <w:rPr>
          <w:bCs/>
        </w:rPr>
        <w:t xml:space="preserve">que previamente </w:t>
      </w:r>
      <w:r w:rsidR="00E33ECF" w:rsidRPr="00710E6C">
        <w:rPr>
          <w:bCs/>
        </w:rPr>
        <w:t>impugne lo resuelto por la DEFASEG</w:t>
      </w:r>
      <w:r w:rsidR="00E2765C" w:rsidRPr="00710E6C">
        <w:rPr>
          <w:bCs/>
        </w:rPr>
        <w:t>, t</w:t>
      </w:r>
      <w:r w:rsidR="005A2E22" w:rsidRPr="00710E6C">
        <w:rPr>
          <w:bCs/>
        </w:rPr>
        <w:t xml:space="preserve">oda vez que las resoluciones emitidas por esta Defensoría son únicamente </w:t>
      </w:r>
      <w:r w:rsidRPr="00710E6C">
        <w:rPr>
          <w:bCs/>
        </w:rPr>
        <w:t>vinculantes para las compañías de seguros cuando el fallo es favorable para el asegurado.</w:t>
      </w:r>
    </w:p>
    <w:p w14:paraId="128C3F84" w14:textId="23D78FD1" w:rsidR="00AC5BD7" w:rsidRPr="00710E6C" w:rsidRDefault="00AC5BD7" w:rsidP="00505939">
      <w:pPr>
        <w:pStyle w:val="Default"/>
        <w:jc w:val="both"/>
        <w:rPr>
          <w:rFonts w:ascii="Times New Roman" w:hAnsi="Times New Roman" w:cs="Times New Roman"/>
          <w:bCs/>
          <w:lang w:val="es-ES"/>
        </w:rPr>
      </w:pPr>
    </w:p>
    <w:p w14:paraId="719E3113" w14:textId="0AE2AF8A" w:rsidR="00F471D7" w:rsidRPr="00710E6C" w:rsidRDefault="00F471D7" w:rsidP="00505939">
      <w:pPr>
        <w:pStyle w:val="Default"/>
        <w:jc w:val="both"/>
        <w:rPr>
          <w:rFonts w:ascii="Times New Roman" w:hAnsi="Times New Roman" w:cs="Times New Roman"/>
          <w:bCs/>
        </w:rPr>
      </w:pPr>
      <w:r w:rsidRPr="00710E6C">
        <w:rPr>
          <w:rFonts w:ascii="Times New Roman" w:hAnsi="Times New Roman" w:cs="Times New Roman"/>
          <w:bCs/>
        </w:rPr>
        <w:t xml:space="preserve">Sin perjuicio de lo expuesto, este colegiado </w:t>
      </w:r>
      <w:r w:rsidR="00735F1E" w:rsidRPr="00710E6C">
        <w:rPr>
          <w:rFonts w:ascii="Times New Roman" w:hAnsi="Times New Roman" w:cs="Times New Roman"/>
          <w:bCs/>
        </w:rPr>
        <w:t xml:space="preserve">reitera </w:t>
      </w:r>
      <w:r w:rsidR="006B5F07" w:rsidRPr="00710E6C">
        <w:rPr>
          <w:rFonts w:ascii="Times New Roman" w:hAnsi="Times New Roman" w:cs="Times New Roman"/>
          <w:bCs/>
        </w:rPr>
        <w:t xml:space="preserve">y </w:t>
      </w:r>
      <w:r w:rsidRPr="00710E6C">
        <w:rPr>
          <w:rFonts w:ascii="Times New Roman" w:hAnsi="Times New Roman" w:cs="Times New Roman"/>
          <w:bCs/>
        </w:rPr>
        <w:t>destaca que</w:t>
      </w:r>
      <w:r w:rsidR="00E93CB5" w:rsidRPr="00710E6C">
        <w:rPr>
          <w:rFonts w:ascii="Times New Roman" w:hAnsi="Times New Roman" w:cs="Times New Roman"/>
          <w:bCs/>
        </w:rPr>
        <w:t>,</w:t>
      </w:r>
      <w:r w:rsidRPr="00710E6C">
        <w:rPr>
          <w:rFonts w:ascii="Times New Roman" w:hAnsi="Times New Roman" w:cs="Times New Roman"/>
          <w:bCs/>
        </w:rPr>
        <w:t xml:space="preserve"> es el propio certificado de defunción el que establece al cáncer de endometrio como causa de fallecimiento, por lo que estando acreditado que este fue diagnosticado en forma previa a la contratación del seguro, el rechazo de siniestro resulta legítimo, siendo que además la carga de la prueba de contradecir dicho certificado corresponde a la reclamante y no a la aseguradora.</w:t>
      </w:r>
    </w:p>
    <w:p w14:paraId="5CCD9758" w14:textId="77777777" w:rsidR="00F471D7" w:rsidRPr="00710E6C" w:rsidRDefault="00F471D7" w:rsidP="00505939">
      <w:pPr>
        <w:pStyle w:val="Default"/>
        <w:jc w:val="both"/>
        <w:rPr>
          <w:rFonts w:ascii="Times New Roman" w:hAnsi="Times New Roman" w:cs="Times New Roman"/>
          <w:bCs/>
        </w:rPr>
      </w:pPr>
    </w:p>
    <w:p w14:paraId="1FE92A5B" w14:textId="29DA6EEF" w:rsidR="00F471D7" w:rsidRPr="00710E6C" w:rsidRDefault="00F471D7" w:rsidP="00505939">
      <w:pPr>
        <w:pStyle w:val="Default"/>
        <w:jc w:val="both"/>
        <w:rPr>
          <w:rFonts w:ascii="Times New Roman" w:hAnsi="Times New Roman" w:cs="Times New Roman"/>
          <w:bCs/>
        </w:rPr>
      </w:pPr>
      <w:r w:rsidRPr="00710E6C">
        <w:rPr>
          <w:rFonts w:ascii="Times New Roman" w:hAnsi="Times New Roman" w:cs="Times New Roman"/>
          <w:bCs/>
        </w:rPr>
        <w:t xml:space="preserve">Si bien la reclamante ha expuesto las razones por las cuales considera que dicho certificado fue llenado en forma errada, dichos argumentos se basan en el propio y muy respetable análisis de la reclamante, pero que en opinión de este colegiado no </w:t>
      </w:r>
      <w:r w:rsidR="009404F8" w:rsidRPr="00710E6C">
        <w:rPr>
          <w:rFonts w:ascii="Times New Roman" w:hAnsi="Times New Roman" w:cs="Times New Roman"/>
          <w:bCs/>
        </w:rPr>
        <w:t xml:space="preserve">resulta </w:t>
      </w:r>
      <w:r w:rsidRPr="00710E6C">
        <w:rPr>
          <w:rFonts w:ascii="Times New Roman" w:hAnsi="Times New Roman" w:cs="Times New Roman"/>
          <w:bCs/>
        </w:rPr>
        <w:t>suficiente para contradecir lo expuesto en un documento médico legal</w:t>
      </w:r>
      <w:r w:rsidR="00C90656" w:rsidRPr="00710E6C">
        <w:rPr>
          <w:rFonts w:ascii="Times New Roman" w:hAnsi="Times New Roman" w:cs="Times New Roman"/>
          <w:bCs/>
        </w:rPr>
        <w:t>,</w:t>
      </w:r>
      <w:r w:rsidRPr="00710E6C">
        <w:rPr>
          <w:rFonts w:ascii="Times New Roman" w:hAnsi="Times New Roman" w:cs="Times New Roman"/>
          <w:bCs/>
        </w:rPr>
        <w:t xml:space="preserve"> como lo es el certificado de defunción que establece las causas del fallecimiento</w:t>
      </w:r>
      <w:r w:rsidR="00A37CB8" w:rsidRPr="00710E6C">
        <w:rPr>
          <w:rFonts w:ascii="Times New Roman" w:hAnsi="Times New Roman" w:cs="Times New Roman"/>
          <w:bCs/>
        </w:rPr>
        <w:t>.</w:t>
      </w:r>
      <w:r w:rsidR="00653E58" w:rsidRPr="00710E6C">
        <w:rPr>
          <w:rFonts w:ascii="Times New Roman" w:hAnsi="Times New Roman" w:cs="Times New Roman"/>
          <w:bCs/>
        </w:rPr>
        <w:t xml:space="preserve"> </w:t>
      </w:r>
    </w:p>
    <w:p w14:paraId="4A8D4ECD" w14:textId="77777777" w:rsidR="00A37CB8" w:rsidRPr="00710E6C" w:rsidRDefault="00A37CB8" w:rsidP="00505939">
      <w:pPr>
        <w:pStyle w:val="Default"/>
        <w:jc w:val="both"/>
        <w:rPr>
          <w:rFonts w:ascii="Times New Roman" w:hAnsi="Times New Roman" w:cs="Times New Roman"/>
          <w:bCs/>
        </w:rPr>
      </w:pPr>
    </w:p>
    <w:p w14:paraId="02E1C94B" w14:textId="715347E7" w:rsidR="0091771F" w:rsidRPr="00710E6C" w:rsidRDefault="004C76F1" w:rsidP="00505939">
      <w:pPr>
        <w:jc w:val="both"/>
        <w:rPr>
          <w:bCs/>
          <w:lang w:val="es-PE"/>
        </w:rPr>
      </w:pPr>
      <w:r w:rsidRPr="00710E6C">
        <w:rPr>
          <w:bCs/>
          <w:lang w:val="es-PE"/>
        </w:rPr>
        <w:t>Por lo tanto, a</w:t>
      </w:r>
      <w:r w:rsidR="000D4C0A" w:rsidRPr="00710E6C">
        <w:rPr>
          <w:bCs/>
          <w:lang w:val="es-PE"/>
        </w:rPr>
        <w:t xml:space="preserve"> juicio de este colegiado, el recurso impugnativo interpuesto puede ser categorizado, por su contenido mismo, como una solicitud de revisión general, sustentado en el muy respetable criterio de la reclamante que este colegiado no comparte definitivamente, sin aportar medio probatorio </w:t>
      </w:r>
      <w:r w:rsidR="0091771F" w:rsidRPr="00710E6C">
        <w:rPr>
          <w:bCs/>
          <w:lang w:val="es-PE"/>
        </w:rPr>
        <w:t xml:space="preserve">suficiente </w:t>
      </w:r>
      <w:r w:rsidR="000D4C0A" w:rsidRPr="00710E6C">
        <w:rPr>
          <w:bCs/>
          <w:lang w:val="es-PE"/>
        </w:rPr>
        <w:t>que permita objetivamente</w:t>
      </w:r>
      <w:r w:rsidRPr="00710E6C">
        <w:rPr>
          <w:bCs/>
          <w:lang w:val="es-PE"/>
        </w:rPr>
        <w:t xml:space="preserve">, </w:t>
      </w:r>
      <w:r w:rsidR="00DD6E53" w:rsidRPr="00710E6C">
        <w:rPr>
          <w:bCs/>
          <w:lang w:val="es-PE"/>
        </w:rPr>
        <w:t xml:space="preserve">revocar la resolución impugnada, </w:t>
      </w:r>
      <w:r w:rsidR="0091771F" w:rsidRPr="00710E6C">
        <w:rPr>
          <w:bCs/>
          <w:lang w:val="es-PE"/>
        </w:rPr>
        <w:t>por lo que la DEFASEG reitera lo analizado y concluido en su oportunidad.</w:t>
      </w:r>
    </w:p>
    <w:p w14:paraId="6BC515CA" w14:textId="77777777" w:rsidR="0091771F" w:rsidRPr="00710E6C" w:rsidRDefault="0091771F" w:rsidP="00505939">
      <w:pPr>
        <w:jc w:val="both"/>
        <w:rPr>
          <w:bCs/>
          <w:lang w:val="es-PE"/>
        </w:rPr>
      </w:pPr>
    </w:p>
    <w:p w14:paraId="73020CEE" w14:textId="77777777" w:rsidR="00035FC5" w:rsidRPr="00710E6C" w:rsidRDefault="00035FC5" w:rsidP="00505939">
      <w:pPr>
        <w:jc w:val="both"/>
        <w:rPr>
          <w:b/>
          <w:lang w:val="es-PE"/>
        </w:rPr>
      </w:pPr>
      <w:r w:rsidRPr="00710E6C">
        <w:rPr>
          <w:b/>
          <w:lang w:val="es-PE"/>
        </w:rPr>
        <w:t>Atendiendo a lo expresado, conforme a su Reglamento, este colegiado resuelve:</w:t>
      </w:r>
    </w:p>
    <w:p w14:paraId="30B6EFE3" w14:textId="77777777" w:rsidR="00035FC5" w:rsidRPr="00710E6C" w:rsidRDefault="00035FC5" w:rsidP="00505939">
      <w:pPr>
        <w:jc w:val="both"/>
        <w:rPr>
          <w:rFonts w:eastAsia="Arial Unicode MS"/>
          <w:bCs/>
          <w:lang w:val="es-PE"/>
        </w:rPr>
      </w:pPr>
    </w:p>
    <w:p w14:paraId="0F8BD12C" w14:textId="35DE2DFC" w:rsidR="001612B3" w:rsidRPr="00710E6C" w:rsidRDefault="00035FC5" w:rsidP="00505939">
      <w:pPr>
        <w:jc w:val="both"/>
        <w:rPr>
          <w:rFonts w:eastAsia="Arial Unicode MS"/>
          <w:bCs/>
          <w:lang w:val="es-PE"/>
        </w:rPr>
      </w:pPr>
      <w:r w:rsidRPr="00710E6C">
        <w:rPr>
          <w:rFonts w:eastAsia="Arial Unicode MS"/>
          <w:bCs/>
          <w:lang w:val="es-PE"/>
        </w:rPr>
        <w:t xml:space="preserve">Declarar </w:t>
      </w:r>
      <w:r w:rsidR="001612B3" w:rsidRPr="00710E6C">
        <w:rPr>
          <w:rFonts w:eastAsia="Arial Unicode MS"/>
          <w:b/>
          <w:lang w:val="es-PE"/>
        </w:rPr>
        <w:t xml:space="preserve">INFUNDADO </w:t>
      </w:r>
      <w:r w:rsidR="001612B3" w:rsidRPr="00710E6C">
        <w:rPr>
          <w:rFonts w:eastAsia="Arial Unicode MS"/>
          <w:bCs/>
          <w:lang w:val="es-PE"/>
        </w:rPr>
        <w:t xml:space="preserve">el recurso de impugnación interpuesto y confirmar la Resolución </w:t>
      </w:r>
      <w:proofErr w:type="spellStart"/>
      <w:r w:rsidR="001612B3" w:rsidRPr="00710E6C">
        <w:rPr>
          <w:rFonts w:eastAsia="Arial Unicode MS"/>
          <w:bCs/>
          <w:lang w:val="es-PE"/>
        </w:rPr>
        <w:t>Nº</w:t>
      </w:r>
      <w:proofErr w:type="spellEnd"/>
      <w:r w:rsidR="001612B3" w:rsidRPr="00710E6C">
        <w:rPr>
          <w:rFonts w:eastAsia="Arial Unicode MS"/>
          <w:bCs/>
          <w:lang w:val="es-PE"/>
        </w:rPr>
        <w:t xml:space="preserve"> </w:t>
      </w:r>
      <w:r w:rsidR="00C129C0" w:rsidRPr="00710E6C">
        <w:rPr>
          <w:rFonts w:eastAsia="Arial Unicode MS"/>
          <w:bCs/>
          <w:lang w:val="es-PE"/>
        </w:rPr>
        <w:t>068/20</w:t>
      </w:r>
      <w:r w:rsidR="001612B3" w:rsidRPr="00710E6C">
        <w:rPr>
          <w:rFonts w:eastAsia="Arial Unicode MS"/>
          <w:bCs/>
          <w:lang w:val="es-PE"/>
        </w:rPr>
        <w:t xml:space="preserve"> de fecha </w:t>
      </w:r>
      <w:r w:rsidR="00C129C0" w:rsidRPr="00710E6C">
        <w:rPr>
          <w:rFonts w:eastAsia="Arial Unicode MS"/>
          <w:bCs/>
          <w:lang w:val="es-PE"/>
        </w:rPr>
        <w:t>03 de agosto de 2020</w:t>
      </w:r>
      <w:r w:rsidR="001612B3" w:rsidRPr="00710E6C">
        <w:rPr>
          <w:rFonts w:eastAsia="Arial Unicode MS"/>
          <w:bCs/>
          <w:lang w:val="es-PE"/>
        </w:rPr>
        <w:t xml:space="preserve"> que declaro infundado el reclamo interpuesto por </w:t>
      </w:r>
      <w:r w:rsidR="00417B62">
        <w:t>..................</w:t>
      </w:r>
      <w:r w:rsidR="001612B3" w:rsidRPr="00710E6C">
        <w:rPr>
          <w:rFonts w:eastAsia="Arial Unicode MS"/>
          <w:bCs/>
          <w:lang w:val="es-PE"/>
        </w:rPr>
        <w:t>, dejando a salvo el derecho de la reclamante de recurrir ante las instancias que estime pertinentes.</w:t>
      </w:r>
    </w:p>
    <w:p w14:paraId="0CAF6B77" w14:textId="77777777" w:rsidR="00035FC5" w:rsidRPr="00710E6C" w:rsidRDefault="00035FC5" w:rsidP="00505939">
      <w:pPr>
        <w:jc w:val="both"/>
        <w:rPr>
          <w:bCs/>
        </w:rPr>
      </w:pPr>
    </w:p>
    <w:p w14:paraId="40BA5952" w14:textId="3054538B" w:rsidR="00035FC5" w:rsidRPr="00710E6C" w:rsidRDefault="00975689" w:rsidP="00505939">
      <w:pPr>
        <w:jc w:val="both"/>
        <w:rPr>
          <w:bCs/>
        </w:rPr>
      </w:pPr>
      <w:r w:rsidRPr="00710E6C">
        <w:rPr>
          <w:bCs/>
        </w:rPr>
        <w:tab/>
      </w:r>
      <w:r w:rsidRPr="00710E6C">
        <w:rPr>
          <w:bCs/>
        </w:rPr>
        <w:tab/>
      </w:r>
      <w:r w:rsidRPr="00710E6C">
        <w:rPr>
          <w:bCs/>
        </w:rPr>
        <w:tab/>
      </w:r>
      <w:r w:rsidRPr="00710E6C">
        <w:rPr>
          <w:bCs/>
        </w:rPr>
        <w:tab/>
      </w:r>
      <w:r w:rsidRPr="00710E6C">
        <w:rPr>
          <w:bCs/>
        </w:rPr>
        <w:tab/>
      </w:r>
      <w:r w:rsidRPr="00710E6C">
        <w:rPr>
          <w:bCs/>
        </w:rPr>
        <w:tab/>
      </w:r>
      <w:r w:rsidRPr="00710E6C">
        <w:rPr>
          <w:bCs/>
        </w:rPr>
        <w:tab/>
      </w:r>
      <w:r w:rsidRPr="00710E6C">
        <w:rPr>
          <w:bCs/>
        </w:rPr>
        <w:tab/>
        <w:t>Lima, 12 de octubre de 2020</w:t>
      </w:r>
    </w:p>
    <w:p w14:paraId="44FA4B69" w14:textId="77777777" w:rsidR="00975689" w:rsidRPr="00710E6C" w:rsidRDefault="00975689" w:rsidP="00975689">
      <w:pPr>
        <w:jc w:val="both"/>
        <w:rPr>
          <w:b/>
          <w:bCs/>
          <w:i/>
          <w:iCs/>
          <w:lang w:val="es-ES_tradnl"/>
        </w:rPr>
      </w:pPr>
    </w:p>
    <w:p w14:paraId="228062B3" w14:textId="77777777" w:rsidR="00975689" w:rsidRPr="00710E6C" w:rsidRDefault="00975689" w:rsidP="00975689">
      <w:pPr>
        <w:jc w:val="both"/>
        <w:rPr>
          <w:b/>
          <w:bCs/>
          <w:i/>
          <w:iCs/>
          <w:lang w:val="es-ES_tradnl"/>
        </w:rPr>
      </w:pPr>
    </w:p>
    <w:p w14:paraId="6EC08904" w14:textId="7AD041FC" w:rsidR="00975689" w:rsidRPr="00710E6C" w:rsidRDefault="00975689" w:rsidP="00975689">
      <w:pPr>
        <w:jc w:val="both"/>
        <w:rPr>
          <w:b/>
          <w:bCs/>
          <w:i/>
          <w:iCs/>
          <w:lang w:val="es-ES_tradnl"/>
        </w:rPr>
      </w:pPr>
      <w:r w:rsidRPr="00710E6C">
        <w:rPr>
          <w:b/>
          <w:bCs/>
          <w:i/>
          <w:iCs/>
          <w:lang w:val="es-ES_tradnl"/>
        </w:rPr>
        <w:lastRenderedPageBreak/>
        <w:t>La Secretaría Técnica certifica que la presente resolución cuenta con el voto de los vocales cuyos nombres figuran en el presente documento.</w:t>
      </w:r>
    </w:p>
    <w:p w14:paraId="6B555E21" w14:textId="77777777" w:rsidR="00975689" w:rsidRPr="00710E6C" w:rsidRDefault="00975689" w:rsidP="00975689">
      <w:pPr>
        <w:spacing w:line="360" w:lineRule="auto"/>
        <w:rPr>
          <w:b/>
          <w:bCs/>
        </w:rPr>
      </w:pPr>
    </w:p>
    <w:p w14:paraId="4509059C" w14:textId="77777777" w:rsidR="00975689" w:rsidRPr="00710E6C" w:rsidRDefault="00975689" w:rsidP="00975689">
      <w:pPr>
        <w:spacing w:line="360" w:lineRule="auto"/>
        <w:jc w:val="center"/>
        <w:rPr>
          <w:b/>
          <w:bCs/>
        </w:rPr>
      </w:pPr>
      <w:r w:rsidRPr="00710E6C">
        <w:rPr>
          <w:b/>
          <w:bCs/>
        </w:rPr>
        <w:t xml:space="preserve">Rolando Eyzaguirre </w:t>
      </w:r>
      <w:proofErr w:type="spellStart"/>
      <w:r w:rsidRPr="00710E6C">
        <w:rPr>
          <w:b/>
          <w:bCs/>
        </w:rPr>
        <w:t>Maccan</w:t>
      </w:r>
      <w:proofErr w:type="spellEnd"/>
      <w:r w:rsidRPr="00710E6C">
        <w:rPr>
          <w:b/>
          <w:bCs/>
        </w:rPr>
        <w:t xml:space="preserve"> – </w:t>
      </w:r>
      <w:proofErr w:type="gramStart"/>
      <w:r w:rsidRPr="00710E6C">
        <w:rPr>
          <w:b/>
          <w:bCs/>
        </w:rPr>
        <w:t>Presidente</w:t>
      </w:r>
      <w:proofErr w:type="gramEnd"/>
    </w:p>
    <w:p w14:paraId="062901A0" w14:textId="77777777" w:rsidR="00975689" w:rsidRPr="00710E6C" w:rsidRDefault="00975689" w:rsidP="00975689">
      <w:pPr>
        <w:spacing w:line="360" w:lineRule="auto"/>
        <w:jc w:val="center"/>
        <w:rPr>
          <w:b/>
          <w:bCs/>
        </w:rPr>
      </w:pPr>
      <w:r w:rsidRPr="00710E6C">
        <w:rPr>
          <w:b/>
          <w:bCs/>
        </w:rPr>
        <w:t>María Eugenia Valdez Fernández Baca – Vocal</w:t>
      </w:r>
    </w:p>
    <w:p w14:paraId="6E300355" w14:textId="77777777" w:rsidR="00975689" w:rsidRPr="00710E6C" w:rsidRDefault="00975689" w:rsidP="00975689">
      <w:pPr>
        <w:spacing w:line="360" w:lineRule="auto"/>
        <w:jc w:val="center"/>
        <w:rPr>
          <w:b/>
          <w:bCs/>
        </w:rPr>
      </w:pPr>
      <w:r w:rsidRPr="00710E6C">
        <w:rPr>
          <w:b/>
          <w:bCs/>
        </w:rPr>
        <w:t>Marco Antonio Ortega Piana – Vocal</w:t>
      </w:r>
    </w:p>
    <w:p w14:paraId="42FCB429" w14:textId="77777777" w:rsidR="00975689" w:rsidRPr="00710E6C" w:rsidRDefault="00975689" w:rsidP="00975689">
      <w:pPr>
        <w:spacing w:line="360" w:lineRule="auto"/>
        <w:jc w:val="center"/>
      </w:pPr>
      <w:r w:rsidRPr="00710E6C">
        <w:rPr>
          <w:b/>
          <w:bCs/>
        </w:rPr>
        <w:t>Gonzalo Abad del Busto - Vocal</w:t>
      </w:r>
    </w:p>
    <w:p w14:paraId="2E15CC7F" w14:textId="77777777" w:rsidR="00975689" w:rsidRPr="00710E6C" w:rsidRDefault="00975689" w:rsidP="00505939">
      <w:pPr>
        <w:jc w:val="both"/>
        <w:rPr>
          <w:bCs/>
        </w:rPr>
      </w:pPr>
    </w:p>
    <w:p w14:paraId="48017542" w14:textId="77777777" w:rsidR="00035FC5" w:rsidRPr="00710E6C" w:rsidRDefault="00035FC5" w:rsidP="00505939">
      <w:pPr>
        <w:jc w:val="both"/>
        <w:outlineLvl w:val="0"/>
        <w:rPr>
          <w:rFonts w:eastAsia="Arial Unicode MS"/>
          <w:bCs/>
        </w:rPr>
      </w:pPr>
    </w:p>
    <w:p w14:paraId="7AFC2FFA" w14:textId="77777777" w:rsidR="00035FC5" w:rsidRPr="00710E6C" w:rsidRDefault="00035FC5" w:rsidP="00505939">
      <w:pPr>
        <w:jc w:val="both"/>
        <w:rPr>
          <w:bCs/>
        </w:rPr>
      </w:pPr>
    </w:p>
    <w:p w14:paraId="37C98334" w14:textId="77777777" w:rsidR="00035FC5" w:rsidRPr="00710E6C" w:rsidRDefault="00035FC5" w:rsidP="00505939">
      <w:pPr>
        <w:jc w:val="both"/>
        <w:rPr>
          <w:bCs/>
        </w:rPr>
      </w:pPr>
    </w:p>
    <w:p w14:paraId="784F3C16" w14:textId="77777777" w:rsidR="00517989" w:rsidRPr="00710E6C" w:rsidRDefault="000E2BA2" w:rsidP="00505939">
      <w:pPr>
        <w:jc w:val="both"/>
        <w:rPr>
          <w:bCs/>
        </w:rPr>
      </w:pPr>
    </w:p>
    <w:sectPr w:rsidR="00517989" w:rsidRPr="00710E6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AD505" w14:textId="77777777" w:rsidR="000E2BA2" w:rsidRDefault="000E2BA2" w:rsidP="00975689">
      <w:r>
        <w:separator/>
      </w:r>
    </w:p>
  </w:endnote>
  <w:endnote w:type="continuationSeparator" w:id="0">
    <w:p w14:paraId="7B9C4C40" w14:textId="77777777" w:rsidR="000E2BA2" w:rsidRDefault="000E2BA2" w:rsidP="0097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76869988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E960942" w14:textId="3C461EC7" w:rsidR="00975689" w:rsidRPr="00975689" w:rsidRDefault="00975689">
            <w:pPr>
              <w:pStyle w:val="Piedepgina"/>
              <w:jc w:val="right"/>
              <w:rPr>
                <w:sz w:val="16"/>
                <w:szCs w:val="16"/>
              </w:rPr>
            </w:pPr>
            <w:r w:rsidRPr="00975689">
              <w:rPr>
                <w:sz w:val="16"/>
                <w:szCs w:val="16"/>
              </w:rPr>
              <w:t xml:space="preserve">Página </w:t>
            </w:r>
            <w:r w:rsidRPr="00975689">
              <w:rPr>
                <w:b/>
                <w:bCs/>
                <w:sz w:val="16"/>
                <w:szCs w:val="16"/>
              </w:rPr>
              <w:fldChar w:fldCharType="begin"/>
            </w:r>
            <w:r w:rsidRPr="00975689">
              <w:rPr>
                <w:b/>
                <w:bCs/>
                <w:sz w:val="16"/>
                <w:szCs w:val="16"/>
              </w:rPr>
              <w:instrText>PAGE</w:instrText>
            </w:r>
            <w:r w:rsidRPr="00975689">
              <w:rPr>
                <w:b/>
                <w:bCs/>
                <w:sz w:val="16"/>
                <w:szCs w:val="16"/>
              </w:rPr>
              <w:fldChar w:fldCharType="separate"/>
            </w:r>
            <w:r w:rsidRPr="00975689">
              <w:rPr>
                <w:b/>
                <w:bCs/>
                <w:sz w:val="16"/>
                <w:szCs w:val="16"/>
              </w:rPr>
              <w:t>2</w:t>
            </w:r>
            <w:r w:rsidRPr="00975689">
              <w:rPr>
                <w:b/>
                <w:bCs/>
                <w:sz w:val="16"/>
                <w:szCs w:val="16"/>
              </w:rPr>
              <w:fldChar w:fldCharType="end"/>
            </w:r>
            <w:r w:rsidRPr="00975689">
              <w:rPr>
                <w:sz w:val="16"/>
                <w:szCs w:val="16"/>
              </w:rPr>
              <w:t xml:space="preserve"> de </w:t>
            </w:r>
            <w:r w:rsidRPr="00975689">
              <w:rPr>
                <w:b/>
                <w:bCs/>
                <w:sz w:val="16"/>
                <w:szCs w:val="16"/>
              </w:rPr>
              <w:fldChar w:fldCharType="begin"/>
            </w:r>
            <w:r w:rsidRPr="00975689">
              <w:rPr>
                <w:b/>
                <w:bCs/>
                <w:sz w:val="16"/>
                <w:szCs w:val="16"/>
              </w:rPr>
              <w:instrText>NUMPAGES</w:instrText>
            </w:r>
            <w:r w:rsidRPr="00975689">
              <w:rPr>
                <w:b/>
                <w:bCs/>
                <w:sz w:val="16"/>
                <w:szCs w:val="16"/>
              </w:rPr>
              <w:fldChar w:fldCharType="separate"/>
            </w:r>
            <w:r w:rsidRPr="00975689">
              <w:rPr>
                <w:b/>
                <w:bCs/>
                <w:sz w:val="16"/>
                <w:szCs w:val="16"/>
              </w:rPr>
              <w:t>2</w:t>
            </w:r>
            <w:r w:rsidRPr="00975689">
              <w:rPr>
                <w:b/>
                <w:bCs/>
                <w:sz w:val="16"/>
                <w:szCs w:val="16"/>
              </w:rPr>
              <w:fldChar w:fldCharType="end"/>
            </w:r>
          </w:p>
        </w:sdtContent>
      </w:sdt>
    </w:sdtContent>
  </w:sdt>
  <w:p w14:paraId="1618DE11" w14:textId="77777777" w:rsidR="00975689" w:rsidRDefault="009756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48F06" w14:textId="77777777" w:rsidR="000E2BA2" w:rsidRDefault="000E2BA2" w:rsidP="00975689">
      <w:r>
        <w:separator/>
      </w:r>
    </w:p>
  </w:footnote>
  <w:footnote w:type="continuationSeparator" w:id="0">
    <w:p w14:paraId="77F64CD9" w14:textId="77777777" w:rsidR="000E2BA2" w:rsidRDefault="000E2BA2" w:rsidP="0097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A78E7" w14:textId="7E6E2544" w:rsidR="00975689" w:rsidRDefault="00975689">
    <w:pPr>
      <w:pStyle w:val="Encabezado"/>
    </w:pPr>
  </w:p>
  <w:p w14:paraId="7DCA3DF3" w14:textId="77777777" w:rsidR="00975689" w:rsidRDefault="009756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33994"/>
    <w:multiLevelType w:val="hybridMultilevel"/>
    <w:tmpl w:val="3AECCA96"/>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 w15:restartNumberingAfterBreak="0">
    <w:nsid w:val="5CA32695"/>
    <w:multiLevelType w:val="hybridMultilevel"/>
    <w:tmpl w:val="89449C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661A381D"/>
    <w:multiLevelType w:val="hybridMultilevel"/>
    <w:tmpl w:val="C816A1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C5"/>
    <w:rsid w:val="000042DC"/>
    <w:rsid w:val="00005AE9"/>
    <w:rsid w:val="00032526"/>
    <w:rsid w:val="00035FC5"/>
    <w:rsid w:val="00041B43"/>
    <w:rsid w:val="000565EF"/>
    <w:rsid w:val="00060EEC"/>
    <w:rsid w:val="00084E51"/>
    <w:rsid w:val="000B71A6"/>
    <w:rsid w:val="000C312F"/>
    <w:rsid w:val="000C40F2"/>
    <w:rsid w:val="000D4C0A"/>
    <w:rsid w:val="000D65A0"/>
    <w:rsid w:val="000D6E68"/>
    <w:rsid w:val="000E2BA2"/>
    <w:rsid w:val="00110F6F"/>
    <w:rsid w:val="001117DD"/>
    <w:rsid w:val="00114B3A"/>
    <w:rsid w:val="0013101D"/>
    <w:rsid w:val="001368EB"/>
    <w:rsid w:val="00151F72"/>
    <w:rsid w:val="00157D16"/>
    <w:rsid w:val="001612B3"/>
    <w:rsid w:val="00171954"/>
    <w:rsid w:val="001754E0"/>
    <w:rsid w:val="00184D16"/>
    <w:rsid w:val="001A1052"/>
    <w:rsid w:val="001B0AEE"/>
    <w:rsid w:val="001D70E8"/>
    <w:rsid w:val="001D7BAF"/>
    <w:rsid w:val="001F5F38"/>
    <w:rsid w:val="002013C6"/>
    <w:rsid w:val="00205B1C"/>
    <w:rsid w:val="0022622E"/>
    <w:rsid w:val="00232B3B"/>
    <w:rsid w:val="00240AA0"/>
    <w:rsid w:val="00297051"/>
    <w:rsid w:val="002B1BC2"/>
    <w:rsid w:val="002B7DD9"/>
    <w:rsid w:val="002C5095"/>
    <w:rsid w:val="002D3462"/>
    <w:rsid w:val="002D3561"/>
    <w:rsid w:val="002D6EDD"/>
    <w:rsid w:val="002E1A04"/>
    <w:rsid w:val="00310F41"/>
    <w:rsid w:val="003123D2"/>
    <w:rsid w:val="0032246D"/>
    <w:rsid w:val="003309D1"/>
    <w:rsid w:val="00337DB0"/>
    <w:rsid w:val="00356C7A"/>
    <w:rsid w:val="003706CF"/>
    <w:rsid w:val="00370DEA"/>
    <w:rsid w:val="0038676E"/>
    <w:rsid w:val="0039661F"/>
    <w:rsid w:val="003B5842"/>
    <w:rsid w:val="003D7F79"/>
    <w:rsid w:val="003E5554"/>
    <w:rsid w:val="00402F5B"/>
    <w:rsid w:val="00411D7E"/>
    <w:rsid w:val="00417B62"/>
    <w:rsid w:val="00417E23"/>
    <w:rsid w:val="00422ED3"/>
    <w:rsid w:val="00425FF8"/>
    <w:rsid w:val="004816B5"/>
    <w:rsid w:val="00483E6B"/>
    <w:rsid w:val="004A0BFE"/>
    <w:rsid w:val="004B2BB1"/>
    <w:rsid w:val="004C76F1"/>
    <w:rsid w:val="00502C29"/>
    <w:rsid w:val="00505939"/>
    <w:rsid w:val="00505BB9"/>
    <w:rsid w:val="00516F8E"/>
    <w:rsid w:val="005175E5"/>
    <w:rsid w:val="005266F8"/>
    <w:rsid w:val="00531FB6"/>
    <w:rsid w:val="0054272E"/>
    <w:rsid w:val="00544467"/>
    <w:rsid w:val="005644F9"/>
    <w:rsid w:val="00577B79"/>
    <w:rsid w:val="005812CD"/>
    <w:rsid w:val="0058358B"/>
    <w:rsid w:val="005A2E22"/>
    <w:rsid w:val="005C3870"/>
    <w:rsid w:val="005E4F16"/>
    <w:rsid w:val="005F621A"/>
    <w:rsid w:val="005F71E7"/>
    <w:rsid w:val="006403E0"/>
    <w:rsid w:val="006452A4"/>
    <w:rsid w:val="00653E58"/>
    <w:rsid w:val="00655DF9"/>
    <w:rsid w:val="006705D7"/>
    <w:rsid w:val="00683E64"/>
    <w:rsid w:val="006B5F07"/>
    <w:rsid w:val="006D08D2"/>
    <w:rsid w:val="006E153C"/>
    <w:rsid w:val="00710E6C"/>
    <w:rsid w:val="00735F1E"/>
    <w:rsid w:val="00751ED8"/>
    <w:rsid w:val="00776C97"/>
    <w:rsid w:val="00787571"/>
    <w:rsid w:val="007B4B23"/>
    <w:rsid w:val="007B6476"/>
    <w:rsid w:val="007C2FC5"/>
    <w:rsid w:val="007D6544"/>
    <w:rsid w:val="00832AF9"/>
    <w:rsid w:val="00836D83"/>
    <w:rsid w:val="00847E09"/>
    <w:rsid w:val="00866DC2"/>
    <w:rsid w:val="00867373"/>
    <w:rsid w:val="00873253"/>
    <w:rsid w:val="008930FB"/>
    <w:rsid w:val="008A1A4F"/>
    <w:rsid w:val="008A2AE8"/>
    <w:rsid w:val="008B051F"/>
    <w:rsid w:val="008F6514"/>
    <w:rsid w:val="0090534A"/>
    <w:rsid w:val="009074C4"/>
    <w:rsid w:val="00913E95"/>
    <w:rsid w:val="0091495C"/>
    <w:rsid w:val="0091771F"/>
    <w:rsid w:val="009404F8"/>
    <w:rsid w:val="00957AB3"/>
    <w:rsid w:val="00961FD7"/>
    <w:rsid w:val="0096316F"/>
    <w:rsid w:val="00965180"/>
    <w:rsid w:val="00975689"/>
    <w:rsid w:val="0098153B"/>
    <w:rsid w:val="00982FC4"/>
    <w:rsid w:val="00987379"/>
    <w:rsid w:val="009B46DD"/>
    <w:rsid w:val="009C29D8"/>
    <w:rsid w:val="009F6DE0"/>
    <w:rsid w:val="00A020EA"/>
    <w:rsid w:val="00A207C6"/>
    <w:rsid w:val="00A223FC"/>
    <w:rsid w:val="00A37CB8"/>
    <w:rsid w:val="00A52F83"/>
    <w:rsid w:val="00A5769A"/>
    <w:rsid w:val="00A641C7"/>
    <w:rsid w:val="00A66B5D"/>
    <w:rsid w:val="00A677B9"/>
    <w:rsid w:val="00A739D6"/>
    <w:rsid w:val="00A74334"/>
    <w:rsid w:val="00A8180F"/>
    <w:rsid w:val="00AA0AC5"/>
    <w:rsid w:val="00AC0F60"/>
    <w:rsid w:val="00AC5BD7"/>
    <w:rsid w:val="00AD45C3"/>
    <w:rsid w:val="00AE0FBC"/>
    <w:rsid w:val="00AE1343"/>
    <w:rsid w:val="00AE7120"/>
    <w:rsid w:val="00AF41BB"/>
    <w:rsid w:val="00B11972"/>
    <w:rsid w:val="00B50B29"/>
    <w:rsid w:val="00B54549"/>
    <w:rsid w:val="00B555DB"/>
    <w:rsid w:val="00B71F53"/>
    <w:rsid w:val="00B91659"/>
    <w:rsid w:val="00BB0070"/>
    <w:rsid w:val="00BC02E3"/>
    <w:rsid w:val="00BD0AD3"/>
    <w:rsid w:val="00BD5D6F"/>
    <w:rsid w:val="00BE23C7"/>
    <w:rsid w:val="00BE3F3D"/>
    <w:rsid w:val="00BE45DD"/>
    <w:rsid w:val="00BF20D4"/>
    <w:rsid w:val="00C04ED5"/>
    <w:rsid w:val="00C129C0"/>
    <w:rsid w:val="00C34E13"/>
    <w:rsid w:val="00C46B21"/>
    <w:rsid w:val="00C63715"/>
    <w:rsid w:val="00C6375B"/>
    <w:rsid w:val="00C66E9D"/>
    <w:rsid w:val="00C76078"/>
    <w:rsid w:val="00C82F15"/>
    <w:rsid w:val="00C90656"/>
    <w:rsid w:val="00CB521A"/>
    <w:rsid w:val="00CC1784"/>
    <w:rsid w:val="00D0167B"/>
    <w:rsid w:val="00D13369"/>
    <w:rsid w:val="00D13FF5"/>
    <w:rsid w:val="00D15C1E"/>
    <w:rsid w:val="00D47308"/>
    <w:rsid w:val="00D747FD"/>
    <w:rsid w:val="00D77344"/>
    <w:rsid w:val="00D81BFC"/>
    <w:rsid w:val="00D86E87"/>
    <w:rsid w:val="00D9277E"/>
    <w:rsid w:val="00DA261E"/>
    <w:rsid w:val="00DA7AA5"/>
    <w:rsid w:val="00DD339A"/>
    <w:rsid w:val="00DD6E53"/>
    <w:rsid w:val="00DE3494"/>
    <w:rsid w:val="00DF0EBA"/>
    <w:rsid w:val="00DF409D"/>
    <w:rsid w:val="00E014C7"/>
    <w:rsid w:val="00E13D34"/>
    <w:rsid w:val="00E275D2"/>
    <w:rsid w:val="00E2765C"/>
    <w:rsid w:val="00E311FF"/>
    <w:rsid w:val="00E33833"/>
    <w:rsid w:val="00E33ECF"/>
    <w:rsid w:val="00E41576"/>
    <w:rsid w:val="00E423D9"/>
    <w:rsid w:val="00E54E25"/>
    <w:rsid w:val="00E65141"/>
    <w:rsid w:val="00E66767"/>
    <w:rsid w:val="00E75351"/>
    <w:rsid w:val="00E93CB5"/>
    <w:rsid w:val="00E94F01"/>
    <w:rsid w:val="00EB105F"/>
    <w:rsid w:val="00EB21F7"/>
    <w:rsid w:val="00ED6B99"/>
    <w:rsid w:val="00F029DD"/>
    <w:rsid w:val="00F14DAA"/>
    <w:rsid w:val="00F16D3E"/>
    <w:rsid w:val="00F17500"/>
    <w:rsid w:val="00F1785E"/>
    <w:rsid w:val="00F337B6"/>
    <w:rsid w:val="00F46C70"/>
    <w:rsid w:val="00F471D7"/>
    <w:rsid w:val="00F5621B"/>
    <w:rsid w:val="00F923D5"/>
    <w:rsid w:val="00FA4C1B"/>
    <w:rsid w:val="00FB432F"/>
    <w:rsid w:val="00FB480E"/>
    <w:rsid w:val="00FB541D"/>
    <w:rsid w:val="00FC0ECE"/>
    <w:rsid w:val="00FE37AD"/>
    <w:rsid w:val="00FF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07EA"/>
  <w15:chartTrackingRefBased/>
  <w15:docId w15:val="{CFD6FF60-A092-451D-BF62-04E10DA1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72"/>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5FC5"/>
    <w:pPr>
      <w:jc w:val="both"/>
    </w:pPr>
    <w:rPr>
      <w:bCs/>
      <w:lang w:val="es-MX"/>
    </w:rPr>
  </w:style>
  <w:style w:type="character" w:customStyle="1" w:styleId="TextoindependienteCar">
    <w:name w:val="Texto independiente Car"/>
    <w:basedOn w:val="Fuentedeprrafopredeter"/>
    <w:link w:val="Textoindependiente"/>
    <w:rsid w:val="00035FC5"/>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035FC5"/>
    <w:rPr>
      <w:color w:val="0563C1" w:themeColor="hyperlink"/>
      <w:u w:val="single"/>
    </w:rPr>
  </w:style>
  <w:style w:type="paragraph" w:customStyle="1" w:styleId="Default">
    <w:name w:val="Default"/>
    <w:rsid w:val="00035FC5"/>
    <w:pPr>
      <w:autoSpaceDE w:val="0"/>
      <w:autoSpaceDN w:val="0"/>
      <w:adjustRightInd w:val="0"/>
      <w:spacing w:after="0" w:line="240" w:lineRule="auto"/>
    </w:pPr>
    <w:rPr>
      <w:rFonts w:ascii="Arial" w:hAnsi="Arial" w:cs="Arial"/>
      <w:color w:val="000000"/>
      <w:sz w:val="24"/>
      <w:szCs w:val="24"/>
      <w:lang w:val="es-PE"/>
    </w:rPr>
  </w:style>
  <w:style w:type="paragraph" w:styleId="Prrafodelista">
    <w:name w:val="List Paragraph"/>
    <w:basedOn w:val="Normal"/>
    <w:uiPriority w:val="34"/>
    <w:qFormat/>
    <w:rsid w:val="00035FC5"/>
    <w:pPr>
      <w:ind w:left="720"/>
      <w:contextualSpacing/>
    </w:pPr>
  </w:style>
  <w:style w:type="paragraph" w:styleId="Textodeglobo">
    <w:name w:val="Balloon Text"/>
    <w:basedOn w:val="Normal"/>
    <w:link w:val="TextodegloboCar"/>
    <w:uiPriority w:val="99"/>
    <w:semiHidden/>
    <w:unhideWhenUsed/>
    <w:rsid w:val="006E15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53C"/>
    <w:rPr>
      <w:rFonts w:ascii="Segoe UI" w:eastAsia="Times New Roman" w:hAnsi="Segoe UI" w:cs="Segoe UI"/>
      <w:sz w:val="18"/>
      <w:szCs w:val="18"/>
      <w:lang w:val="es-ES" w:eastAsia="ar-SA"/>
    </w:rPr>
  </w:style>
  <w:style w:type="paragraph" w:styleId="Encabezado">
    <w:name w:val="header"/>
    <w:basedOn w:val="Normal"/>
    <w:link w:val="EncabezadoCar"/>
    <w:uiPriority w:val="99"/>
    <w:unhideWhenUsed/>
    <w:rsid w:val="00975689"/>
    <w:pPr>
      <w:tabs>
        <w:tab w:val="center" w:pos="4252"/>
        <w:tab w:val="right" w:pos="8504"/>
      </w:tabs>
    </w:pPr>
  </w:style>
  <w:style w:type="character" w:customStyle="1" w:styleId="EncabezadoCar">
    <w:name w:val="Encabezado Car"/>
    <w:basedOn w:val="Fuentedeprrafopredeter"/>
    <w:link w:val="Encabezado"/>
    <w:uiPriority w:val="99"/>
    <w:rsid w:val="00975689"/>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975689"/>
    <w:pPr>
      <w:tabs>
        <w:tab w:val="center" w:pos="4252"/>
        <w:tab w:val="right" w:pos="8504"/>
      </w:tabs>
    </w:pPr>
  </w:style>
  <w:style w:type="character" w:customStyle="1" w:styleId="PiedepginaCar">
    <w:name w:val="Pie de página Car"/>
    <w:basedOn w:val="Fuentedeprrafopredeter"/>
    <w:link w:val="Piedepgina"/>
    <w:uiPriority w:val="99"/>
    <w:rsid w:val="00975689"/>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3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de-defas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2422</Words>
  <Characters>13324</Characters>
  <Application>Microsoft Office Word</Application>
  <DocSecurity>0</DocSecurity>
  <Lines>111</Lines>
  <Paragraphs>31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RESOLUCIÓN DE RECURSO DE IMPUGNACIÓN Nro. XXXXXX</vt:lpstr>
      <vt:lpstr>VISTOS:</vt: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2020-10-14T16:21:00Z</cp:lastPrinted>
  <dcterms:created xsi:type="dcterms:W3CDTF">2020-10-14T16:21:00Z</dcterms:created>
  <dcterms:modified xsi:type="dcterms:W3CDTF">2021-02-20T20:58:00Z</dcterms:modified>
</cp:coreProperties>
</file>