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3727F" w14:textId="77777777" w:rsidR="00E64F28" w:rsidRPr="00F37968" w:rsidRDefault="00E64F28" w:rsidP="00400C84">
      <w:pPr>
        <w:pStyle w:val="Puesto"/>
        <w:outlineLvl w:val="0"/>
      </w:pPr>
      <w:r w:rsidRPr="00F37968">
        <w:t xml:space="preserve">RESOLUCIÓN DE RECURSO DE </w:t>
      </w:r>
      <w:r w:rsidR="00F05CB6" w:rsidRPr="00F37968">
        <w:t>IMPUGNACIÓN</w:t>
      </w:r>
      <w:r w:rsidRPr="00F37968">
        <w:t xml:space="preserve"> </w:t>
      </w:r>
      <w:proofErr w:type="spellStart"/>
      <w:r w:rsidRPr="00F37968">
        <w:t>N</w:t>
      </w:r>
      <w:r w:rsidR="00F37968" w:rsidRPr="00F37968">
        <w:t>°</w:t>
      </w:r>
      <w:proofErr w:type="spellEnd"/>
      <w:r w:rsidR="00F37968" w:rsidRPr="00F37968">
        <w:t xml:space="preserve"> 053/20</w:t>
      </w:r>
    </w:p>
    <w:p w14:paraId="480C4262" w14:textId="77777777" w:rsidR="00E64F28" w:rsidRPr="00F37968" w:rsidRDefault="00E64F28">
      <w:pPr>
        <w:rPr>
          <w:b/>
          <w:bCs/>
          <w:lang w:val="es-MX"/>
        </w:rPr>
      </w:pPr>
    </w:p>
    <w:p w14:paraId="195B980C" w14:textId="77777777" w:rsidR="00E64F28" w:rsidRPr="00F37968" w:rsidRDefault="00E64F28">
      <w:pPr>
        <w:rPr>
          <w:b/>
          <w:bCs/>
          <w:lang w:val="es-MX"/>
        </w:rPr>
      </w:pPr>
    </w:p>
    <w:p w14:paraId="69E4D428" w14:textId="77777777" w:rsidR="00E64F28" w:rsidRPr="00F37968" w:rsidRDefault="00F05CB6" w:rsidP="00400C84">
      <w:pPr>
        <w:jc w:val="both"/>
        <w:outlineLvl w:val="0"/>
        <w:rPr>
          <w:b/>
          <w:bCs/>
          <w:lang w:val="es-MX"/>
        </w:rPr>
      </w:pPr>
      <w:r w:rsidRPr="00F37968">
        <w:rPr>
          <w:b/>
          <w:bCs/>
          <w:lang w:val="es-MX"/>
        </w:rPr>
        <w:t>VISTOS:</w:t>
      </w:r>
    </w:p>
    <w:p w14:paraId="0AABED88" w14:textId="77777777" w:rsidR="00E64F28" w:rsidRPr="00F37968" w:rsidRDefault="00E64F28">
      <w:pPr>
        <w:jc w:val="both"/>
        <w:rPr>
          <w:b/>
          <w:bCs/>
          <w:lang w:val="es-MX"/>
        </w:rPr>
      </w:pPr>
    </w:p>
    <w:p w14:paraId="00C43C92" w14:textId="77777777" w:rsidR="00F60108" w:rsidRPr="00F37968" w:rsidRDefault="00E64F28">
      <w:pPr>
        <w:jc w:val="both"/>
      </w:pPr>
      <w:r w:rsidRPr="00F37968">
        <w:t>El recurso de</w:t>
      </w:r>
      <w:r w:rsidR="00191416" w:rsidRPr="00F37968">
        <w:t xml:space="preserve"> </w:t>
      </w:r>
      <w:r w:rsidR="00F05CB6" w:rsidRPr="00F37968">
        <w:t>impugnación</w:t>
      </w:r>
      <w:r w:rsidR="00191416" w:rsidRPr="00F37968">
        <w:t xml:space="preserve"> presentado</w:t>
      </w:r>
      <w:r w:rsidR="00A921BD" w:rsidRPr="00F37968">
        <w:t xml:space="preserve"> </w:t>
      </w:r>
      <w:r w:rsidRPr="00F37968">
        <w:t xml:space="preserve">por </w:t>
      </w:r>
      <w:r w:rsidR="00F521CA">
        <w:t xml:space="preserve">.................. </w:t>
      </w:r>
      <w:r w:rsidR="00A36AB0" w:rsidRPr="00F37968">
        <w:rPr>
          <w:lang w:val="es-PE" w:eastAsia="es-ES"/>
        </w:rPr>
        <w:t xml:space="preserve"> </w:t>
      </w:r>
      <w:r w:rsidRPr="00F37968">
        <w:t>re</w:t>
      </w:r>
      <w:r w:rsidR="000149BA" w:rsidRPr="00F37968">
        <w:t xml:space="preserve">specto de la Resolución </w:t>
      </w:r>
      <w:r w:rsidR="00A36AB0" w:rsidRPr="00F37968">
        <w:t xml:space="preserve">ORU </w:t>
      </w:r>
      <w:r w:rsidR="000149BA" w:rsidRPr="00F37968">
        <w:t>Nro.</w:t>
      </w:r>
      <w:r w:rsidR="00C56C62" w:rsidRPr="00F37968">
        <w:t xml:space="preserve"> </w:t>
      </w:r>
      <w:r w:rsidR="00FB03D0" w:rsidRPr="00F37968">
        <w:t>0</w:t>
      </w:r>
      <w:r w:rsidR="00A36AB0" w:rsidRPr="00F37968">
        <w:t>46</w:t>
      </w:r>
      <w:r w:rsidR="00A01D42" w:rsidRPr="00F37968">
        <w:t>/</w:t>
      </w:r>
      <w:r w:rsidR="00A36AB0" w:rsidRPr="00F37968">
        <w:t>20</w:t>
      </w:r>
      <w:r w:rsidR="00EC5F7C" w:rsidRPr="00F37968">
        <w:t>,</w:t>
      </w:r>
      <w:r w:rsidR="000F1FEA" w:rsidRPr="00F37968">
        <w:t xml:space="preserve"> </w:t>
      </w:r>
      <w:r w:rsidR="00A01D42" w:rsidRPr="00F37968">
        <w:t>ex</w:t>
      </w:r>
      <w:r w:rsidRPr="00F37968">
        <w:t>pedida</w:t>
      </w:r>
      <w:r w:rsidR="005A4ED4" w:rsidRPr="00F37968">
        <w:t xml:space="preserve"> </w:t>
      </w:r>
      <w:r w:rsidRPr="00F37968">
        <w:t>por esta Defensoría del Asegurado (DEFASEG)</w:t>
      </w:r>
      <w:r w:rsidR="00BF5EDD" w:rsidRPr="00F37968">
        <w:t>,</w:t>
      </w:r>
      <w:r w:rsidRPr="00F37968">
        <w:t xml:space="preserve"> conforme a l</w:t>
      </w:r>
      <w:r w:rsidR="00A667CA" w:rsidRPr="00F37968">
        <w:t>a cual se declaró</w:t>
      </w:r>
      <w:r w:rsidR="00D92993" w:rsidRPr="00F37968">
        <w:t xml:space="preserve"> </w:t>
      </w:r>
      <w:r w:rsidR="00FB03D0" w:rsidRPr="00F37968">
        <w:t>FUNDADA</w:t>
      </w:r>
      <w:r w:rsidR="008011E0" w:rsidRPr="00F37968">
        <w:t xml:space="preserve"> la reclamación interpuesta </w:t>
      </w:r>
      <w:r w:rsidR="00FB03D0" w:rsidRPr="00F37968">
        <w:t xml:space="preserve">por </w:t>
      </w:r>
      <w:r w:rsidR="00F521CA">
        <w:t xml:space="preserve">.................. </w:t>
      </w:r>
      <w:r w:rsidR="008011E0" w:rsidRPr="00F37968">
        <w:t xml:space="preserve">respecto al </w:t>
      </w:r>
      <w:r w:rsidR="00A36AB0" w:rsidRPr="00F37968">
        <w:rPr>
          <w:b/>
          <w:lang w:val="es-MX"/>
        </w:rPr>
        <w:t xml:space="preserve">SEGURO DE PROTECCIÓN DE TARJETA </w:t>
      </w:r>
      <w:r w:rsidR="00A36AB0" w:rsidRPr="00F37968">
        <w:rPr>
          <w:b/>
          <w:bCs/>
          <w:lang w:val="es-PE" w:eastAsia="es-ES"/>
        </w:rPr>
        <w:t>(</w:t>
      </w:r>
      <w:r w:rsidR="00F521CA">
        <w:t>..................</w:t>
      </w:r>
      <w:r w:rsidR="00A36AB0" w:rsidRPr="00F37968">
        <w:rPr>
          <w:b/>
          <w:bCs/>
          <w:lang w:val="es-PE" w:eastAsia="es-ES"/>
        </w:rPr>
        <w:t>)</w:t>
      </w:r>
      <w:r w:rsidR="00A36AB0" w:rsidRPr="00F37968">
        <w:rPr>
          <w:lang w:val="es-PE" w:eastAsia="es-ES"/>
        </w:rPr>
        <w:t xml:space="preserve"> </w:t>
      </w:r>
      <w:r w:rsidR="00A36AB0" w:rsidRPr="00F37968">
        <w:rPr>
          <w:b/>
          <w:lang w:val="es-MX"/>
        </w:rPr>
        <w:t xml:space="preserve">- PÓLIZA </w:t>
      </w:r>
      <w:r w:rsidR="00F521CA">
        <w:t>..................</w:t>
      </w:r>
      <w:r w:rsidR="0020511C" w:rsidRPr="00F37968">
        <w:t>;</w:t>
      </w:r>
    </w:p>
    <w:p w14:paraId="03546F6E" w14:textId="77777777" w:rsidR="00F60108" w:rsidRPr="00F37968" w:rsidRDefault="00F60108">
      <w:pPr>
        <w:jc w:val="both"/>
      </w:pPr>
    </w:p>
    <w:p w14:paraId="59437FE4" w14:textId="77777777" w:rsidR="00A36AB0" w:rsidRPr="00F37968" w:rsidRDefault="00E64F28" w:rsidP="00A36AB0">
      <w:pPr>
        <w:pStyle w:val="Textoindependiente"/>
      </w:pPr>
      <w:r w:rsidRPr="00F37968">
        <w:t xml:space="preserve">Que, </w:t>
      </w:r>
      <w:r w:rsidR="0090008D" w:rsidRPr="00F37968">
        <w:t>el</w:t>
      </w:r>
      <w:r w:rsidRPr="00F37968">
        <w:t xml:space="preserve"> </w:t>
      </w:r>
      <w:r w:rsidR="0090008D" w:rsidRPr="00F37968">
        <w:t>indicado recurso se sustenta</w:t>
      </w:r>
      <w:r w:rsidR="00FE2DDD" w:rsidRPr="00F37968">
        <w:t xml:space="preserve"> </w:t>
      </w:r>
      <w:r w:rsidR="005A0CBC" w:rsidRPr="00F37968">
        <w:t xml:space="preserve">resumidamente en </w:t>
      </w:r>
      <w:r w:rsidR="00D102AA" w:rsidRPr="00F37968">
        <w:t>lo siguiente: (1)</w:t>
      </w:r>
      <w:r w:rsidR="00A36AB0" w:rsidRPr="00F37968">
        <w:t xml:space="preserve"> la resolución impugnada se fundamenta en que la aseguradora no cumplió con informar al reclamante acerca de las condiciones de la póliza contratada; (2) mediante recurso de impugnación se acompaña el </w:t>
      </w:r>
      <w:proofErr w:type="spellStart"/>
      <w:r w:rsidR="00A36AB0" w:rsidRPr="00F37968">
        <w:t>voucher</w:t>
      </w:r>
      <w:proofErr w:type="spellEnd"/>
      <w:r w:rsidR="00A36AB0" w:rsidRPr="00F37968">
        <w:t xml:space="preserve"> de autorización para cobro de seguro remitido por el Banco de </w:t>
      </w:r>
      <w:r w:rsidR="00F521CA">
        <w:t>..................</w:t>
      </w:r>
      <w:r w:rsidR="00A36AB0" w:rsidRPr="00F37968">
        <w:t xml:space="preserve">, donde se acredita con la firma y DNI </w:t>
      </w:r>
      <w:r w:rsidR="00F521CA">
        <w:t>de ..................</w:t>
      </w:r>
      <w:r w:rsidR="00A36AB0" w:rsidRPr="00F37968">
        <w:t xml:space="preserve"> la recepción conforme de la póliza contratada; (3) con el medio de prueba antes señalado, se puede concluir que </w:t>
      </w:r>
      <w:r w:rsidR="00F521CA">
        <w:t>..................</w:t>
      </w:r>
      <w:r w:rsidR="00A36AB0" w:rsidRPr="00F37968">
        <w:t xml:space="preserve">sí fue informado desde la fecha de contratación del seguro de adhesión de Protección de Tarjeta de Débito, acerca de las condiciones generales y especiales; por lo tanto, sí fue informado acerca de las coberturas del seguro contratado; (4) el Banco de </w:t>
      </w:r>
      <w:r w:rsidR="00F521CA">
        <w:t>..................</w:t>
      </w:r>
      <w:r w:rsidR="00A36AB0" w:rsidRPr="00F37968">
        <w:t xml:space="preserve">, entrega copia de la póliza de seguro de Protección de Tarjeta de Débito (contrato de Adhesión) a todos los clientes que deseen adquirir dicha protección, acreditándose ello, con el </w:t>
      </w:r>
      <w:proofErr w:type="spellStart"/>
      <w:r w:rsidR="00A36AB0" w:rsidRPr="00F37968">
        <w:t>voucher</w:t>
      </w:r>
      <w:proofErr w:type="spellEnd"/>
      <w:r w:rsidR="00A36AB0" w:rsidRPr="00F37968">
        <w:t xml:space="preserve"> de entrega conforme antes expuesto, el mismo que se acompaña con la firma y DNI del asegurado. </w:t>
      </w:r>
    </w:p>
    <w:p w14:paraId="0D8E2442" w14:textId="77777777" w:rsidR="00A36AB0" w:rsidRPr="00F37968" w:rsidRDefault="00A36AB0" w:rsidP="00A36AB0">
      <w:pPr>
        <w:pStyle w:val="Default"/>
        <w:rPr>
          <w:rFonts w:ascii="Times New Roman" w:hAnsi="Times New Roman" w:cs="Times New Roman"/>
        </w:rPr>
      </w:pPr>
    </w:p>
    <w:p w14:paraId="2111BBB7" w14:textId="77777777" w:rsidR="00A36AB0" w:rsidRPr="00F521CA" w:rsidRDefault="00E64F28" w:rsidP="00163794">
      <w:pPr>
        <w:pStyle w:val="Textoindependiente"/>
      </w:pPr>
      <w:r w:rsidRPr="00F521CA">
        <w:t xml:space="preserve">Que, </w:t>
      </w:r>
      <w:r w:rsidR="00120043" w:rsidRPr="00F521CA">
        <w:t>la</w:t>
      </w:r>
      <w:r w:rsidR="00062F62" w:rsidRPr="00F521CA">
        <w:t xml:space="preserve"> </w:t>
      </w:r>
      <w:r w:rsidR="00A36AB0" w:rsidRPr="00F521CA">
        <w:t>reclamante absolvió</w:t>
      </w:r>
      <w:r w:rsidR="00062F62" w:rsidRPr="00F521CA">
        <w:t xml:space="preserve"> el traslado del recurso interpuesto</w:t>
      </w:r>
      <w:r w:rsidR="00A36AB0" w:rsidRPr="00F521CA">
        <w:t xml:space="preserve">, indicando en síntesis lo siguiente: (1) los argumentos de la aseguradora </w:t>
      </w:r>
      <w:r w:rsidR="00163794" w:rsidRPr="00F521CA">
        <w:t xml:space="preserve">están fuera de contexto, </w:t>
      </w:r>
      <w:r w:rsidR="00A36AB0" w:rsidRPr="00F521CA">
        <w:t>puesto que ignoran deliberadamente el procedimiento delincuencial definido como </w:t>
      </w:r>
      <w:r w:rsidR="00A36AB0" w:rsidRPr="00F521CA">
        <w:rPr>
          <w:bdr w:val="none" w:sz="0" w:space="0" w:color="auto" w:frame="1"/>
          <w:shd w:val="clear" w:color="auto" w:fill="FFFFFF"/>
        </w:rPr>
        <w:t> "</w:t>
      </w:r>
      <w:r w:rsidR="00A36AB0" w:rsidRPr="00F521CA">
        <w:rPr>
          <w:shd w:val="clear" w:color="auto" w:fill="FFFFFF"/>
        </w:rPr>
        <w:t>Phishing</w:t>
      </w:r>
      <w:r w:rsidR="00163794" w:rsidRPr="00F521CA">
        <w:rPr>
          <w:bdr w:val="none" w:sz="0" w:space="0" w:color="auto" w:frame="1"/>
          <w:shd w:val="clear" w:color="auto" w:fill="FFFFFF"/>
        </w:rPr>
        <w:t>”</w:t>
      </w:r>
      <w:r w:rsidR="00A36AB0" w:rsidRPr="00F521CA">
        <w:rPr>
          <w:bdr w:val="none" w:sz="0" w:space="0" w:color="auto" w:frame="1"/>
          <w:shd w:val="clear" w:color="auto" w:fill="FFFFFF"/>
        </w:rPr>
        <w:t xml:space="preserve"> que es utilizado para referirse a uno de los métodos más utilizados por delincuentes cibernéticos para estafar y obtener información confidencial de forma fraudulenta como puede ser una contraseña o información detallada sobre tarjetas de crédito u otra información bancaria de la </w:t>
      </w:r>
      <w:r w:rsidR="00163794" w:rsidRPr="00F521CA">
        <w:rPr>
          <w:bdr w:val="none" w:sz="0" w:space="0" w:color="auto" w:frame="1"/>
          <w:shd w:val="clear" w:color="auto" w:fill="FFFFFF"/>
        </w:rPr>
        <w:t xml:space="preserve">víctima; (2) la aseguradora considera que </w:t>
      </w:r>
      <w:r w:rsidR="00A36AB0" w:rsidRPr="00F521CA">
        <w:rPr>
          <w:bdr w:val="none" w:sz="0" w:space="0" w:color="auto" w:frame="1"/>
          <w:shd w:val="clear" w:color="auto" w:fill="FFFFFF"/>
        </w:rPr>
        <w:t>este método solo es válido cuando es perpetrado a través de un Correo Electrónico y, si es por otro, ya no es válido o es que desde que la aseguradora incluyó en las coberturas desde el año 2013 a la fecha la informática y todos los medios en evidente y vertiginoso avance se han estancado como lo establecido en las coberturas de hace siete años</w:t>
      </w:r>
      <w:r w:rsidR="00163794" w:rsidRPr="00F521CA">
        <w:rPr>
          <w:bdr w:val="none" w:sz="0" w:space="0" w:color="auto" w:frame="1"/>
          <w:shd w:val="clear" w:color="auto" w:fill="FFFFFF"/>
        </w:rPr>
        <w:t>.</w:t>
      </w:r>
    </w:p>
    <w:p w14:paraId="405B16C0" w14:textId="77777777" w:rsidR="00664A65" w:rsidRPr="00F37968" w:rsidRDefault="00664A65">
      <w:pPr>
        <w:pStyle w:val="Textoindependiente"/>
      </w:pPr>
    </w:p>
    <w:p w14:paraId="0184913B" w14:textId="77777777" w:rsidR="00A206E5" w:rsidRPr="00F37968" w:rsidRDefault="00A206E5">
      <w:pPr>
        <w:pStyle w:val="Textoindependiente"/>
        <w:tabs>
          <w:tab w:val="left" w:pos="930"/>
        </w:tabs>
      </w:pPr>
      <w:r w:rsidRPr="00F37968">
        <w:t xml:space="preserve">Que, </w:t>
      </w:r>
      <w:r w:rsidR="00F36E16" w:rsidRPr="00F37968">
        <w:t xml:space="preserve">atendiendo a lo expuesto, </w:t>
      </w:r>
      <w:r w:rsidRPr="00F37968">
        <w:t xml:space="preserve">esta Defensoría </w:t>
      </w:r>
      <w:r w:rsidR="004B6936" w:rsidRPr="00F37968">
        <w:t>resuelve finalmente</w:t>
      </w:r>
      <w:r w:rsidRPr="00F37968">
        <w:t xml:space="preserve"> lo siguiente:</w:t>
      </w:r>
    </w:p>
    <w:p w14:paraId="55C430DD" w14:textId="77777777" w:rsidR="00B604C0" w:rsidRPr="00F37968" w:rsidRDefault="00B604C0" w:rsidP="007E111C">
      <w:pPr>
        <w:jc w:val="both"/>
        <w:rPr>
          <w:b/>
          <w:u w:val="single"/>
          <w:lang w:val="es-PE"/>
        </w:rPr>
      </w:pPr>
    </w:p>
    <w:p w14:paraId="62938379" w14:textId="77777777" w:rsidR="006F22C5" w:rsidRPr="00F37968" w:rsidRDefault="00E45877" w:rsidP="00266A9B">
      <w:pPr>
        <w:jc w:val="both"/>
        <w:rPr>
          <w:lang w:val="es-PE"/>
        </w:rPr>
      </w:pPr>
      <w:r w:rsidRPr="00F37968">
        <w:rPr>
          <w:b/>
          <w:u w:val="single"/>
          <w:lang w:val="es-PE"/>
        </w:rPr>
        <w:t>PRIMERO</w:t>
      </w:r>
      <w:r w:rsidR="007E111C" w:rsidRPr="00F37968">
        <w:rPr>
          <w:b/>
          <w:lang w:val="es-PE"/>
        </w:rPr>
        <w:t>:</w:t>
      </w:r>
      <w:r w:rsidR="001C3467" w:rsidRPr="00F37968">
        <w:rPr>
          <w:lang w:val="es-PE"/>
        </w:rPr>
        <w:t xml:space="preserve"> </w:t>
      </w:r>
      <w:r w:rsidR="00266A9B" w:rsidRPr="00F37968">
        <w:rPr>
          <w:lang w:val="es-PE"/>
        </w:rPr>
        <w:t xml:space="preserve">El artículo 10 (Procedimiento) del Reglamento de la DEFASEG </w:t>
      </w:r>
      <w:r w:rsidR="00266A9B" w:rsidRPr="00F37968">
        <w:rPr>
          <w:rFonts w:eastAsia="Arial Unicode MS"/>
          <w:lang w:val="es-PE"/>
        </w:rPr>
        <w:t>(http://www.defaseg.com.pe/reglamento)</w:t>
      </w:r>
      <w:r w:rsidR="00266A9B" w:rsidRPr="00F37968">
        <w:rPr>
          <w:lang w:val="es-PE"/>
        </w:rPr>
        <w:t xml:space="preserve"> establece que cualquiera de las partes que no se encuentre de acuerdo con la decisión adoptada por el colegiado sobre la materia reclamada, podrá impugnarla, interponiendo el correspondiente recurso de </w:t>
      </w:r>
      <w:r w:rsidR="00E04136" w:rsidRPr="00F37968">
        <w:rPr>
          <w:lang w:val="es-PE"/>
        </w:rPr>
        <w:t>impugnación</w:t>
      </w:r>
      <w:r w:rsidR="00266A9B" w:rsidRPr="00F37968">
        <w:rPr>
          <w:lang w:val="es-PE"/>
        </w:rPr>
        <w:t xml:space="preserve">.  </w:t>
      </w:r>
    </w:p>
    <w:p w14:paraId="5027A18E" w14:textId="77777777" w:rsidR="006F22C5" w:rsidRPr="00F37968" w:rsidRDefault="006F22C5" w:rsidP="00266A9B">
      <w:pPr>
        <w:jc w:val="both"/>
        <w:rPr>
          <w:lang w:val="es-PE"/>
        </w:rPr>
      </w:pPr>
    </w:p>
    <w:p w14:paraId="1B6DB44E" w14:textId="77777777" w:rsidR="00266A9B" w:rsidRPr="00F37968" w:rsidRDefault="00266A9B" w:rsidP="00266A9B">
      <w:pPr>
        <w:jc w:val="both"/>
        <w:rPr>
          <w:lang w:val="es-PE"/>
        </w:rPr>
      </w:pPr>
      <w:r w:rsidRPr="00F37968">
        <w:rPr>
          <w:lang w:val="es-PE"/>
        </w:rPr>
        <w:t xml:space="preserve">Conforme a ello, en el caso concreto, al interponer el recurso de </w:t>
      </w:r>
      <w:r w:rsidR="00E04136" w:rsidRPr="00F37968">
        <w:rPr>
          <w:lang w:val="es-PE"/>
        </w:rPr>
        <w:t>impugnación</w:t>
      </w:r>
      <w:r w:rsidRPr="00F37968">
        <w:rPr>
          <w:lang w:val="es-PE"/>
        </w:rPr>
        <w:t xml:space="preserve"> la </w:t>
      </w:r>
      <w:r w:rsidR="00120043" w:rsidRPr="00F37968">
        <w:rPr>
          <w:lang w:val="es-PE"/>
        </w:rPr>
        <w:t>aseguradora</w:t>
      </w:r>
      <w:r w:rsidRPr="00F37968">
        <w:rPr>
          <w:lang w:val="es-PE"/>
        </w:rPr>
        <w:t xml:space="preserve"> ha ejercido formalmente su derecho a contradecir</w:t>
      </w:r>
      <w:r w:rsidR="00E04136" w:rsidRPr="00F37968">
        <w:rPr>
          <w:lang w:val="es-PE"/>
        </w:rPr>
        <w:t xml:space="preserve"> lo resuelto por la Defensoría</w:t>
      </w:r>
      <w:r w:rsidRPr="00F37968">
        <w:rPr>
          <w:lang w:val="es-PE"/>
        </w:rPr>
        <w:t>.</w:t>
      </w:r>
    </w:p>
    <w:p w14:paraId="5AAAE781" w14:textId="77777777" w:rsidR="007E111C" w:rsidRPr="00F37968" w:rsidRDefault="007E111C" w:rsidP="007E111C">
      <w:pPr>
        <w:pStyle w:val="Textoindependiente"/>
        <w:tabs>
          <w:tab w:val="left" w:pos="0"/>
          <w:tab w:val="left" w:pos="720"/>
        </w:tabs>
        <w:rPr>
          <w:u w:val="single"/>
          <w:lang w:val="es-PE"/>
        </w:rPr>
      </w:pPr>
    </w:p>
    <w:p w14:paraId="69803187" w14:textId="77777777" w:rsidR="00163794" w:rsidRPr="00F37968" w:rsidRDefault="00E45877" w:rsidP="00742533">
      <w:pPr>
        <w:jc w:val="both"/>
        <w:rPr>
          <w:bCs/>
        </w:rPr>
      </w:pPr>
      <w:r w:rsidRPr="00F37968">
        <w:rPr>
          <w:b/>
          <w:bCs/>
          <w:u w:val="single"/>
        </w:rPr>
        <w:lastRenderedPageBreak/>
        <w:t>SEGUNDO</w:t>
      </w:r>
      <w:r w:rsidR="0024585B" w:rsidRPr="00F37968">
        <w:rPr>
          <w:b/>
          <w:bCs/>
        </w:rPr>
        <w:t>:</w:t>
      </w:r>
      <w:r w:rsidR="00500913" w:rsidRPr="00F37968">
        <w:rPr>
          <w:bCs/>
        </w:rPr>
        <w:t xml:space="preserve"> Que el recurso de impugnación </w:t>
      </w:r>
      <w:r w:rsidR="0024585B" w:rsidRPr="00F37968">
        <w:rPr>
          <w:bCs/>
        </w:rPr>
        <w:t xml:space="preserve">presentado por </w:t>
      </w:r>
      <w:r w:rsidR="002E0430" w:rsidRPr="00F37968">
        <w:rPr>
          <w:bCs/>
        </w:rPr>
        <w:t>la asegurad</w:t>
      </w:r>
      <w:r w:rsidR="0058249F" w:rsidRPr="00F37968">
        <w:rPr>
          <w:bCs/>
        </w:rPr>
        <w:t>ora</w:t>
      </w:r>
      <w:r w:rsidR="0024585B" w:rsidRPr="00F37968">
        <w:rPr>
          <w:bCs/>
        </w:rPr>
        <w:t xml:space="preserve"> </w:t>
      </w:r>
      <w:r w:rsidR="00742533" w:rsidRPr="00F37968">
        <w:rPr>
          <w:bCs/>
        </w:rPr>
        <w:t xml:space="preserve">se sustenta en </w:t>
      </w:r>
      <w:r w:rsidR="00163794" w:rsidRPr="00F37968">
        <w:rPr>
          <w:bCs/>
        </w:rPr>
        <w:t>nueva prueba instrumental para acreditar que sí cumplió con informar al asegurado de los alcances del seguro contratado.</w:t>
      </w:r>
    </w:p>
    <w:p w14:paraId="75F8F6EF" w14:textId="77777777" w:rsidR="00742533" w:rsidRPr="00F37968" w:rsidRDefault="00742533" w:rsidP="00742533">
      <w:pPr>
        <w:jc w:val="both"/>
      </w:pPr>
    </w:p>
    <w:p w14:paraId="6B26286E" w14:textId="77777777" w:rsidR="00163794" w:rsidRPr="00F37968" w:rsidRDefault="00742533" w:rsidP="00742533">
      <w:pPr>
        <w:jc w:val="both"/>
        <w:rPr>
          <w:bCs/>
        </w:rPr>
      </w:pPr>
      <w:r w:rsidRPr="00F37968">
        <w:rPr>
          <w:bCs/>
        </w:rPr>
        <w:t xml:space="preserve">De acuerdo a la resolución </w:t>
      </w:r>
      <w:r w:rsidR="00163794" w:rsidRPr="00F37968">
        <w:rPr>
          <w:bCs/>
        </w:rPr>
        <w:t xml:space="preserve">ORU </w:t>
      </w:r>
      <w:r w:rsidRPr="00F37968">
        <w:rPr>
          <w:bCs/>
        </w:rPr>
        <w:t xml:space="preserve">impugnada, la reclamación fue amparada al asumir que </w:t>
      </w:r>
      <w:r w:rsidR="00641200" w:rsidRPr="00F37968">
        <w:rPr>
          <w:bCs/>
        </w:rPr>
        <w:t xml:space="preserve">en el presente caso, </w:t>
      </w:r>
      <w:r w:rsidR="00163794" w:rsidRPr="00F37968">
        <w:rPr>
          <w:bCs/>
        </w:rPr>
        <w:t>“</w:t>
      </w:r>
      <w:r w:rsidR="00F521CA">
        <w:t>..................</w:t>
      </w:r>
      <w:r w:rsidR="00163794" w:rsidRPr="00F37968">
        <w:rPr>
          <w:i/>
          <w:iCs/>
          <w:lang w:val="es-PE" w:eastAsia="es-ES"/>
        </w:rPr>
        <w:t>no ha probado que entregó oportunamente al asegurado no contratante el documento que ha presentado como cartilla (resumen) de la misma, que corresponde a un documento preimpreso, de manera que no está acreditado que el actual reclamante conoció desde un primer momento el contenido de la cobertura bajo análisis, conforme a lo cual sólo se cubren los fraudes electrónicos generados por correo electrónico (que remite a una página web fraudulenta) y no a través de otros medios electrónicos”.</w:t>
      </w:r>
      <w:r w:rsidR="00163794" w:rsidRPr="00F37968">
        <w:rPr>
          <w:lang w:val="es-PE" w:eastAsia="es-ES"/>
        </w:rPr>
        <w:t xml:space="preserve">  </w:t>
      </w:r>
    </w:p>
    <w:p w14:paraId="31E9FCAC" w14:textId="77777777" w:rsidR="00163794" w:rsidRPr="00F37968" w:rsidRDefault="00163794" w:rsidP="00742533">
      <w:pPr>
        <w:jc w:val="both"/>
        <w:rPr>
          <w:bCs/>
        </w:rPr>
      </w:pPr>
    </w:p>
    <w:p w14:paraId="788F1DEF" w14:textId="77777777" w:rsidR="00163794" w:rsidRPr="00F37968" w:rsidRDefault="00641200" w:rsidP="00163794">
      <w:pPr>
        <w:jc w:val="both"/>
        <w:rPr>
          <w:lang w:val="es-PE" w:eastAsia="es-ES"/>
        </w:rPr>
      </w:pPr>
      <w:r w:rsidRPr="00F37968">
        <w:t xml:space="preserve">En esa medida la reclamación fue amparada, por cuanto al momento en que se emitió la resolución impugnada, la aseguradora no acreditó que había cumplido con </w:t>
      </w:r>
      <w:r w:rsidR="00163794" w:rsidRPr="00F37968">
        <w:t>presentar “</w:t>
      </w:r>
      <w:r w:rsidR="00163794" w:rsidRPr="00F37968">
        <w:rPr>
          <w:i/>
          <w:iCs/>
        </w:rPr>
        <w:t>el</w:t>
      </w:r>
      <w:r w:rsidR="00163794" w:rsidRPr="00F37968">
        <w:rPr>
          <w:i/>
          <w:iCs/>
          <w:lang w:val="es-PE" w:eastAsia="es-ES"/>
        </w:rPr>
        <w:t xml:space="preserve"> medio probatorio idóneo que demuestre que el asegurado no contratante de la póliza fue informado oportuna, adecuada y suficientemente sobre dicho requisito específico, para fines que pueda postularse que el cuestionado rechazo de cobertura es legítimo, como podría ser el “cargo” de entrega del señalado formato, folleto o cartilla (resumen), suscrito por el actual reclamante</w:t>
      </w:r>
      <w:r w:rsidR="00163794" w:rsidRPr="00F37968">
        <w:rPr>
          <w:lang w:val="es-PE" w:eastAsia="es-ES"/>
        </w:rPr>
        <w:t>”.</w:t>
      </w:r>
    </w:p>
    <w:p w14:paraId="257C56A8" w14:textId="77777777" w:rsidR="00163794" w:rsidRPr="00F37968" w:rsidRDefault="00163794" w:rsidP="00641200">
      <w:pPr>
        <w:jc w:val="both"/>
      </w:pPr>
    </w:p>
    <w:p w14:paraId="2E153630" w14:textId="77777777" w:rsidR="00163794" w:rsidRPr="00F37968" w:rsidRDefault="009E05C9" w:rsidP="00163794">
      <w:pPr>
        <w:jc w:val="both"/>
      </w:pPr>
      <w:r w:rsidRPr="00F37968">
        <w:rPr>
          <w:lang w:val="es-MX"/>
        </w:rPr>
        <w:t xml:space="preserve">Es así que, </w:t>
      </w:r>
      <w:r w:rsidR="00163794" w:rsidRPr="00F37968">
        <w:rPr>
          <w:lang w:val="es-MX"/>
        </w:rPr>
        <w:t>en vía de impugnación la aseguradora ha subsanado su omisión probatoria en primera instancia, con la presentación del nuevo medio probatorio aportado, esto es, la copia de</w:t>
      </w:r>
      <w:r w:rsidRPr="00F37968">
        <w:rPr>
          <w:lang w:val="es-MX"/>
        </w:rPr>
        <w:t>l</w:t>
      </w:r>
      <w:r w:rsidRPr="00F37968">
        <w:t xml:space="preserve"> </w:t>
      </w:r>
      <w:proofErr w:type="spellStart"/>
      <w:r w:rsidRPr="00F37968">
        <w:t>voucher</w:t>
      </w:r>
      <w:proofErr w:type="spellEnd"/>
      <w:r w:rsidRPr="00F37968">
        <w:t xml:space="preserve"> de autorización para cobro de seguro remitido por el Banco de </w:t>
      </w:r>
      <w:r w:rsidR="00F521CA">
        <w:t>..................</w:t>
      </w:r>
      <w:r w:rsidRPr="00F37968">
        <w:t xml:space="preserve">, donde se acredita con la firma y DNI </w:t>
      </w:r>
      <w:r w:rsidR="00A6032D">
        <w:t>de ..................</w:t>
      </w:r>
      <w:r w:rsidRPr="00F37968">
        <w:t xml:space="preserve"> la recepción conforme de la póliza contratada:</w:t>
      </w:r>
    </w:p>
    <w:p w14:paraId="7ECC8A07" w14:textId="77777777" w:rsidR="00F521CA" w:rsidRDefault="00F521CA" w:rsidP="00F521CA">
      <w:pPr>
        <w:jc w:val="center"/>
        <w:rPr>
          <w:lang w:val="es-MX"/>
        </w:rPr>
      </w:pPr>
    </w:p>
    <w:p w14:paraId="07D83066" w14:textId="77777777" w:rsidR="009E05C9" w:rsidRPr="00F37968" w:rsidRDefault="00F521CA" w:rsidP="00F521CA">
      <w:pPr>
        <w:jc w:val="center"/>
        <w:rPr>
          <w:lang w:val="es-MX"/>
        </w:rPr>
      </w:pPr>
      <w:r>
        <w:rPr>
          <w:lang w:val="es-MX"/>
        </w:rPr>
        <w:t>(</w:t>
      </w:r>
      <w:r>
        <w:t>..................)</w:t>
      </w:r>
    </w:p>
    <w:p w14:paraId="0BC5644B" w14:textId="77777777" w:rsidR="00163794" w:rsidRPr="00F37968" w:rsidRDefault="00163794" w:rsidP="00163794">
      <w:pPr>
        <w:jc w:val="both"/>
        <w:rPr>
          <w:lang w:val="es-MX"/>
        </w:rPr>
      </w:pPr>
    </w:p>
    <w:p w14:paraId="2EA53D4E" w14:textId="77777777" w:rsidR="009E05C9" w:rsidRPr="00F37968" w:rsidRDefault="009E05C9" w:rsidP="009E05C9">
      <w:pPr>
        <w:jc w:val="both"/>
      </w:pPr>
      <w:r w:rsidRPr="00F37968">
        <w:rPr>
          <w:lang w:val="es-MX"/>
        </w:rPr>
        <w:t xml:space="preserve">Con esa </w:t>
      </w:r>
      <w:r w:rsidRPr="00F37968">
        <w:rPr>
          <w:bCs/>
        </w:rPr>
        <w:t>nueva prueba se modifican los antecedentes fácticos del sustento de la resolución impugnada, que el órgano resolutorio unipersonal de la Defensoría n</w:t>
      </w:r>
      <w:r w:rsidRPr="00F37968">
        <w:t xml:space="preserve">o pudo valorar al momento de resolver, pues no fue presentada oportunamente por </w:t>
      </w:r>
      <w:r w:rsidR="00F521CA">
        <w:t>..................</w:t>
      </w:r>
      <w:r w:rsidRPr="00F37968">
        <w:t>.</w:t>
      </w:r>
    </w:p>
    <w:p w14:paraId="142DABAF" w14:textId="77777777" w:rsidR="009E05C9" w:rsidRPr="00F37968" w:rsidRDefault="009E05C9" w:rsidP="009E05C9">
      <w:pPr>
        <w:jc w:val="both"/>
      </w:pPr>
    </w:p>
    <w:p w14:paraId="372023F4" w14:textId="77777777" w:rsidR="009E05C9" w:rsidRPr="00F37968" w:rsidRDefault="009E05C9" w:rsidP="009E05C9">
      <w:pPr>
        <w:jc w:val="both"/>
      </w:pPr>
      <w:r w:rsidRPr="00F37968">
        <w:t>En efecto, con el referido documento se verifica que el asegurado acusa recibo de la Póliza Contratada dando su conformidad:</w:t>
      </w:r>
    </w:p>
    <w:p w14:paraId="67101723" w14:textId="77777777" w:rsidR="009E05C9" w:rsidRPr="00F37968" w:rsidRDefault="009E05C9" w:rsidP="009E05C9">
      <w:pPr>
        <w:jc w:val="both"/>
      </w:pPr>
    </w:p>
    <w:p w14:paraId="6F548F33" w14:textId="77777777" w:rsidR="009E05C9" w:rsidRPr="00F37968" w:rsidRDefault="00F521CA" w:rsidP="00F37968">
      <w:pPr>
        <w:jc w:val="center"/>
      </w:pPr>
      <w:r>
        <w:t>(..................)</w:t>
      </w:r>
    </w:p>
    <w:p w14:paraId="1A06908A" w14:textId="77777777" w:rsidR="00163794" w:rsidRPr="00F37968" w:rsidRDefault="00163794" w:rsidP="00163794">
      <w:pPr>
        <w:jc w:val="both"/>
        <w:rPr>
          <w:lang w:val="es-MX"/>
        </w:rPr>
      </w:pPr>
    </w:p>
    <w:p w14:paraId="08E3BF19" w14:textId="77777777" w:rsidR="00967712" w:rsidRPr="00F37968" w:rsidRDefault="00742533" w:rsidP="009E05C9">
      <w:pPr>
        <w:pStyle w:val="Textoindependiente"/>
        <w:rPr>
          <w:lang w:val="es-PE" w:eastAsia="es-ES"/>
        </w:rPr>
      </w:pPr>
      <w:r w:rsidRPr="00F37968">
        <w:t xml:space="preserve">Siendo ello así, se comprueba que </w:t>
      </w:r>
      <w:r w:rsidR="00967712" w:rsidRPr="00F37968">
        <w:t xml:space="preserve">en el presente caso está acreditado que </w:t>
      </w:r>
      <w:r w:rsidR="009E05C9" w:rsidRPr="00F37968">
        <w:t>sí</w:t>
      </w:r>
      <w:r w:rsidR="00967712" w:rsidRPr="00F37968">
        <w:t xml:space="preserve"> </w:t>
      </w:r>
      <w:r w:rsidR="009E05C9" w:rsidRPr="00F37968">
        <w:t xml:space="preserve">se </w:t>
      </w:r>
      <w:r w:rsidR="00967712" w:rsidRPr="00F37968">
        <w:t xml:space="preserve">cumplió con </w:t>
      </w:r>
      <w:r w:rsidR="009E05C9" w:rsidRPr="00F37968">
        <w:t xml:space="preserve">informar al asegurado sobre el contenido del Contrato de Seguro, al recibir la póliza, por lo que el reclamante estaba en posibilidad de informarse del </w:t>
      </w:r>
      <w:r w:rsidR="009E05C9" w:rsidRPr="00F37968">
        <w:rPr>
          <w:lang w:val="es-PE" w:eastAsia="es-ES"/>
        </w:rPr>
        <w:t xml:space="preserve">contenido de la cobertura reclamada, conforme a lo cual sólo se cubren los fraudes electrónicos generados por correo electrónico (que remite a una página web fraudulenta) y no a través de otros medios electrónicos.  </w:t>
      </w:r>
    </w:p>
    <w:p w14:paraId="2426E811" w14:textId="77777777" w:rsidR="009E05C9" w:rsidRPr="00F37968" w:rsidRDefault="009E05C9" w:rsidP="009E05C9">
      <w:pPr>
        <w:pStyle w:val="Textoindependiente"/>
        <w:rPr>
          <w:lang w:val="es-PE" w:eastAsia="es-ES"/>
        </w:rPr>
      </w:pPr>
    </w:p>
    <w:p w14:paraId="03A1A0AE" w14:textId="77777777" w:rsidR="009E05C9" w:rsidRPr="00F37968" w:rsidRDefault="009E05C9" w:rsidP="009E05C9">
      <w:pPr>
        <w:pStyle w:val="Textoindependiente"/>
        <w:rPr>
          <w:i/>
          <w:iCs/>
          <w:lang w:val="es-PE" w:eastAsia="es-ES"/>
        </w:rPr>
      </w:pPr>
      <w:r w:rsidRPr="00F37968">
        <w:rPr>
          <w:lang w:val="es-PE" w:eastAsia="es-ES"/>
        </w:rPr>
        <w:t xml:space="preserve">Cabe reiterar que, conforme se advierte en la resolución ORU impugnada, </w:t>
      </w:r>
      <w:r w:rsidRPr="00F37968">
        <w:rPr>
          <w:i/>
          <w:iCs/>
          <w:lang w:val="es-PE" w:eastAsia="es-ES"/>
        </w:rPr>
        <w:t xml:space="preserve">“los riesgos aceptados por la aseguradora en el marco de un contrato de seguro se pueden delimitar </w:t>
      </w:r>
      <w:r w:rsidRPr="00F37968">
        <w:rPr>
          <w:i/>
          <w:iCs/>
          <w:lang w:val="es-PE" w:eastAsia="es-ES"/>
        </w:rPr>
        <w:lastRenderedPageBreak/>
        <w:t>tanto positiva como negativamente para reclamar cobertura en caso de su materialización; en el primer caso, a través de las coberturas contratadas y, en segundo lugar, mediante el régimen de exclusiones.  De acuerdo a múltiples y uniformes resoluciones de la DEFASEG, sobre la base de lo dispuesto en la ley de la materia, las exclusiones sólo son oponibles de haber sido de conocimiento oportuno, adecuado y suficiente por los asegurados, en especial tratándose de seguros grupales o globales.  En cuanto las coberturas, la cuestión es objetiva, en el sentido que se está a lo pactado, no pudiéndose exigir el otorgamiento de una cobertura respecto de un riesgo que no fue representado ni asumido por la aseguradora</w:t>
      </w:r>
      <w:r w:rsidR="00AF228B" w:rsidRPr="00F37968">
        <w:rPr>
          <w:i/>
          <w:iCs/>
          <w:lang w:val="es-PE" w:eastAsia="es-ES"/>
        </w:rPr>
        <w:t>”</w:t>
      </w:r>
      <w:r w:rsidRPr="00F37968">
        <w:rPr>
          <w:i/>
          <w:iCs/>
          <w:lang w:val="es-PE" w:eastAsia="es-ES"/>
        </w:rPr>
        <w:t>.</w:t>
      </w:r>
    </w:p>
    <w:p w14:paraId="6A9DF825" w14:textId="77777777" w:rsidR="00AF228B" w:rsidRPr="00F37968" w:rsidRDefault="00AF228B" w:rsidP="009E05C9">
      <w:pPr>
        <w:pStyle w:val="Textoindependiente"/>
        <w:rPr>
          <w:i/>
          <w:iCs/>
          <w:lang w:val="es-PE" w:eastAsia="es-ES"/>
        </w:rPr>
      </w:pPr>
    </w:p>
    <w:p w14:paraId="4945817A" w14:textId="77777777" w:rsidR="009E05C9" w:rsidRPr="00F37968" w:rsidRDefault="00AF228B" w:rsidP="00AF228B">
      <w:pPr>
        <w:pStyle w:val="Textoindependiente"/>
        <w:rPr>
          <w:i/>
          <w:iCs/>
          <w:lang w:val="es-PE" w:eastAsia="es-ES"/>
        </w:rPr>
      </w:pPr>
      <w:r w:rsidRPr="00F37968">
        <w:rPr>
          <w:lang w:val="es-PE" w:eastAsia="es-ES"/>
        </w:rPr>
        <w:t>En esa medida, se confirma que, “</w:t>
      </w:r>
      <w:r w:rsidRPr="00F37968">
        <w:rPr>
          <w:i/>
          <w:iCs/>
          <w:lang w:val="es-PE" w:eastAsia="es-ES"/>
        </w:rPr>
        <w:t>e</w:t>
      </w:r>
      <w:r w:rsidR="009E05C9" w:rsidRPr="00F37968">
        <w:rPr>
          <w:i/>
          <w:iCs/>
          <w:lang w:val="es-PE" w:eastAsia="es-ES"/>
        </w:rPr>
        <w:t xml:space="preserve">n el presente caso, el riesgo aceptado en general por </w:t>
      </w:r>
      <w:r w:rsidR="00F521CA">
        <w:t xml:space="preserve">.................. </w:t>
      </w:r>
      <w:r w:rsidR="009E05C9" w:rsidRPr="00F37968">
        <w:rPr>
          <w:i/>
          <w:iCs/>
          <w:lang w:val="es-PE" w:eastAsia="es-ES"/>
        </w:rPr>
        <w:t xml:space="preserve">fue el de </w:t>
      </w:r>
      <w:r w:rsidRPr="00F37968">
        <w:rPr>
          <w:i/>
          <w:iCs/>
          <w:lang w:val="es-PE" w:eastAsia="es-ES"/>
        </w:rPr>
        <w:t>&lt;&lt;</w:t>
      </w:r>
      <w:r w:rsidR="009E05C9" w:rsidRPr="00F37968">
        <w:rPr>
          <w:i/>
          <w:iCs/>
          <w:lang w:val="es-PE" w:eastAsia="es-ES"/>
        </w:rPr>
        <w:t>fraude electrónico (phishing)</w:t>
      </w:r>
      <w:r w:rsidRPr="00F37968">
        <w:rPr>
          <w:i/>
          <w:iCs/>
          <w:lang w:val="es-PE" w:eastAsia="es-ES"/>
        </w:rPr>
        <w:t>&gt;&gt;</w:t>
      </w:r>
      <w:r w:rsidR="009E05C9" w:rsidRPr="00F37968">
        <w:rPr>
          <w:i/>
          <w:iCs/>
          <w:lang w:val="es-PE" w:eastAsia="es-ES"/>
        </w:rPr>
        <w:t>, siendo que en la cartilla (resumen) que contiene las principales condiciones de la póliza consta expresamente el detalle de la respectiva cobertura, conforme a lo cual el fraude electrónico debe haberse generado mediante</w:t>
      </w:r>
      <w:r w:rsidR="009E05C9" w:rsidRPr="00F37968">
        <w:rPr>
          <w:b/>
          <w:i/>
          <w:iCs/>
          <w:lang w:val="es-PE" w:eastAsia="es-ES"/>
        </w:rPr>
        <w:t xml:space="preserve"> </w:t>
      </w:r>
      <w:r w:rsidR="009E05C9" w:rsidRPr="00F37968">
        <w:rPr>
          <w:i/>
          <w:iCs/>
          <w:lang w:val="es-PE" w:eastAsia="es-ES"/>
        </w:rPr>
        <w:t>“… un correo electrónico fraudulento que contiene una dirección electrónica que intenta reproducir una página web de la entidad emisora de la tarjeta”, situación que no se presentaría en el presente caso</w:t>
      </w:r>
      <w:r w:rsidRPr="00F37968">
        <w:rPr>
          <w:i/>
          <w:iCs/>
          <w:lang w:val="es-PE" w:eastAsia="es-ES"/>
        </w:rPr>
        <w:t>”</w:t>
      </w:r>
      <w:r w:rsidR="009E05C9" w:rsidRPr="00F37968">
        <w:rPr>
          <w:i/>
          <w:iCs/>
          <w:lang w:val="es-PE" w:eastAsia="es-ES"/>
        </w:rPr>
        <w:t>.</w:t>
      </w:r>
    </w:p>
    <w:p w14:paraId="0A84FD97" w14:textId="77777777" w:rsidR="009E05C9" w:rsidRPr="00F37968" w:rsidRDefault="009E05C9" w:rsidP="00967712">
      <w:pPr>
        <w:jc w:val="both"/>
      </w:pPr>
    </w:p>
    <w:p w14:paraId="2B013C49" w14:textId="77777777" w:rsidR="00967712" w:rsidRPr="00F37968" w:rsidRDefault="00AF228B" w:rsidP="00967712">
      <w:pPr>
        <w:jc w:val="both"/>
      </w:pPr>
      <w:r w:rsidRPr="00F37968">
        <w:t>Consecuentemente</w:t>
      </w:r>
      <w:r w:rsidR="00967712" w:rsidRPr="00F37968">
        <w:t xml:space="preserve">, </w:t>
      </w:r>
      <w:r w:rsidRPr="00F37968">
        <w:t xml:space="preserve">dado que en el seguro contratado </w:t>
      </w:r>
      <w:r w:rsidRPr="00F37968">
        <w:rPr>
          <w:lang w:val="es-PE" w:eastAsia="es-ES"/>
        </w:rPr>
        <w:t xml:space="preserve">sólo se cubren los fraudes electrónicos generados por correo electrónico (que remite a una página web fraudulenta) y no a través de otros medios electrónicos, se constata que el rechazo de </w:t>
      </w:r>
      <w:r w:rsidR="00967712" w:rsidRPr="00F37968">
        <w:t>cobertura</w:t>
      </w:r>
      <w:r w:rsidRPr="00F37968">
        <w:t xml:space="preserve"> es legítimo</w:t>
      </w:r>
      <w:r w:rsidR="00967712" w:rsidRPr="00F37968">
        <w:t>.</w:t>
      </w:r>
    </w:p>
    <w:p w14:paraId="6972795C" w14:textId="77777777" w:rsidR="00742533" w:rsidRPr="00F37968" w:rsidRDefault="00742533" w:rsidP="00742533">
      <w:pPr>
        <w:tabs>
          <w:tab w:val="left" w:pos="709"/>
          <w:tab w:val="left" w:pos="2160"/>
        </w:tabs>
        <w:ind w:left="709" w:hanging="709"/>
        <w:jc w:val="both"/>
        <w:rPr>
          <w:lang w:val="es-PE"/>
        </w:rPr>
      </w:pPr>
    </w:p>
    <w:p w14:paraId="67A6AB24" w14:textId="77777777" w:rsidR="00742533" w:rsidRPr="00F37968" w:rsidRDefault="00742533" w:rsidP="00742533">
      <w:pPr>
        <w:jc w:val="both"/>
      </w:pPr>
      <w:r w:rsidRPr="00F37968">
        <w:rPr>
          <w:b/>
          <w:u w:val="single"/>
        </w:rPr>
        <w:t>TERCERO</w:t>
      </w:r>
      <w:r w:rsidRPr="00F37968">
        <w:rPr>
          <w:b/>
        </w:rPr>
        <w:t>:</w:t>
      </w:r>
      <w:r w:rsidRPr="00F37968">
        <w:t xml:space="preserve"> En atención a las consideraciones precedentes, este Colegiado aprecia finalmente que se ha evidenciado la existencia de nueva prueba, por lo que existe mérito suficiente y razón objetiva para revocar la resolución recurrida.</w:t>
      </w:r>
    </w:p>
    <w:p w14:paraId="0000736D" w14:textId="77777777" w:rsidR="00742533" w:rsidRPr="00F37968" w:rsidRDefault="00742533" w:rsidP="00742533">
      <w:pPr>
        <w:jc w:val="both"/>
      </w:pPr>
    </w:p>
    <w:p w14:paraId="2C58CCEE" w14:textId="77777777" w:rsidR="00742533" w:rsidRPr="00F37968" w:rsidRDefault="00967712" w:rsidP="00742533">
      <w:pPr>
        <w:jc w:val="both"/>
        <w:rPr>
          <w:b/>
          <w:lang w:val="es-PE"/>
        </w:rPr>
      </w:pPr>
      <w:r w:rsidRPr="00F37968">
        <w:rPr>
          <w:b/>
          <w:lang w:val="es-PE"/>
        </w:rPr>
        <w:t>ATENDIENDO A LO EXPRESADO, CONFORME A SU REGLAMENTO, ESTE COLEGIADO RESUELVE:</w:t>
      </w:r>
    </w:p>
    <w:p w14:paraId="65BA8001" w14:textId="77777777" w:rsidR="00742533" w:rsidRPr="00F37968" w:rsidRDefault="00742533" w:rsidP="00742533">
      <w:pPr>
        <w:jc w:val="both"/>
        <w:rPr>
          <w:lang w:val="es-PE"/>
        </w:rPr>
      </w:pPr>
    </w:p>
    <w:p w14:paraId="3ECDA12C" w14:textId="77777777" w:rsidR="00742533" w:rsidRPr="00F37968" w:rsidRDefault="00742533" w:rsidP="00742533">
      <w:pPr>
        <w:jc w:val="both"/>
        <w:rPr>
          <w:lang w:val="es-MX"/>
        </w:rPr>
      </w:pPr>
      <w:r w:rsidRPr="00F37968">
        <w:rPr>
          <w:b/>
          <w:lang w:val="es-PE"/>
        </w:rPr>
        <w:t xml:space="preserve">DECLARAR FUNDADO </w:t>
      </w:r>
      <w:r w:rsidRPr="00F37968">
        <w:rPr>
          <w:lang w:val="es-PE"/>
        </w:rPr>
        <w:t xml:space="preserve">el recurso de impugnación interpuesto </w:t>
      </w:r>
      <w:r w:rsidR="00F521CA">
        <w:t xml:space="preserve">.................. </w:t>
      </w:r>
      <w:r w:rsidRPr="00F37968">
        <w:t xml:space="preserve">y, por consiguiente, </w:t>
      </w:r>
      <w:r w:rsidRPr="00F37968">
        <w:rPr>
          <w:b/>
        </w:rPr>
        <w:t xml:space="preserve">REVOCAR </w:t>
      </w:r>
      <w:r w:rsidRPr="00F37968">
        <w:t xml:space="preserve">la Resolución </w:t>
      </w:r>
      <w:r w:rsidR="00AF228B" w:rsidRPr="00F37968">
        <w:t xml:space="preserve">ORU </w:t>
      </w:r>
      <w:proofErr w:type="spellStart"/>
      <w:r w:rsidRPr="00F37968">
        <w:t>N°</w:t>
      </w:r>
      <w:proofErr w:type="spellEnd"/>
      <w:r w:rsidRPr="00F37968">
        <w:t xml:space="preserve"> 0</w:t>
      </w:r>
      <w:r w:rsidR="00AF228B" w:rsidRPr="00F37968">
        <w:t>46</w:t>
      </w:r>
      <w:r w:rsidRPr="00F37968">
        <w:t>/</w:t>
      </w:r>
      <w:r w:rsidR="00AF228B" w:rsidRPr="00F37968">
        <w:t>20</w:t>
      </w:r>
      <w:r w:rsidRPr="00F37968">
        <w:t xml:space="preserve">; en consecuencia, declarar </w:t>
      </w:r>
      <w:r w:rsidRPr="00F37968">
        <w:rPr>
          <w:b/>
          <w:lang w:val="es-MX"/>
        </w:rPr>
        <w:t>INFUNDADA</w:t>
      </w:r>
      <w:r w:rsidRPr="00F37968">
        <w:rPr>
          <w:lang w:val="es-MX"/>
        </w:rPr>
        <w:t xml:space="preserve"> la reclamación </w:t>
      </w:r>
      <w:r w:rsidRPr="00F37968">
        <w:t xml:space="preserve">interpuesta por </w:t>
      </w:r>
      <w:r w:rsidR="00F521CA">
        <w:t xml:space="preserve">.................. </w:t>
      </w:r>
      <w:r w:rsidRPr="00F37968">
        <w:t xml:space="preserve">contra dicha aseguradora, en relación al </w:t>
      </w:r>
      <w:r w:rsidR="00AF228B" w:rsidRPr="00F37968">
        <w:rPr>
          <w:b/>
          <w:lang w:val="es-MX"/>
        </w:rPr>
        <w:t xml:space="preserve">SEGURO DE PROTECCIÓN DE TARJETA </w:t>
      </w:r>
      <w:r w:rsidR="00AF228B" w:rsidRPr="00F37968">
        <w:rPr>
          <w:b/>
          <w:bCs/>
          <w:lang w:val="es-PE" w:eastAsia="es-ES"/>
        </w:rPr>
        <w:t>(</w:t>
      </w:r>
      <w:r w:rsidR="00F521CA">
        <w:t>..................</w:t>
      </w:r>
      <w:r w:rsidR="00AF228B" w:rsidRPr="00F37968">
        <w:rPr>
          <w:b/>
          <w:bCs/>
          <w:lang w:val="es-PE" w:eastAsia="es-ES"/>
        </w:rPr>
        <w:t>)</w:t>
      </w:r>
      <w:r w:rsidR="00AF228B" w:rsidRPr="00F37968">
        <w:rPr>
          <w:lang w:val="es-PE" w:eastAsia="es-ES"/>
        </w:rPr>
        <w:t xml:space="preserve"> </w:t>
      </w:r>
      <w:r w:rsidR="00AF228B" w:rsidRPr="00F37968">
        <w:rPr>
          <w:b/>
          <w:lang w:val="es-MX"/>
        </w:rPr>
        <w:t xml:space="preserve">- PÓLIZA </w:t>
      </w:r>
      <w:r w:rsidR="00F521CA">
        <w:t>..................</w:t>
      </w:r>
      <w:r w:rsidRPr="00F37968">
        <w:rPr>
          <w:lang w:val="es-MX"/>
        </w:rPr>
        <w:t xml:space="preserve">, y </w:t>
      </w:r>
      <w:r w:rsidRPr="00F37968">
        <w:t>quedando a salvo el derecho de</w:t>
      </w:r>
      <w:r w:rsidR="00AF228B" w:rsidRPr="00F37968">
        <w:t>l</w:t>
      </w:r>
      <w:r w:rsidRPr="00F37968">
        <w:t xml:space="preserve"> reclamante de recurrir ante las instancias que considere pertinentes</w:t>
      </w:r>
      <w:r w:rsidRPr="00F37968">
        <w:rPr>
          <w:lang w:val="es-MX"/>
        </w:rPr>
        <w:t>.</w:t>
      </w:r>
    </w:p>
    <w:p w14:paraId="71ACE3A8" w14:textId="77777777" w:rsidR="00742533" w:rsidRPr="00F37968" w:rsidRDefault="00742533" w:rsidP="00742533">
      <w:pPr>
        <w:jc w:val="both"/>
      </w:pPr>
    </w:p>
    <w:p w14:paraId="10A69999" w14:textId="77777777" w:rsidR="00742533" w:rsidRPr="00F37968" w:rsidRDefault="00742533" w:rsidP="00742533">
      <w:pPr>
        <w:jc w:val="both"/>
      </w:pPr>
    </w:p>
    <w:p w14:paraId="625F35E8" w14:textId="77777777" w:rsidR="00742533" w:rsidRPr="00F37968" w:rsidRDefault="00742533" w:rsidP="00742533">
      <w:pPr>
        <w:jc w:val="right"/>
        <w:rPr>
          <w:rFonts w:eastAsia="Arial Unicode MS"/>
        </w:rPr>
      </w:pPr>
      <w:r w:rsidRPr="00F37968">
        <w:rPr>
          <w:rFonts w:eastAsia="Arial Unicode MS"/>
        </w:rPr>
        <w:t>Lima,</w:t>
      </w:r>
      <w:r w:rsidR="00F37968" w:rsidRPr="00F37968">
        <w:rPr>
          <w:rFonts w:eastAsia="Arial Unicode MS"/>
        </w:rPr>
        <w:t xml:space="preserve"> 24 </w:t>
      </w:r>
      <w:r w:rsidRPr="00F37968">
        <w:rPr>
          <w:rFonts w:eastAsia="Arial Unicode MS"/>
        </w:rPr>
        <w:t xml:space="preserve">de </w:t>
      </w:r>
      <w:r w:rsidR="00A36AB0" w:rsidRPr="00F37968">
        <w:rPr>
          <w:rFonts w:eastAsia="Arial Unicode MS"/>
        </w:rPr>
        <w:t>noviembre</w:t>
      </w:r>
      <w:r w:rsidRPr="00F37968">
        <w:rPr>
          <w:rFonts w:eastAsia="Arial Unicode MS"/>
        </w:rPr>
        <w:t xml:space="preserve"> de 20</w:t>
      </w:r>
      <w:r w:rsidR="00A36AB0" w:rsidRPr="00F37968">
        <w:rPr>
          <w:rFonts w:eastAsia="Arial Unicode MS"/>
        </w:rPr>
        <w:t>20</w:t>
      </w:r>
    </w:p>
    <w:p w14:paraId="79A3EF60" w14:textId="77777777" w:rsidR="00F37968" w:rsidRDefault="00F37968" w:rsidP="00F37968">
      <w:pPr>
        <w:jc w:val="both"/>
        <w:rPr>
          <w:b/>
          <w:bCs/>
          <w:i/>
          <w:iCs/>
          <w:lang w:val="es-ES_tradnl"/>
        </w:rPr>
      </w:pPr>
    </w:p>
    <w:p w14:paraId="21233DDF" w14:textId="77777777" w:rsidR="00F37968" w:rsidRDefault="00F37968" w:rsidP="00F37968">
      <w:pPr>
        <w:jc w:val="both"/>
        <w:rPr>
          <w:b/>
          <w:bCs/>
          <w:i/>
          <w:iCs/>
          <w:lang w:val="es-ES_tradnl"/>
        </w:rPr>
      </w:pPr>
    </w:p>
    <w:p w14:paraId="60096190" w14:textId="77777777" w:rsidR="00F37968" w:rsidRPr="00AC36BB" w:rsidRDefault="00F37968" w:rsidP="00F37968">
      <w:pPr>
        <w:jc w:val="both"/>
        <w:rPr>
          <w:b/>
          <w:bCs/>
          <w:i/>
          <w:iCs/>
          <w:lang w:val="es-ES_tradnl"/>
        </w:rPr>
      </w:pPr>
      <w:r w:rsidRPr="00AC36BB">
        <w:rPr>
          <w:b/>
          <w:bCs/>
          <w:i/>
          <w:iCs/>
          <w:lang w:val="es-ES_tradnl"/>
        </w:rPr>
        <w:t>La Secretaría Técnica certifica que la presente resolución cuenta con el voto de los vocales cuyos nombres figuran en el presente documento.</w:t>
      </w:r>
    </w:p>
    <w:p w14:paraId="62F0AB13" w14:textId="77777777" w:rsidR="00F37968" w:rsidRPr="00AC36BB" w:rsidRDefault="00F37968" w:rsidP="00F37968">
      <w:pPr>
        <w:spacing w:line="360" w:lineRule="auto"/>
        <w:rPr>
          <w:b/>
          <w:bCs/>
        </w:rPr>
      </w:pPr>
    </w:p>
    <w:p w14:paraId="45DFE8F8" w14:textId="77777777" w:rsidR="00F37968" w:rsidRPr="00AC36BB" w:rsidRDefault="00F37968" w:rsidP="00F37968">
      <w:pPr>
        <w:spacing w:line="360" w:lineRule="auto"/>
        <w:jc w:val="center"/>
        <w:rPr>
          <w:b/>
          <w:bCs/>
        </w:rPr>
      </w:pPr>
      <w:r w:rsidRPr="00AC36BB">
        <w:rPr>
          <w:b/>
          <w:bCs/>
        </w:rPr>
        <w:t>María Eugenia Valdez Fernández Baca – Vocal</w:t>
      </w:r>
    </w:p>
    <w:p w14:paraId="39F94F9B" w14:textId="77777777" w:rsidR="00F37968" w:rsidRPr="00AC36BB" w:rsidRDefault="00F37968" w:rsidP="00F37968">
      <w:pPr>
        <w:spacing w:line="360" w:lineRule="auto"/>
        <w:jc w:val="center"/>
        <w:rPr>
          <w:b/>
          <w:bCs/>
        </w:rPr>
      </w:pPr>
      <w:r w:rsidRPr="00AC36BB">
        <w:rPr>
          <w:b/>
          <w:bCs/>
        </w:rPr>
        <w:t>Marco Antonio Ortega Piana – Vocal</w:t>
      </w:r>
    </w:p>
    <w:p w14:paraId="2C6FBB29" w14:textId="77777777" w:rsidR="00F37968" w:rsidRPr="00267D47" w:rsidRDefault="00F37968" w:rsidP="00F37968">
      <w:pPr>
        <w:spacing w:line="360" w:lineRule="auto"/>
        <w:jc w:val="center"/>
      </w:pPr>
      <w:r w:rsidRPr="00AC36BB">
        <w:rPr>
          <w:b/>
          <w:bCs/>
        </w:rPr>
        <w:lastRenderedPageBreak/>
        <w:t>Gonzalo Abad del Busto - Vocal</w:t>
      </w:r>
    </w:p>
    <w:p w14:paraId="556BE32B" w14:textId="77777777" w:rsidR="00120043" w:rsidRPr="00F37968" w:rsidRDefault="00120043" w:rsidP="0024585B">
      <w:pPr>
        <w:jc w:val="both"/>
      </w:pPr>
    </w:p>
    <w:sectPr w:rsidR="00120043" w:rsidRPr="00F37968">
      <w:headerReference w:type="default" r:id="rId7"/>
      <w:footerReference w:type="default" r:id="rId8"/>
      <w:pgSz w:w="11906" w:h="16838"/>
      <w:pgMar w:top="2268" w:right="1418" w:bottom="1418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44BC8" w14:textId="77777777" w:rsidR="00982C7B" w:rsidRDefault="00982C7B">
      <w:r>
        <w:separator/>
      </w:r>
    </w:p>
  </w:endnote>
  <w:endnote w:type="continuationSeparator" w:id="0">
    <w:p w14:paraId="37158C9D" w14:textId="77777777" w:rsidR="00982C7B" w:rsidRDefault="00982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5D66F5" w14:textId="77777777" w:rsidR="00F37968" w:rsidRPr="00F37968" w:rsidRDefault="00F37968">
    <w:pPr>
      <w:pStyle w:val="Piedepgina"/>
      <w:jc w:val="right"/>
      <w:rPr>
        <w:sz w:val="18"/>
        <w:szCs w:val="18"/>
      </w:rPr>
    </w:pPr>
    <w:r w:rsidRPr="00F37968">
      <w:rPr>
        <w:sz w:val="18"/>
        <w:szCs w:val="18"/>
      </w:rPr>
      <w:t xml:space="preserve">Página </w:t>
    </w:r>
    <w:r w:rsidRPr="00F37968">
      <w:rPr>
        <w:b/>
        <w:bCs/>
        <w:sz w:val="18"/>
        <w:szCs w:val="18"/>
      </w:rPr>
      <w:fldChar w:fldCharType="begin"/>
    </w:r>
    <w:r w:rsidRPr="00F37968">
      <w:rPr>
        <w:b/>
        <w:bCs/>
        <w:sz w:val="18"/>
        <w:szCs w:val="18"/>
      </w:rPr>
      <w:instrText>PAGE</w:instrText>
    </w:r>
    <w:r w:rsidRPr="00F37968">
      <w:rPr>
        <w:b/>
        <w:bCs/>
        <w:sz w:val="18"/>
        <w:szCs w:val="18"/>
      </w:rPr>
      <w:fldChar w:fldCharType="separate"/>
    </w:r>
    <w:r w:rsidRPr="00F37968">
      <w:rPr>
        <w:b/>
        <w:bCs/>
        <w:sz w:val="18"/>
        <w:szCs w:val="18"/>
      </w:rPr>
      <w:t>2</w:t>
    </w:r>
    <w:r w:rsidRPr="00F37968">
      <w:rPr>
        <w:b/>
        <w:bCs/>
        <w:sz w:val="18"/>
        <w:szCs w:val="18"/>
      </w:rPr>
      <w:fldChar w:fldCharType="end"/>
    </w:r>
    <w:r w:rsidRPr="00F37968">
      <w:rPr>
        <w:sz w:val="18"/>
        <w:szCs w:val="18"/>
      </w:rPr>
      <w:t xml:space="preserve"> de </w:t>
    </w:r>
    <w:r w:rsidRPr="00F37968">
      <w:rPr>
        <w:b/>
        <w:bCs/>
        <w:sz w:val="18"/>
        <w:szCs w:val="18"/>
      </w:rPr>
      <w:fldChar w:fldCharType="begin"/>
    </w:r>
    <w:r w:rsidRPr="00F37968">
      <w:rPr>
        <w:b/>
        <w:bCs/>
        <w:sz w:val="18"/>
        <w:szCs w:val="18"/>
      </w:rPr>
      <w:instrText>NUMPAGES</w:instrText>
    </w:r>
    <w:r w:rsidRPr="00F37968">
      <w:rPr>
        <w:b/>
        <w:bCs/>
        <w:sz w:val="18"/>
        <w:szCs w:val="18"/>
      </w:rPr>
      <w:fldChar w:fldCharType="separate"/>
    </w:r>
    <w:r w:rsidRPr="00F37968">
      <w:rPr>
        <w:b/>
        <w:bCs/>
        <w:sz w:val="18"/>
        <w:szCs w:val="18"/>
      </w:rPr>
      <w:t>2</w:t>
    </w:r>
    <w:r w:rsidRPr="00F37968">
      <w:rPr>
        <w:b/>
        <w:bCs/>
        <w:sz w:val="18"/>
        <w:szCs w:val="18"/>
      </w:rPr>
      <w:fldChar w:fldCharType="end"/>
    </w:r>
  </w:p>
  <w:p w14:paraId="4B43B745" w14:textId="77777777" w:rsidR="00F37968" w:rsidRDefault="00F3796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3B338" w14:textId="77777777" w:rsidR="00982C7B" w:rsidRDefault="00982C7B">
      <w:r>
        <w:separator/>
      </w:r>
    </w:p>
  </w:footnote>
  <w:footnote w:type="continuationSeparator" w:id="0">
    <w:p w14:paraId="41D46C15" w14:textId="77777777" w:rsidR="00982C7B" w:rsidRDefault="00982C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FD6A71" w14:textId="77777777" w:rsidR="00F37968" w:rsidRDefault="00F37968">
    <w:pPr>
      <w:pStyle w:val="Encabezado"/>
    </w:pPr>
  </w:p>
  <w:p w14:paraId="4CE93B14" w14:textId="77777777" w:rsidR="00F37968" w:rsidRDefault="00F3796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096B58"/>
    <w:multiLevelType w:val="hybridMultilevel"/>
    <w:tmpl w:val="05284B46"/>
    <w:lvl w:ilvl="0" w:tplc="CF64BD62">
      <w:start w:val="2"/>
      <w:numFmt w:val="upp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C6FD3"/>
    <w:multiLevelType w:val="hybridMultilevel"/>
    <w:tmpl w:val="8E4C87A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91337"/>
    <w:multiLevelType w:val="multilevel"/>
    <w:tmpl w:val="7DC216D2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1FDA"/>
    <w:rsid w:val="00010B7F"/>
    <w:rsid w:val="0001180F"/>
    <w:rsid w:val="00011908"/>
    <w:rsid w:val="000149BA"/>
    <w:rsid w:val="000203D4"/>
    <w:rsid w:val="00025352"/>
    <w:rsid w:val="00032B2A"/>
    <w:rsid w:val="00034249"/>
    <w:rsid w:val="0004078F"/>
    <w:rsid w:val="00055B1B"/>
    <w:rsid w:val="00062F62"/>
    <w:rsid w:val="00065412"/>
    <w:rsid w:val="000736F5"/>
    <w:rsid w:val="0007606D"/>
    <w:rsid w:val="0007628A"/>
    <w:rsid w:val="000824A1"/>
    <w:rsid w:val="0009162F"/>
    <w:rsid w:val="00094DD4"/>
    <w:rsid w:val="0009583C"/>
    <w:rsid w:val="000966B7"/>
    <w:rsid w:val="000C013C"/>
    <w:rsid w:val="000D6582"/>
    <w:rsid w:val="000E38AF"/>
    <w:rsid w:val="000E3B7D"/>
    <w:rsid w:val="000E4102"/>
    <w:rsid w:val="000E78B5"/>
    <w:rsid w:val="000E78DF"/>
    <w:rsid w:val="000F1FEA"/>
    <w:rsid w:val="000F2B0F"/>
    <w:rsid w:val="000F4318"/>
    <w:rsid w:val="001037A2"/>
    <w:rsid w:val="00120043"/>
    <w:rsid w:val="001274F3"/>
    <w:rsid w:val="0012750F"/>
    <w:rsid w:val="001279B6"/>
    <w:rsid w:val="001300E5"/>
    <w:rsid w:val="001354DB"/>
    <w:rsid w:val="00152E70"/>
    <w:rsid w:val="00155805"/>
    <w:rsid w:val="00161AFB"/>
    <w:rsid w:val="00163794"/>
    <w:rsid w:val="001764EE"/>
    <w:rsid w:val="00191416"/>
    <w:rsid w:val="001922A0"/>
    <w:rsid w:val="001939F3"/>
    <w:rsid w:val="001960DB"/>
    <w:rsid w:val="00196791"/>
    <w:rsid w:val="001A6331"/>
    <w:rsid w:val="001A6AEA"/>
    <w:rsid w:val="001B052E"/>
    <w:rsid w:val="001B0534"/>
    <w:rsid w:val="001B18CB"/>
    <w:rsid w:val="001C3467"/>
    <w:rsid w:val="001D0FBB"/>
    <w:rsid w:val="001E0A3E"/>
    <w:rsid w:val="001E7F2D"/>
    <w:rsid w:val="00201C81"/>
    <w:rsid w:val="00202BAE"/>
    <w:rsid w:val="0020511C"/>
    <w:rsid w:val="00213E97"/>
    <w:rsid w:val="002162F6"/>
    <w:rsid w:val="00230EDA"/>
    <w:rsid w:val="00240C91"/>
    <w:rsid w:val="002435B9"/>
    <w:rsid w:val="0024585B"/>
    <w:rsid w:val="00247107"/>
    <w:rsid w:val="002513FA"/>
    <w:rsid w:val="00255B26"/>
    <w:rsid w:val="00260350"/>
    <w:rsid w:val="00261A64"/>
    <w:rsid w:val="00266A9B"/>
    <w:rsid w:val="00267F72"/>
    <w:rsid w:val="0027153E"/>
    <w:rsid w:val="0027315A"/>
    <w:rsid w:val="00286118"/>
    <w:rsid w:val="00296C23"/>
    <w:rsid w:val="002B2CD4"/>
    <w:rsid w:val="002B3C89"/>
    <w:rsid w:val="002E0430"/>
    <w:rsid w:val="002F075A"/>
    <w:rsid w:val="002F0F80"/>
    <w:rsid w:val="002F64FD"/>
    <w:rsid w:val="003054C1"/>
    <w:rsid w:val="003104B3"/>
    <w:rsid w:val="003177C3"/>
    <w:rsid w:val="00336F84"/>
    <w:rsid w:val="00337006"/>
    <w:rsid w:val="00343254"/>
    <w:rsid w:val="00344094"/>
    <w:rsid w:val="003462E9"/>
    <w:rsid w:val="003641CC"/>
    <w:rsid w:val="00365D34"/>
    <w:rsid w:val="00366C00"/>
    <w:rsid w:val="00370645"/>
    <w:rsid w:val="003711EF"/>
    <w:rsid w:val="00371A6B"/>
    <w:rsid w:val="00371CE2"/>
    <w:rsid w:val="00372DC9"/>
    <w:rsid w:val="0038014B"/>
    <w:rsid w:val="00381AD8"/>
    <w:rsid w:val="00391BF3"/>
    <w:rsid w:val="003A00EE"/>
    <w:rsid w:val="003A0CA4"/>
    <w:rsid w:val="003A1C31"/>
    <w:rsid w:val="003A41E0"/>
    <w:rsid w:val="003D3C6E"/>
    <w:rsid w:val="003E17F8"/>
    <w:rsid w:val="003F0439"/>
    <w:rsid w:val="00400C84"/>
    <w:rsid w:val="004023CA"/>
    <w:rsid w:val="0040483C"/>
    <w:rsid w:val="004062D7"/>
    <w:rsid w:val="00414219"/>
    <w:rsid w:val="004218DC"/>
    <w:rsid w:val="00422FB0"/>
    <w:rsid w:val="00433163"/>
    <w:rsid w:val="00435591"/>
    <w:rsid w:val="00452D52"/>
    <w:rsid w:val="00454707"/>
    <w:rsid w:val="00464B2E"/>
    <w:rsid w:val="00481320"/>
    <w:rsid w:val="004912FA"/>
    <w:rsid w:val="00493D18"/>
    <w:rsid w:val="004B175C"/>
    <w:rsid w:val="004B495C"/>
    <w:rsid w:val="004B6936"/>
    <w:rsid w:val="004D4935"/>
    <w:rsid w:val="004E083F"/>
    <w:rsid w:val="004E368A"/>
    <w:rsid w:val="004E5865"/>
    <w:rsid w:val="004F3999"/>
    <w:rsid w:val="004F3BE3"/>
    <w:rsid w:val="00500913"/>
    <w:rsid w:val="005021EC"/>
    <w:rsid w:val="0050232C"/>
    <w:rsid w:val="00506AB8"/>
    <w:rsid w:val="00516F3D"/>
    <w:rsid w:val="00525C34"/>
    <w:rsid w:val="0052653B"/>
    <w:rsid w:val="00541534"/>
    <w:rsid w:val="00542CB9"/>
    <w:rsid w:val="005434BE"/>
    <w:rsid w:val="005435D1"/>
    <w:rsid w:val="00547733"/>
    <w:rsid w:val="005541AF"/>
    <w:rsid w:val="00555F04"/>
    <w:rsid w:val="005614C5"/>
    <w:rsid w:val="005729B6"/>
    <w:rsid w:val="00573252"/>
    <w:rsid w:val="0057512F"/>
    <w:rsid w:val="0058249F"/>
    <w:rsid w:val="00592111"/>
    <w:rsid w:val="005A0CBC"/>
    <w:rsid w:val="005A4C9E"/>
    <w:rsid w:val="005A4ED4"/>
    <w:rsid w:val="005C1140"/>
    <w:rsid w:val="005C3C44"/>
    <w:rsid w:val="005C7CEA"/>
    <w:rsid w:val="005D2404"/>
    <w:rsid w:val="005D3D3D"/>
    <w:rsid w:val="005D6A02"/>
    <w:rsid w:val="005E4FC0"/>
    <w:rsid w:val="005E6C21"/>
    <w:rsid w:val="005E79FF"/>
    <w:rsid w:val="005F56EE"/>
    <w:rsid w:val="006076D6"/>
    <w:rsid w:val="00611629"/>
    <w:rsid w:val="00612854"/>
    <w:rsid w:val="00613F0A"/>
    <w:rsid w:val="00614563"/>
    <w:rsid w:val="00626E8A"/>
    <w:rsid w:val="00641200"/>
    <w:rsid w:val="0065716F"/>
    <w:rsid w:val="00664A65"/>
    <w:rsid w:val="00664D1E"/>
    <w:rsid w:val="006654D2"/>
    <w:rsid w:val="00672BDC"/>
    <w:rsid w:val="00673A30"/>
    <w:rsid w:val="00684A82"/>
    <w:rsid w:val="00684FAF"/>
    <w:rsid w:val="006A2A13"/>
    <w:rsid w:val="006A6691"/>
    <w:rsid w:val="006A7A83"/>
    <w:rsid w:val="006B09DD"/>
    <w:rsid w:val="006B2530"/>
    <w:rsid w:val="006C0E4C"/>
    <w:rsid w:val="006C2C62"/>
    <w:rsid w:val="006D06AC"/>
    <w:rsid w:val="006D4F09"/>
    <w:rsid w:val="006E6C6D"/>
    <w:rsid w:val="006F22C5"/>
    <w:rsid w:val="006F2C2C"/>
    <w:rsid w:val="006F7CF9"/>
    <w:rsid w:val="00711389"/>
    <w:rsid w:val="00716520"/>
    <w:rsid w:val="0072084B"/>
    <w:rsid w:val="007302AE"/>
    <w:rsid w:val="00742533"/>
    <w:rsid w:val="007445D1"/>
    <w:rsid w:val="007466C2"/>
    <w:rsid w:val="00746E32"/>
    <w:rsid w:val="00770BDA"/>
    <w:rsid w:val="00775FC9"/>
    <w:rsid w:val="00777227"/>
    <w:rsid w:val="00781137"/>
    <w:rsid w:val="007C1F82"/>
    <w:rsid w:val="007D1641"/>
    <w:rsid w:val="007E111C"/>
    <w:rsid w:val="00800C74"/>
    <w:rsid w:val="00800EC5"/>
    <w:rsid w:val="008011E0"/>
    <w:rsid w:val="00801915"/>
    <w:rsid w:val="00801D9D"/>
    <w:rsid w:val="008266C9"/>
    <w:rsid w:val="0083474D"/>
    <w:rsid w:val="00846117"/>
    <w:rsid w:val="0085522A"/>
    <w:rsid w:val="00860252"/>
    <w:rsid w:val="00862A65"/>
    <w:rsid w:val="00866D97"/>
    <w:rsid w:val="00871A92"/>
    <w:rsid w:val="00871B82"/>
    <w:rsid w:val="00874704"/>
    <w:rsid w:val="0088011E"/>
    <w:rsid w:val="00880D15"/>
    <w:rsid w:val="00890942"/>
    <w:rsid w:val="00891026"/>
    <w:rsid w:val="00896801"/>
    <w:rsid w:val="008A25DB"/>
    <w:rsid w:val="008A2D2A"/>
    <w:rsid w:val="008A4371"/>
    <w:rsid w:val="008B296A"/>
    <w:rsid w:val="008C2D77"/>
    <w:rsid w:val="008D5CB4"/>
    <w:rsid w:val="008D5D93"/>
    <w:rsid w:val="008E205C"/>
    <w:rsid w:val="0090008D"/>
    <w:rsid w:val="00902405"/>
    <w:rsid w:val="009044FD"/>
    <w:rsid w:val="00907B8E"/>
    <w:rsid w:val="0092553D"/>
    <w:rsid w:val="00930B80"/>
    <w:rsid w:val="00931BC0"/>
    <w:rsid w:val="0093718B"/>
    <w:rsid w:val="0096173C"/>
    <w:rsid w:val="00967712"/>
    <w:rsid w:val="00971255"/>
    <w:rsid w:val="00975790"/>
    <w:rsid w:val="00982C7B"/>
    <w:rsid w:val="00984C03"/>
    <w:rsid w:val="0098544A"/>
    <w:rsid w:val="009A59BC"/>
    <w:rsid w:val="009B331C"/>
    <w:rsid w:val="009B641C"/>
    <w:rsid w:val="009C13BB"/>
    <w:rsid w:val="009C4357"/>
    <w:rsid w:val="009C54EC"/>
    <w:rsid w:val="009D029A"/>
    <w:rsid w:val="009D358A"/>
    <w:rsid w:val="009E05C9"/>
    <w:rsid w:val="009E28F9"/>
    <w:rsid w:val="00A01D42"/>
    <w:rsid w:val="00A02125"/>
    <w:rsid w:val="00A022EE"/>
    <w:rsid w:val="00A0457C"/>
    <w:rsid w:val="00A206E5"/>
    <w:rsid w:val="00A22FE1"/>
    <w:rsid w:val="00A351C6"/>
    <w:rsid w:val="00A36AB0"/>
    <w:rsid w:val="00A37FEA"/>
    <w:rsid w:val="00A435FC"/>
    <w:rsid w:val="00A51D6D"/>
    <w:rsid w:val="00A53191"/>
    <w:rsid w:val="00A5756F"/>
    <w:rsid w:val="00A60164"/>
    <w:rsid w:val="00A6032D"/>
    <w:rsid w:val="00A667CA"/>
    <w:rsid w:val="00A82374"/>
    <w:rsid w:val="00A921BD"/>
    <w:rsid w:val="00AA130E"/>
    <w:rsid w:val="00AA4D7A"/>
    <w:rsid w:val="00AB7F7A"/>
    <w:rsid w:val="00AC0CD4"/>
    <w:rsid w:val="00AC1212"/>
    <w:rsid w:val="00AC1925"/>
    <w:rsid w:val="00AC389E"/>
    <w:rsid w:val="00AD6147"/>
    <w:rsid w:val="00AD6181"/>
    <w:rsid w:val="00AD6F92"/>
    <w:rsid w:val="00AE0432"/>
    <w:rsid w:val="00AE13C3"/>
    <w:rsid w:val="00AF0B06"/>
    <w:rsid w:val="00AF13C6"/>
    <w:rsid w:val="00AF228B"/>
    <w:rsid w:val="00AF7192"/>
    <w:rsid w:val="00B02E97"/>
    <w:rsid w:val="00B030A4"/>
    <w:rsid w:val="00B05DAE"/>
    <w:rsid w:val="00B14B7E"/>
    <w:rsid w:val="00B14FF5"/>
    <w:rsid w:val="00B1563A"/>
    <w:rsid w:val="00B32262"/>
    <w:rsid w:val="00B52B9F"/>
    <w:rsid w:val="00B53611"/>
    <w:rsid w:val="00B53D92"/>
    <w:rsid w:val="00B604C0"/>
    <w:rsid w:val="00B62CFE"/>
    <w:rsid w:val="00B66816"/>
    <w:rsid w:val="00B67FCE"/>
    <w:rsid w:val="00B75ACD"/>
    <w:rsid w:val="00B837D2"/>
    <w:rsid w:val="00B84B04"/>
    <w:rsid w:val="00B8702E"/>
    <w:rsid w:val="00B94B69"/>
    <w:rsid w:val="00B95001"/>
    <w:rsid w:val="00B95986"/>
    <w:rsid w:val="00BA07B5"/>
    <w:rsid w:val="00BA774E"/>
    <w:rsid w:val="00BB246B"/>
    <w:rsid w:val="00BC4679"/>
    <w:rsid w:val="00BD6445"/>
    <w:rsid w:val="00BE04C2"/>
    <w:rsid w:val="00BE0997"/>
    <w:rsid w:val="00BE621B"/>
    <w:rsid w:val="00BE6CDC"/>
    <w:rsid w:val="00BE7EF5"/>
    <w:rsid w:val="00BF0747"/>
    <w:rsid w:val="00BF2C2E"/>
    <w:rsid w:val="00BF5EDD"/>
    <w:rsid w:val="00C03BA9"/>
    <w:rsid w:val="00C0516C"/>
    <w:rsid w:val="00C13C79"/>
    <w:rsid w:val="00C14C74"/>
    <w:rsid w:val="00C20680"/>
    <w:rsid w:val="00C21CDF"/>
    <w:rsid w:val="00C2713B"/>
    <w:rsid w:val="00C3132A"/>
    <w:rsid w:val="00C373D7"/>
    <w:rsid w:val="00C51444"/>
    <w:rsid w:val="00C53380"/>
    <w:rsid w:val="00C559EB"/>
    <w:rsid w:val="00C56C62"/>
    <w:rsid w:val="00C80390"/>
    <w:rsid w:val="00C809CC"/>
    <w:rsid w:val="00C81A52"/>
    <w:rsid w:val="00C865A8"/>
    <w:rsid w:val="00C92272"/>
    <w:rsid w:val="00C94F8B"/>
    <w:rsid w:val="00CA25A2"/>
    <w:rsid w:val="00CA6919"/>
    <w:rsid w:val="00CA7261"/>
    <w:rsid w:val="00CB25EE"/>
    <w:rsid w:val="00CC07E5"/>
    <w:rsid w:val="00CD1F42"/>
    <w:rsid w:val="00CD26FC"/>
    <w:rsid w:val="00CD5201"/>
    <w:rsid w:val="00CF653E"/>
    <w:rsid w:val="00CF7959"/>
    <w:rsid w:val="00D102AA"/>
    <w:rsid w:val="00D11A0F"/>
    <w:rsid w:val="00D11EA4"/>
    <w:rsid w:val="00D22116"/>
    <w:rsid w:val="00D2462D"/>
    <w:rsid w:val="00D321BF"/>
    <w:rsid w:val="00D354E4"/>
    <w:rsid w:val="00D37B26"/>
    <w:rsid w:val="00D4192D"/>
    <w:rsid w:val="00D5418D"/>
    <w:rsid w:val="00D55FD2"/>
    <w:rsid w:val="00D64C69"/>
    <w:rsid w:val="00D66E52"/>
    <w:rsid w:val="00D677D1"/>
    <w:rsid w:val="00D67A2F"/>
    <w:rsid w:val="00D71FDA"/>
    <w:rsid w:val="00D877F1"/>
    <w:rsid w:val="00D92993"/>
    <w:rsid w:val="00D9309F"/>
    <w:rsid w:val="00D97AE1"/>
    <w:rsid w:val="00DA08FE"/>
    <w:rsid w:val="00DA0E9A"/>
    <w:rsid w:val="00DA2F66"/>
    <w:rsid w:val="00DA2FA3"/>
    <w:rsid w:val="00DB3E4C"/>
    <w:rsid w:val="00DC0E1F"/>
    <w:rsid w:val="00DD094A"/>
    <w:rsid w:val="00DD0F5B"/>
    <w:rsid w:val="00DD421E"/>
    <w:rsid w:val="00DD47E0"/>
    <w:rsid w:val="00DD5BC9"/>
    <w:rsid w:val="00DE6BCB"/>
    <w:rsid w:val="00DE7E84"/>
    <w:rsid w:val="00DF4445"/>
    <w:rsid w:val="00E02DA5"/>
    <w:rsid w:val="00E04136"/>
    <w:rsid w:val="00E05E05"/>
    <w:rsid w:val="00E10FB8"/>
    <w:rsid w:val="00E12C81"/>
    <w:rsid w:val="00E16213"/>
    <w:rsid w:val="00E25D8E"/>
    <w:rsid w:val="00E27170"/>
    <w:rsid w:val="00E27E94"/>
    <w:rsid w:val="00E4259C"/>
    <w:rsid w:val="00E45877"/>
    <w:rsid w:val="00E46A36"/>
    <w:rsid w:val="00E53259"/>
    <w:rsid w:val="00E64F28"/>
    <w:rsid w:val="00E82EC7"/>
    <w:rsid w:val="00E92568"/>
    <w:rsid w:val="00E969C6"/>
    <w:rsid w:val="00E96EC7"/>
    <w:rsid w:val="00E97F55"/>
    <w:rsid w:val="00EB22A0"/>
    <w:rsid w:val="00EB78D5"/>
    <w:rsid w:val="00EC0944"/>
    <w:rsid w:val="00EC5F7C"/>
    <w:rsid w:val="00ED122B"/>
    <w:rsid w:val="00EE445D"/>
    <w:rsid w:val="00EE5147"/>
    <w:rsid w:val="00F02A4B"/>
    <w:rsid w:val="00F05CB6"/>
    <w:rsid w:val="00F05E83"/>
    <w:rsid w:val="00F06894"/>
    <w:rsid w:val="00F14435"/>
    <w:rsid w:val="00F2029A"/>
    <w:rsid w:val="00F248B1"/>
    <w:rsid w:val="00F27822"/>
    <w:rsid w:val="00F36E16"/>
    <w:rsid w:val="00F37968"/>
    <w:rsid w:val="00F43014"/>
    <w:rsid w:val="00F521CA"/>
    <w:rsid w:val="00F60108"/>
    <w:rsid w:val="00F6232F"/>
    <w:rsid w:val="00F71FFE"/>
    <w:rsid w:val="00F81286"/>
    <w:rsid w:val="00F820AD"/>
    <w:rsid w:val="00F86AF5"/>
    <w:rsid w:val="00FA4DD8"/>
    <w:rsid w:val="00FB03D0"/>
    <w:rsid w:val="00FB5CE2"/>
    <w:rsid w:val="00FC57DE"/>
    <w:rsid w:val="00FD7061"/>
    <w:rsid w:val="00FE2DDD"/>
    <w:rsid w:val="00FE7669"/>
    <w:rsid w:val="00FE7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3F470735"/>
  <w15:chartTrackingRefBased/>
  <w15:docId w15:val="{44F25DBE-3724-4E61-A14F-AB38A4B8C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val="es-ES" w:eastAsia="ar-SA"/>
    </w:rPr>
  </w:style>
  <w:style w:type="character" w:default="1" w:styleId="Fuentedeprrafopredeter">
    <w:name w:val="Default Paragraph Font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3z1">
    <w:name w:val="WW8Num3z1"/>
    <w:rPr>
      <w:lang w:val="es-ES"/>
    </w:rPr>
  </w:style>
  <w:style w:type="character" w:customStyle="1" w:styleId="Fuentedeprrafopredeter1">
    <w:name w:val="Fuente de párrafo predeter.1"/>
  </w:style>
  <w:style w:type="character" w:styleId="Textoennegrita">
    <w:name w:val="Strong"/>
    <w:qFormat/>
    <w:rPr>
      <w:b/>
      <w:bCs/>
    </w:rPr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2">
    <w:name w:val=" Car2"/>
    <w:rPr>
      <w:sz w:val="24"/>
      <w:szCs w:val="24"/>
      <w:lang w:val="es-ES"/>
    </w:rPr>
  </w:style>
  <w:style w:type="character" w:customStyle="1" w:styleId="Car1">
    <w:name w:val=" Car1"/>
    <w:rPr>
      <w:sz w:val="24"/>
      <w:szCs w:val="24"/>
      <w:lang w:val="es-ES"/>
    </w:rPr>
  </w:style>
  <w:style w:type="character" w:customStyle="1" w:styleId="Car">
    <w:name w:val=" Car"/>
    <w:rPr>
      <w:lang w:val="es-ES"/>
    </w:rPr>
  </w:style>
  <w:style w:type="character" w:customStyle="1" w:styleId="Caracteresdenotafinal">
    <w:name w:val="Caracteres de nota final"/>
    <w:rPr>
      <w:vertAlign w:val="superscript"/>
    </w:rPr>
  </w:style>
  <w:style w:type="character" w:customStyle="1" w:styleId="Caracteresdenotaalpie">
    <w:name w:val="Caracteres de nota al pie"/>
    <w:rPr>
      <w:vertAlign w:val="superscript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link w:val="TextoindependienteCar"/>
    <w:pPr>
      <w:jc w:val="both"/>
    </w:pPr>
    <w:rPr>
      <w:bCs/>
      <w:lang w:val="es-MX"/>
    </w:r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styleId="Puesto">
    <w:name w:val="Puesto"/>
    <w:basedOn w:val="Normal"/>
    <w:next w:val="Subttulo"/>
    <w:qFormat/>
    <w:pPr>
      <w:jc w:val="center"/>
    </w:pPr>
    <w:rPr>
      <w:b/>
      <w:bCs/>
      <w:lang w:val="es-MX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styleId="Encabezado">
    <w:name w:val="heade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</w:style>
  <w:style w:type="paragraph" w:styleId="Textonotaalfinal">
    <w:name w:val="endnote text"/>
    <w:basedOn w:val="Normal"/>
    <w:rPr>
      <w:sz w:val="20"/>
      <w:szCs w:val="20"/>
    </w:rPr>
  </w:style>
  <w:style w:type="paragraph" w:styleId="Textonotapie">
    <w:name w:val="footnote text"/>
    <w:basedOn w:val="Normal"/>
  </w:style>
  <w:style w:type="paragraph" w:styleId="NormalWeb">
    <w:name w:val="Normal (Web)"/>
    <w:basedOn w:val="Normal"/>
    <w:uiPriority w:val="99"/>
    <w:pPr>
      <w:spacing w:before="280" w:after="280"/>
      <w:jc w:val="both"/>
    </w:pPr>
    <w:rPr>
      <w:rFonts w:ascii="Arial" w:hAnsi="Arial" w:cs="Arial"/>
      <w:color w:val="000000"/>
      <w:sz w:val="20"/>
      <w:szCs w:val="20"/>
    </w:rPr>
  </w:style>
  <w:style w:type="paragraph" w:styleId="Mapadeldocumento">
    <w:name w:val="Document Map"/>
    <w:basedOn w:val="Normal"/>
    <w:semiHidden/>
    <w:rsid w:val="00400C84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Revisin">
    <w:name w:val="Revision"/>
    <w:hidden/>
    <w:uiPriority w:val="99"/>
    <w:semiHidden/>
    <w:rsid w:val="00344094"/>
    <w:rPr>
      <w:sz w:val="24"/>
      <w:szCs w:val="24"/>
      <w:lang w:val="es-ES" w:eastAsia="ar-SA"/>
    </w:rPr>
  </w:style>
  <w:style w:type="character" w:customStyle="1" w:styleId="TextoindependienteCar">
    <w:name w:val="Texto independiente Car"/>
    <w:link w:val="Textoindependiente"/>
    <w:rsid w:val="00742533"/>
    <w:rPr>
      <w:bCs/>
      <w:sz w:val="24"/>
      <w:szCs w:val="24"/>
      <w:lang w:val="es-MX" w:eastAsia="ar-SA"/>
    </w:rPr>
  </w:style>
  <w:style w:type="paragraph" w:customStyle="1" w:styleId="Default">
    <w:name w:val="Default"/>
    <w:rsid w:val="00A36AB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EncabezadoCar">
    <w:name w:val="Encabezado Car"/>
    <w:link w:val="Encabezado"/>
    <w:uiPriority w:val="99"/>
    <w:rsid w:val="00F37968"/>
    <w:rPr>
      <w:sz w:val="24"/>
      <w:szCs w:val="24"/>
      <w:lang w:val="es-ES" w:eastAsia="ar-SA"/>
    </w:rPr>
  </w:style>
  <w:style w:type="character" w:customStyle="1" w:styleId="PiedepginaCar">
    <w:name w:val="Pie de página Car"/>
    <w:link w:val="Piedepgina"/>
    <w:uiPriority w:val="99"/>
    <w:rsid w:val="00F37968"/>
    <w:rPr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871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5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9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7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9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2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1299</Words>
  <Characters>7147</Characters>
  <Application>Microsoft Office Word</Application>
  <DocSecurity>0</DocSecurity>
  <Lines>59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RESOLUCIÓN CASO  1234 REVISIÓN</vt:lpstr>
      <vt:lpstr>RESOLUCIÓN CASO  1234 REVISIÓN</vt:lpstr>
    </vt:vector>
  </TitlesOfParts>
  <Company/>
  <LinksUpToDate>false</LinksUpToDate>
  <CharactersWithSpaces>8430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RESOLUCIÓN CASO  1234 REVISIÓN</dc:title>
  <dc:subject/>
  <dc:creator>MARCO ANTONIO ORTEGA PIANA</dc:creator>
  <cp:keywords/>
  <cp:lastModifiedBy>Sandro Hurtado</cp:lastModifiedBy>
  <cp:revision>2</cp:revision>
  <cp:lastPrinted>2020-11-27T13:08:00Z</cp:lastPrinted>
  <dcterms:created xsi:type="dcterms:W3CDTF">2021-04-14T21:30:00Z</dcterms:created>
  <dcterms:modified xsi:type="dcterms:W3CDTF">2021-04-14T21:30:00Z</dcterms:modified>
</cp:coreProperties>
</file>