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C671F5" w:rsidR="00707C99" w:rsidP="00272F4F" w:rsidRDefault="00201C0D" w14:paraId="19FE0E96" w14:textId="5783F107">
      <w:pPr>
        <w:spacing w:after="0" w:line="240" w:lineRule="auto"/>
        <w:jc w:val="center"/>
        <w:rPr>
          <w:rFonts w:ascii="Times New Roman" w:hAnsi="Times New Roman" w:cs="Times New Roman"/>
          <w:b/>
          <w:sz w:val="24"/>
          <w:szCs w:val="24"/>
          <w:lang w:val="es-MX" w:eastAsia="ar-SA"/>
        </w:rPr>
      </w:pPr>
      <w:r w:rsidRPr="00C671F5">
        <w:rPr>
          <w:rFonts w:ascii="Times New Roman" w:hAnsi="Times New Roman" w:cs="Times New Roman"/>
          <w:b/>
          <w:sz w:val="24"/>
          <w:szCs w:val="24"/>
          <w:lang w:val="es-MX" w:eastAsia="ar-SA"/>
        </w:rPr>
        <w:t xml:space="preserve">RESOLUCIÓN DE RECURSO IMPUGNATIVO </w:t>
      </w:r>
      <w:proofErr w:type="spellStart"/>
      <w:r w:rsidRPr="00C671F5" w:rsidR="00707C99">
        <w:rPr>
          <w:rFonts w:ascii="Times New Roman" w:hAnsi="Times New Roman" w:cs="Times New Roman"/>
          <w:b/>
          <w:sz w:val="24"/>
          <w:szCs w:val="24"/>
          <w:lang w:val="es-MX" w:eastAsia="ar-SA"/>
        </w:rPr>
        <w:t>N°</w:t>
      </w:r>
      <w:proofErr w:type="spellEnd"/>
      <w:r w:rsidRPr="00C671F5" w:rsidR="00707C99">
        <w:rPr>
          <w:rFonts w:ascii="Times New Roman" w:hAnsi="Times New Roman" w:cs="Times New Roman"/>
          <w:b/>
          <w:sz w:val="24"/>
          <w:szCs w:val="24"/>
          <w:lang w:val="es-MX" w:eastAsia="ar-SA"/>
        </w:rPr>
        <w:t xml:space="preserve"> </w:t>
      </w:r>
      <w:r w:rsidRPr="00C671F5" w:rsidR="00C671F5">
        <w:rPr>
          <w:rFonts w:ascii="Times New Roman" w:hAnsi="Times New Roman" w:cs="Times New Roman"/>
          <w:b/>
          <w:sz w:val="24"/>
          <w:szCs w:val="24"/>
          <w:lang w:val="es-MX" w:eastAsia="ar-SA"/>
        </w:rPr>
        <w:t>0</w:t>
      </w:r>
      <w:r w:rsidR="00231C58">
        <w:rPr>
          <w:rFonts w:ascii="Times New Roman" w:hAnsi="Times New Roman" w:cs="Times New Roman"/>
          <w:b/>
          <w:sz w:val="24"/>
          <w:szCs w:val="24"/>
          <w:lang w:val="es-MX" w:eastAsia="ar-SA"/>
        </w:rPr>
        <w:t>01</w:t>
      </w:r>
      <w:r w:rsidRPr="00C671F5" w:rsidR="00C671F5">
        <w:rPr>
          <w:rFonts w:ascii="Times New Roman" w:hAnsi="Times New Roman" w:cs="Times New Roman"/>
          <w:b/>
          <w:sz w:val="24"/>
          <w:szCs w:val="24"/>
          <w:lang w:val="es-MX" w:eastAsia="ar-SA"/>
        </w:rPr>
        <w:t>/2</w:t>
      </w:r>
      <w:r w:rsidR="00231C58">
        <w:rPr>
          <w:rFonts w:ascii="Times New Roman" w:hAnsi="Times New Roman" w:cs="Times New Roman"/>
          <w:b/>
          <w:sz w:val="24"/>
          <w:szCs w:val="24"/>
          <w:lang w:val="es-MX" w:eastAsia="ar-SA"/>
        </w:rPr>
        <w:t>1</w:t>
      </w:r>
    </w:p>
    <w:p w:rsidRPr="00C671F5" w:rsidR="00707C99" w:rsidP="00272F4F" w:rsidRDefault="00707C99" w14:paraId="428240E5" w14:textId="06F06948">
      <w:pPr>
        <w:suppressAutoHyphens/>
        <w:spacing w:after="0" w:line="240" w:lineRule="auto"/>
        <w:jc w:val="center"/>
        <w:rPr>
          <w:rFonts w:ascii="Times New Roman" w:hAnsi="Times New Roman" w:eastAsia="Times New Roman" w:cs="Times New Roman"/>
          <w:b/>
          <w:bCs/>
          <w:sz w:val="24"/>
          <w:szCs w:val="24"/>
          <w:lang w:val="es-MX" w:eastAsia="ar-SA"/>
        </w:rPr>
      </w:pPr>
    </w:p>
    <w:p w:rsidRPr="00231C58" w:rsidR="00B32325" w:rsidP="00272F4F" w:rsidRDefault="00B32325" w14:paraId="500397C4" w14:textId="77777777">
      <w:pPr>
        <w:suppressAutoHyphens/>
        <w:spacing w:after="0" w:line="240" w:lineRule="auto"/>
        <w:jc w:val="center"/>
        <w:rPr>
          <w:rFonts w:ascii="Times New Roman" w:hAnsi="Times New Roman" w:eastAsia="Times New Roman" w:cs="Times New Roman"/>
          <w:b/>
          <w:bCs/>
          <w:sz w:val="24"/>
          <w:szCs w:val="24"/>
          <w:lang w:val="es-MX" w:eastAsia="ar-SA"/>
        </w:rPr>
      </w:pPr>
    </w:p>
    <w:p w:rsidRPr="00231C58" w:rsidR="00231C58" w:rsidP="00231C58" w:rsidRDefault="00231C58" w14:paraId="2E51BE51"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231C58">
        <w:rPr>
          <w:rFonts w:ascii="Times New Roman" w:hAnsi="Times New Roman" w:eastAsia="Times New Roman" w:cs="Times New Roman"/>
          <w:b/>
          <w:bCs/>
          <w:sz w:val="24"/>
          <w:szCs w:val="24"/>
          <w:lang w:val="es-MX" w:eastAsia="ar-SA"/>
        </w:rPr>
        <w:t>Vistos:</w:t>
      </w:r>
    </w:p>
    <w:p w:rsidRPr="00231C58" w:rsidR="00231C58" w:rsidP="00231C58" w:rsidRDefault="00231C58" w14:paraId="10FEEB11"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231C58">
        <w:rPr>
          <w:rFonts w:ascii="Times New Roman" w:hAnsi="Times New Roman" w:eastAsia="Times New Roman" w:cs="Times New Roman"/>
          <w:b/>
          <w:bCs/>
          <w:sz w:val="24"/>
          <w:szCs w:val="24"/>
          <w:lang w:val="es-MX" w:eastAsia="ar-SA"/>
        </w:rPr>
        <w:t xml:space="preserve">   </w:t>
      </w:r>
    </w:p>
    <w:p w:rsidRPr="00231C58" w:rsidR="00231C58" w:rsidP="00231C58" w:rsidRDefault="00231C58" w14:paraId="1E8CA326" w14:textId="38816FB3">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ES"/>
        </w:rPr>
      </w:pPr>
      <w:r w:rsidRPr="2BF84261" w:rsidR="00231C58">
        <w:rPr>
          <w:rFonts w:ascii="Times New Roman" w:hAnsi="Times New Roman" w:eastAsia="Times New Roman" w:cs="Times New Roman"/>
          <w:sz w:val="24"/>
          <w:szCs w:val="24"/>
          <w:lang w:val="es-ES" w:eastAsia="ar-SA"/>
        </w:rPr>
        <w:t xml:space="preserve">El recurso de impugnación presentado el 22 de diciembre de 2020 por </w:t>
      </w:r>
      <w:r w:rsidRPr="2BF84261" w:rsidR="0E63013A">
        <w:rPr>
          <w:rFonts w:ascii="Times New Roman" w:hAnsi="Times New Roman" w:eastAsia="Times New Roman" w:cs="Times New Roman"/>
          <w:sz w:val="24"/>
          <w:szCs w:val="24"/>
          <w:lang w:val="es-ES" w:eastAsia="ar-SA"/>
        </w:rPr>
        <w:t>.......................................</w:t>
      </w:r>
      <w:r w:rsidRPr="2BF84261" w:rsidR="00231C58">
        <w:rPr>
          <w:rFonts w:ascii="Times New Roman" w:hAnsi="Times New Roman" w:cs="Times New Roman"/>
          <w:sz w:val="24"/>
          <w:szCs w:val="24"/>
          <w:lang w:val="es-PE"/>
        </w:rPr>
        <w:t xml:space="preserve"> </w:t>
      </w:r>
      <w:r w:rsidRPr="2BF84261" w:rsidR="00231C58">
        <w:rPr>
          <w:rFonts w:ascii="Times New Roman" w:hAnsi="Times New Roman" w:eastAsia="Times New Roman" w:cs="Times New Roman"/>
          <w:sz w:val="24"/>
          <w:szCs w:val="24"/>
          <w:lang w:val="es-ES" w:eastAsia="ar-SA"/>
        </w:rPr>
        <w:t>respecto de la Resolución Nro. 122/20, del 14 de diciembre de 2020, emitida por esta Defensoría del Asegurado (DEFASEG), que declaró FUNDADA</w:t>
      </w:r>
      <w:r w:rsidRPr="2BF84261" w:rsidR="00231C58">
        <w:rPr>
          <w:rFonts w:ascii="Times New Roman" w:hAnsi="Times New Roman" w:cs="Times New Roman"/>
          <w:sz w:val="24"/>
          <w:szCs w:val="24"/>
          <w:lang w:val="es-PE"/>
        </w:rPr>
        <w:t xml:space="preserve"> </w:t>
      </w:r>
      <w:r w:rsidRPr="2BF84261" w:rsidR="00231C58">
        <w:rPr>
          <w:rFonts w:ascii="Times New Roman" w:hAnsi="Times New Roman" w:eastAsia="Arial Unicode MS" w:cs="Times New Roman"/>
          <w:sz w:val="24"/>
          <w:szCs w:val="24"/>
          <w:lang w:val="es-PE"/>
        </w:rPr>
        <w:t>la reclamación interpuesta por</w:t>
      </w:r>
      <w:r w:rsidRPr="2BF84261" w:rsidR="00231C58">
        <w:rPr>
          <w:rFonts w:ascii="Times New Roman" w:hAnsi="Times New Roman" w:cs="Times New Roman"/>
          <w:sz w:val="24"/>
          <w:szCs w:val="24"/>
          <w:lang w:val="es-ES"/>
        </w:rPr>
        <w:t xml:space="preserve"> </w:t>
      </w:r>
      <w:r w:rsidRPr="2BF84261" w:rsidR="6BE79B10">
        <w:rPr>
          <w:rFonts w:ascii="Times New Roman" w:hAnsi="Times New Roman" w:cs="Times New Roman"/>
          <w:sz w:val="24"/>
          <w:szCs w:val="24"/>
          <w:lang w:val="es-ES"/>
        </w:rPr>
        <w:t>.......................................</w:t>
      </w:r>
      <w:r w:rsidRPr="2BF84261" w:rsidR="00231C58">
        <w:rPr>
          <w:rFonts w:ascii="Times New Roman" w:hAnsi="Times New Roman" w:cs="Times New Roman"/>
          <w:sz w:val="24"/>
          <w:szCs w:val="24"/>
          <w:lang w:val="es-ES"/>
        </w:rPr>
        <w:t xml:space="preserve">, sobre </w:t>
      </w:r>
      <w:r w:rsidRPr="2BF84261" w:rsidR="00231C58">
        <w:rPr>
          <w:rFonts w:ascii="Times New Roman" w:hAnsi="Times New Roman" w:eastAsia="Times New Roman" w:cs="Times New Roman"/>
          <w:sz w:val="24"/>
          <w:szCs w:val="24"/>
          <w:lang w:val="es-PE" w:eastAsia="es-ES"/>
        </w:rPr>
        <w:t xml:space="preserve">otorgamiento de cobertura al siniestro vehicular ocurrido el 14 de julio de 2020, conforme al </w:t>
      </w:r>
      <w:r w:rsidRPr="2BF84261" w:rsidR="00231C58">
        <w:rPr>
          <w:rFonts w:ascii="Times New Roman" w:hAnsi="Times New Roman" w:cs="Times New Roman"/>
          <w:sz w:val="24"/>
          <w:szCs w:val="24"/>
          <w:lang w:val="es-ES"/>
        </w:rPr>
        <w:t xml:space="preserve">Seguro Vehicular, Póliza Nro. </w:t>
      </w:r>
      <w:r w:rsidRPr="2BF84261" w:rsidR="76F478E6">
        <w:rPr>
          <w:rFonts w:ascii="Times New Roman" w:hAnsi="Times New Roman" w:cs="Times New Roman"/>
          <w:sz w:val="24"/>
          <w:szCs w:val="24"/>
          <w:lang w:val="es-ES"/>
        </w:rPr>
        <w:t>.........................</w:t>
      </w:r>
      <w:r w:rsidRPr="2BF84261" w:rsidR="00231C58">
        <w:rPr>
          <w:rFonts w:ascii="Times New Roman" w:hAnsi="Times New Roman" w:cs="Times New Roman"/>
          <w:sz w:val="24"/>
          <w:szCs w:val="24"/>
          <w:lang w:val="es-ES"/>
        </w:rPr>
        <w:t xml:space="preserve"> – Certificado 1</w:t>
      </w:r>
      <w:r w:rsidRPr="2BF84261" w:rsidR="00231C58">
        <w:rPr>
          <w:rFonts w:ascii="Times New Roman" w:hAnsi="Times New Roman" w:eastAsia="Times New Roman" w:cs="Times New Roman"/>
          <w:sz w:val="24"/>
          <w:szCs w:val="24"/>
          <w:lang w:val="es-PE" w:eastAsia="es-ES"/>
        </w:rPr>
        <w:t>;</w:t>
      </w:r>
    </w:p>
    <w:p w:rsidRPr="00231C58" w:rsidR="00231C58" w:rsidP="00231C58" w:rsidRDefault="00231C58" w14:paraId="145BB695" w14:textId="77777777">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p>
    <w:p w:rsidRPr="00231C58" w:rsidR="00231C58" w:rsidP="2BF84261" w:rsidRDefault="00231C58" w14:paraId="1D783A70" w14:textId="483249B8">
      <w:pPr>
        <w:suppressAutoHyphens/>
        <w:spacing w:after="0" w:line="240" w:lineRule="auto"/>
        <w:jc w:val="both"/>
        <w:rPr>
          <w:rFonts w:ascii="Times New Roman" w:hAnsi="Times New Roman" w:eastAsia="Times New Roman" w:cs="Times New Roman"/>
          <w:sz w:val="24"/>
          <w:szCs w:val="24"/>
          <w:lang w:val="es-MX" w:eastAsia="ar-SA"/>
        </w:rPr>
      </w:pPr>
      <w:r w:rsidRPr="2BF84261" w:rsidR="00231C58">
        <w:rPr>
          <w:rFonts w:ascii="Times New Roman" w:hAnsi="Times New Roman" w:eastAsia="Times New Roman" w:cs="Times New Roman"/>
          <w:sz w:val="24"/>
          <w:szCs w:val="24"/>
          <w:lang w:val="es-MX" w:eastAsia="ar-SA"/>
        </w:rPr>
        <w:t xml:space="preserve">Que, a través del señalado recurso, </w:t>
      </w:r>
      <w:r w:rsidRPr="2BF84261" w:rsidR="0E63013A">
        <w:rPr>
          <w:rFonts w:ascii="Times New Roman" w:hAnsi="Times New Roman" w:eastAsia="Times New Roman" w:cs="Times New Roman"/>
          <w:sz w:val="24"/>
          <w:szCs w:val="24"/>
          <w:lang w:val="es-MX" w:eastAsia="ar-SA"/>
        </w:rPr>
        <w:t>.......................................</w:t>
      </w:r>
      <w:r w:rsidRPr="2BF84261" w:rsidR="00231C58">
        <w:rPr>
          <w:rFonts w:ascii="Times New Roman" w:hAnsi="Times New Roman" w:eastAsia="Times New Roman" w:cs="Times New Roman"/>
          <w:sz w:val="24"/>
          <w:szCs w:val="24"/>
          <w:lang w:val="es-MX" w:eastAsia="ar-SA"/>
        </w:rPr>
        <w:t xml:space="preserve"> contradice lo resuelto por la DEFASEG, solicitando que se revoque la resolución recurrida y se declare infundada la reclamación, atendiendo fundamental y resumidamente a lo siguiente: a) El colegiado incurre en un error, porque declara FUNDADA la reclamación pese a que admite que la asegurada tenía conocimiento de los términos y condiciones del contrato de seguro, desautorizando la negativa de ésta de haber recibido las condiciones generales, aunque reconociendo que no son controvertidos los hechos relativos al caso, b) El colegiado sostiene que la aseguradora no ha presentado más bien dichos términos y condiciones, de manera concreta la Cláusula VEG001 – Condiciones Generales del Seguro Vehicular, por lo que no ha podido verificar su contenido, y c) Subsanado el error involuntario incurrido, de no haber presentado oportunamente el condicionado general, se subsana dicha omisión, adjuntándose al recurso impugnativo, siendo que en dicho documento consta la exclusión que fue invocada para fines del rechazo de cobertura (artículo 5, numeral 1, literal A);</w:t>
      </w:r>
    </w:p>
    <w:p w:rsidRPr="00231C58" w:rsidR="00231C58" w:rsidP="00231C58" w:rsidRDefault="00231C58" w14:paraId="28669908"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231C58" w:rsidR="00231C58" w:rsidP="2BF84261" w:rsidRDefault="00231C58" w14:paraId="0309802E" w14:textId="0E1939F3">
      <w:pPr>
        <w:suppressAutoHyphens/>
        <w:spacing w:after="0" w:line="240" w:lineRule="auto"/>
        <w:jc w:val="both"/>
        <w:rPr>
          <w:rFonts w:ascii="Times New Roman" w:hAnsi="Times New Roman" w:eastAsia="Times New Roman" w:cs="Times New Roman"/>
          <w:sz w:val="24"/>
          <w:szCs w:val="24"/>
          <w:lang w:val="es-MX" w:eastAsia="ar-SA"/>
        </w:rPr>
      </w:pPr>
      <w:r w:rsidRPr="2BF84261" w:rsidR="00231C58">
        <w:rPr>
          <w:rFonts w:ascii="Times New Roman" w:hAnsi="Times New Roman" w:eastAsia="Times New Roman" w:cs="Times New Roman"/>
          <w:sz w:val="24"/>
          <w:szCs w:val="24"/>
          <w:lang w:val="es-MX" w:eastAsia="ar-SA"/>
        </w:rPr>
        <w:t xml:space="preserve">Que, el señalado recurso impugnativo fue objeto de traslado a la reclamante la que lo absolvió el 19 de enero de 2021, destacando principal y resumidamente lo siguiente: a) Reitera que nunca se le entregó las condiciones generales de la póliza, lo cual le impidió contar con información oportuna, suficiente, veraz y fácilmente accesible para tomar una decisión de consumo, conforme lo requiere la Ley Nro. 29571 – Código de Protección y Defensa del Consumidor, y b) Resulta extemporánea la entrega que realiza </w:t>
      </w:r>
      <w:r w:rsidRPr="2BF84261" w:rsidR="0E63013A">
        <w:rPr>
          <w:rFonts w:ascii="Times New Roman" w:hAnsi="Times New Roman" w:eastAsia="Times New Roman" w:cs="Times New Roman"/>
          <w:sz w:val="24"/>
          <w:szCs w:val="24"/>
          <w:lang w:val="es-MX" w:eastAsia="ar-SA"/>
        </w:rPr>
        <w:t>.......................................</w:t>
      </w:r>
      <w:r w:rsidRPr="2BF84261" w:rsidR="00231C58">
        <w:rPr>
          <w:rFonts w:ascii="Times New Roman" w:hAnsi="Times New Roman" w:eastAsia="Times New Roman" w:cs="Times New Roman"/>
          <w:sz w:val="24"/>
          <w:szCs w:val="24"/>
          <w:lang w:val="es-MX" w:eastAsia="ar-SA"/>
        </w:rPr>
        <w:t>, porque el respectivo condicionado debió presentarlo cuando así le fue requerido por la DEFASEG, no después, por lo que se trasgrede lo regulado en la LEY Nro. 27444 – Ley del Procedimiento Administrativo General, ya que lo presentado no es “nueva prueba”;</w:t>
      </w:r>
    </w:p>
    <w:p w:rsidRPr="00231C58" w:rsidR="00231C58" w:rsidP="00231C58" w:rsidRDefault="00231C58" w14:paraId="1E872800"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231C58" w:rsidR="00231C58" w:rsidP="00231C58" w:rsidRDefault="00231C58" w14:paraId="42163FD3" w14:textId="77777777">
      <w:pPr>
        <w:suppressAutoHyphens/>
        <w:spacing w:after="0" w:line="240" w:lineRule="auto"/>
        <w:jc w:val="both"/>
        <w:rPr>
          <w:rFonts w:ascii="Times New Roman" w:hAnsi="Times New Roman" w:cs="Times New Roman"/>
          <w:bCs/>
          <w:sz w:val="24"/>
          <w:szCs w:val="24"/>
          <w:lang w:val="es-ES"/>
        </w:rPr>
      </w:pPr>
      <w:r w:rsidRPr="00231C58">
        <w:rPr>
          <w:rFonts w:ascii="Times New Roman" w:hAnsi="Times New Roman" w:cs="Times New Roman"/>
          <w:bCs/>
          <w:sz w:val="24"/>
          <w:szCs w:val="24"/>
          <w:lang w:val="es-ES"/>
        </w:rPr>
        <w:t>Que, ambas partes han tenido la oportunidad para ejercer su derecho de defensa con relación a la impugnación de la resolución recurrida, siendo que este colegiado estima que está suficientemente informado para resolver de manera definitiva;</w:t>
      </w:r>
    </w:p>
    <w:p w:rsidRPr="00231C58" w:rsidR="00231C58" w:rsidP="00231C58" w:rsidRDefault="00231C58" w14:paraId="6A9B587E"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231C58" w:rsidR="00231C58" w:rsidP="00231C58" w:rsidRDefault="00231C58" w14:paraId="649EC79E"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231C58">
        <w:rPr>
          <w:rFonts w:ascii="Times New Roman" w:hAnsi="Times New Roman" w:eastAsia="Times New Roman" w:cs="Times New Roman"/>
          <w:b/>
          <w:bCs/>
          <w:sz w:val="24"/>
          <w:szCs w:val="24"/>
          <w:lang w:val="es-MX" w:eastAsia="ar-SA"/>
        </w:rPr>
        <w:t>Considerando:</w:t>
      </w:r>
    </w:p>
    <w:p w:rsidRPr="00231C58" w:rsidR="00231C58" w:rsidP="00231C58" w:rsidRDefault="00231C58" w14:paraId="3A5CDD2D" w14:textId="77777777">
      <w:pPr>
        <w:suppressAutoHyphens/>
        <w:spacing w:after="0" w:line="240" w:lineRule="auto"/>
        <w:jc w:val="both"/>
        <w:rPr>
          <w:rFonts w:ascii="Times New Roman" w:hAnsi="Times New Roman" w:eastAsia="Times New Roman" w:cs="Times New Roman"/>
          <w:sz w:val="24"/>
          <w:szCs w:val="24"/>
          <w:lang w:val="es-ES" w:eastAsia="ar-SA"/>
        </w:rPr>
      </w:pPr>
    </w:p>
    <w:p w:rsidRPr="00231C58" w:rsidR="00231C58" w:rsidP="00231C58" w:rsidRDefault="00231C58" w14:paraId="179DECF4" w14:textId="77777777">
      <w:pPr>
        <w:spacing w:after="0" w:line="240" w:lineRule="auto"/>
        <w:jc w:val="both"/>
        <w:rPr>
          <w:rFonts w:ascii="Times New Roman" w:hAnsi="Times New Roman" w:cs="Times New Roman"/>
          <w:sz w:val="24"/>
          <w:szCs w:val="24"/>
          <w:lang w:val="es-PE"/>
        </w:rPr>
      </w:pPr>
      <w:r w:rsidRPr="00231C58">
        <w:rPr>
          <w:rFonts w:ascii="Times New Roman" w:hAnsi="Times New Roman" w:cs="Times New Roman"/>
          <w:b/>
          <w:sz w:val="24"/>
          <w:szCs w:val="24"/>
          <w:u w:val="single"/>
          <w:lang w:val="es-PE"/>
        </w:rPr>
        <w:t>Primero</w:t>
      </w:r>
      <w:r w:rsidRPr="00231C58">
        <w:rPr>
          <w:rFonts w:ascii="Times New Roman" w:hAnsi="Times New Roman" w:cs="Times New Roman"/>
          <w:b/>
          <w:sz w:val="24"/>
          <w:szCs w:val="24"/>
          <w:lang w:val="es-PE"/>
        </w:rPr>
        <w:t>:</w:t>
      </w:r>
      <w:r w:rsidRPr="00231C58">
        <w:rPr>
          <w:rFonts w:ascii="Times New Roman" w:hAnsi="Times New Roman" w:cs="Times New Roman"/>
          <w:sz w:val="24"/>
          <w:szCs w:val="24"/>
          <w:lang w:val="es-PE"/>
        </w:rPr>
        <w:t xml:space="preserve"> El Reglamento de la DEFASEG </w:t>
      </w:r>
      <w:r w:rsidRPr="00231C58">
        <w:rPr>
          <w:rFonts w:ascii="Times New Roman" w:hAnsi="Times New Roman" w:eastAsia="Arial Unicode MS" w:cs="Times New Roman"/>
          <w:sz w:val="24"/>
          <w:szCs w:val="24"/>
          <w:lang w:val="es-PE"/>
        </w:rPr>
        <w:t xml:space="preserve">(http://www.defaseg.com.pe/reglamento), en su artículo 10, </w:t>
      </w:r>
      <w:r w:rsidRPr="00231C58">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231C58">
        <w:rPr>
          <w:rFonts w:ascii="Times New Roman" w:hAnsi="Times New Roman" w:cs="Times New Roman"/>
          <w:sz w:val="24"/>
          <w:szCs w:val="24"/>
          <w:lang w:val="es-ES"/>
        </w:rPr>
        <w:t>usuario de seguro recurre en forma voluntaria a la Defensoría, siendo que la presentación de una reclamación n</w:t>
      </w:r>
      <w:r w:rsidRPr="00231C58">
        <w:rPr>
          <w:rFonts w:ascii="Times New Roman" w:hAnsi="Times New Roman" w:cs="Times New Roman"/>
          <w:sz w:val="24"/>
          <w:szCs w:val="24"/>
          <w:lang w:val="es-PE"/>
        </w:rPr>
        <w:t xml:space="preserve">o limita su derecho a recurrir posteriormente ante el órgano administrativo o jurisdiccional que </w:t>
      </w:r>
      <w:r w:rsidRPr="00231C58">
        <w:rPr>
          <w:rFonts w:ascii="Times New Roman" w:hAnsi="Times New Roman" w:cs="Times New Roman"/>
          <w:sz w:val="24"/>
          <w:szCs w:val="24"/>
          <w:lang w:val="es-PE"/>
        </w:rPr>
        <w:lastRenderedPageBreak/>
        <w:t>considere pertinente.  Conforme a lo anterior, si el asegurado no se encuentra conforme con lo que sea finalmente resuelto, la respectiva resolución no lo compromete ni le restringe la posibilidad de poder recurrir a las instancias correspondientes, a diferencia de la aseguradora que sí queda comprometida con lo resuelto por la DEFASEG.</w:t>
      </w:r>
    </w:p>
    <w:p w:rsidRPr="00231C58" w:rsidR="00231C58" w:rsidP="00231C58" w:rsidRDefault="00231C58" w14:paraId="20980BCF" w14:textId="77777777">
      <w:pPr>
        <w:spacing w:after="0" w:line="240" w:lineRule="auto"/>
        <w:jc w:val="both"/>
        <w:rPr>
          <w:rFonts w:ascii="Times New Roman" w:hAnsi="Times New Roman" w:cs="Times New Roman"/>
          <w:sz w:val="24"/>
          <w:szCs w:val="24"/>
          <w:lang w:val="es-PE"/>
        </w:rPr>
      </w:pPr>
    </w:p>
    <w:p w:rsidRPr="00231C58" w:rsidR="00231C58" w:rsidP="00231C58" w:rsidRDefault="00231C58" w14:paraId="0409BC66" w14:textId="77777777">
      <w:pPr>
        <w:tabs>
          <w:tab w:val="left" w:pos="2160"/>
        </w:tabs>
        <w:spacing w:after="0" w:line="240" w:lineRule="auto"/>
        <w:jc w:val="both"/>
        <w:rPr>
          <w:rFonts w:ascii="Times New Roman" w:hAnsi="Times New Roman" w:cs="Times New Roman"/>
          <w:sz w:val="24"/>
          <w:szCs w:val="24"/>
          <w:lang w:val="es-PE"/>
        </w:rPr>
      </w:pPr>
      <w:r w:rsidRPr="00231C58">
        <w:rPr>
          <w:rFonts w:ascii="Times New Roman" w:hAnsi="Times New Roman" w:cs="Times New Roman"/>
          <w:b/>
          <w:sz w:val="24"/>
          <w:szCs w:val="24"/>
          <w:u w:val="single"/>
          <w:lang w:val="es-PE"/>
        </w:rPr>
        <w:t>Segundo</w:t>
      </w:r>
      <w:r w:rsidRPr="00231C58">
        <w:rPr>
          <w:rFonts w:ascii="Times New Roman" w:hAnsi="Times New Roman" w:cs="Times New Roman"/>
          <w:b/>
          <w:sz w:val="24"/>
          <w:szCs w:val="24"/>
          <w:lang w:val="es-PE"/>
        </w:rPr>
        <w:t>:</w:t>
      </w:r>
      <w:r w:rsidRPr="00231C58">
        <w:rPr>
          <w:rFonts w:ascii="Times New Roman" w:hAnsi="Times New Roman" w:cs="Times New Roman"/>
          <w:sz w:val="24"/>
          <w:szCs w:val="24"/>
          <w:lang w:val="es-PE"/>
        </w:rPr>
        <w:t xml:space="preserve"> Según fue analizado al expedirse la resolución recurrida, el rechazo de cobertura se sustenta en que la asegurada habría incurrido en una exclusión de cobertura.  Los respectivos hechos no son controvertidos, siendo que la defensa de la asegurada radica en que no conoció oportunamente del contenido del régimen de exclusiones, ya que afirma que no recibió completa la correspondiente póliza.  Empero, conforme fue evaluado en su oportunidad, este colegiado estimó que dicha aseveración carecía de sustento, porque las condiciones particulares que le fueron entregadas hacían expresa referencia a dichas condiciones generales, como documento adjunto, de manera que oportuna y diligentemente debió haber reclamado la entrega completa de aquello que afirma que le fue entregado incompleto, siendo que al constar la entrega de los documentos que indican que se acompaña el condicionado general, se asume una entrega y recepción conforme, al no mediar reserva alguna.</w:t>
      </w:r>
    </w:p>
    <w:p w:rsidRPr="00231C58" w:rsidR="00231C58" w:rsidP="00231C58" w:rsidRDefault="00231C58" w14:paraId="048D5160" w14:textId="77777777">
      <w:pPr>
        <w:tabs>
          <w:tab w:val="left" w:pos="2160"/>
        </w:tabs>
        <w:spacing w:after="0" w:line="240" w:lineRule="auto"/>
        <w:jc w:val="both"/>
        <w:rPr>
          <w:rFonts w:ascii="Times New Roman" w:hAnsi="Times New Roman" w:cs="Times New Roman"/>
          <w:sz w:val="24"/>
          <w:szCs w:val="24"/>
          <w:lang w:val="es-PE"/>
        </w:rPr>
      </w:pPr>
    </w:p>
    <w:p w:rsidRPr="00231C58" w:rsidR="00231C58" w:rsidP="00231C58" w:rsidRDefault="00231C58" w14:paraId="3C778BD1" w14:textId="77777777">
      <w:pPr>
        <w:tabs>
          <w:tab w:val="left" w:pos="2160"/>
        </w:tabs>
        <w:spacing w:after="0" w:line="240" w:lineRule="auto"/>
        <w:jc w:val="both"/>
        <w:rPr>
          <w:rFonts w:ascii="Times New Roman" w:hAnsi="Times New Roman" w:cs="Times New Roman"/>
          <w:sz w:val="24"/>
          <w:szCs w:val="24"/>
          <w:lang w:val="es-PE"/>
        </w:rPr>
      </w:pPr>
      <w:r w:rsidRPr="00231C58">
        <w:rPr>
          <w:rFonts w:ascii="Times New Roman" w:hAnsi="Times New Roman" w:cs="Times New Roman"/>
          <w:sz w:val="24"/>
          <w:szCs w:val="24"/>
          <w:lang w:val="es-PE"/>
        </w:rPr>
        <w:t>No obstante, aplicando el criterio ya desarrollado en uniformes precedentes sobre la materia, para fines de determinar la legitimidad del rechazo, esta Defensoría verifica que el contrato contenga el régimen de exclusiones invocado, que dicho régimen haya sido puesto en efectivo conocimiento de la asegurada, y que se haya finalmente incurrido en el supuesto de hecho de la exclusión justificante del rechazo.  De no satisfacerse una de tales exigencias, se desestima el rechazo.  Dicho criterio, y las consecuencias de aplicarlo a un caso concreto, no corresponde a error alguno incurrido por esta Defensoría, dado que se pretende evitar que se generen situaciones de abuso o injusticia, dada la asimetría informativa existente entre aseguradora y asegurada, en especial cuando se está ante pólizas grupales o colectivas, en donde la parte asegurada no es contratante.</w:t>
      </w:r>
    </w:p>
    <w:p w:rsidRPr="00231C58" w:rsidR="00231C58" w:rsidP="00231C58" w:rsidRDefault="00231C58" w14:paraId="513BB6C1" w14:textId="77777777">
      <w:pPr>
        <w:tabs>
          <w:tab w:val="left" w:pos="2160"/>
        </w:tabs>
        <w:spacing w:after="0" w:line="240" w:lineRule="auto"/>
        <w:jc w:val="both"/>
        <w:rPr>
          <w:rFonts w:ascii="Times New Roman" w:hAnsi="Times New Roman" w:cs="Times New Roman"/>
          <w:sz w:val="24"/>
          <w:szCs w:val="24"/>
          <w:lang w:val="es-PE"/>
        </w:rPr>
      </w:pPr>
    </w:p>
    <w:p w:rsidRPr="00231C58" w:rsidR="00231C58" w:rsidP="00231C58" w:rsidRDefault="00231C58" w14:paraId="7ADEDE2E" w14:textId="26D47465">
      <w:pPr>
        <w:tabs>
          <w:tab w:val="left" w:pos="2160"/>
        </w:tabs>
        <w:spacing w:after="0" w:line="240" w:lineRule="auto"/>
        <w:jc w:val="both"/>
        <w:rPr>
          <w:rFonts w:ascii="Times New Roman" w:hAnsi="Times New Roman" w:cs="Times New Roman"/>
          <w:sz w:val="24"/>
          <w:szCs w:val="24"/>
          <w:lang w:val="es-PE"/>
        </w:rPr>
      </w:pPr>
      <w:r w:rsidRPr="2BF84261" w:rsidR="00231C58">
        <w:rPr>
          <w:rFonts w:ascii="Times New Roman" w:hAnsi="Times New Roman" w:cs="Times New Roman"/>
          <w:sz w:val="24"/>
          <w:szCs w:val="24"/>
          <w:lang w:val="es-PE"/>
        </w:rPr>
        <w:t xml:space="preserve">En su oportunidad, </w:t>
      </w:r>
      <w:r w:rsidRPr="2BF84261" w:rsidR="128FBC89">
        <w:rPr>
          <w:rFonts w:ascii="Times New Roman" w:hAnsi="Times New Roman" w:cs="Times New Roman"/>
          <w:sz w:val="24"/>
          <w:szCs w:val="24"/>
          <w:lang w:val="es-PE"/>
        </w:rPr>
        <w:t>................................</w:t>
      </w:r>
      <w:r w:rsidRPr="2BF84261" w:rsidR="00231C58">
        <w:rPr>
          <w:rFonts w:ascii="Times New Roman" w:hAnsi="Times New Roman" w:cs="Times New Roman"/>
          <w:sz w:val="24"/>
          <w:szCs w:val="24"/>
          <w:lang w:val="es-PE"/>
        </w:rPr>
        <w:t xml:space="preserve"> no presentó las condiciones generales que invoca para fines del rechazo; empero, esa omisión ha sido subsanada, verificándose que el contrato de seguro contiene efectivamente las exclusiones que fueron invocadas por </w:t>
      </w:r>
      <w:r w:rsidRPr="2BF84261" w:rsidR="0E63013A">
        <w:rPr>
          <w:rFonts w:ascii="Times New Roman" w:hAnsi="Times New Roman" w:cs="Times New Roman"/>
          <w:sz w:val="24"/>
          <w:szCs w:val="24"/>
          <w:lang w:val="es-PE"/>
        </w:rPr>
        <w:t>.......................................</w:t>
      </w:r>
      <w:r w:rsidRPr="2BF84261" w:rsidR="00231C58">
        <w:rPr>
          <w:rFonts w:ascii="Times New Roman" w:hAnsi="Times New Roman" w:cs="Times New Roman"/>
          <w:sz w:val="24"/>
          <w:szCs w:val="24"/>
          <w:lang w:val="es-PE"/>
        </w:rPr>
        <w:t xml:space="preserve"> para el rechazo.  Se deja constancia, la impertinencia de invocar la aplicación de las normas que regulan a los procedimientos administrativos, porque la DEFASEG es un organismo privado, siendo que su reglamento legitima a actuar con flexibilidad para que las partes ejerzan su derecho de defensa, sin perjuicio de lo señalado en el primer considerando de la presente resolución.</w:t>
      </w:r>
    </w:p>
    <w:p w:rsidRPr="00231C58" w:rsidR="00231C58" w:rsidP="00231C58" w:rsidRDefault="00231C58" w14:paraId="52FE8345" w14:textId="77777777">
      <w:pPr>
        <w:tabs>
          <w:tab w:val="left" w:pos="2160"/>
        </w:tabs>
        <w:spacing w:after="0" w:line="240" w:lineRule="auto"/>
        <w:jc w:val="both"/>
        <w:rPr>
          <w:rFonts w:ascii="Times New Roman" w:hAnsi="Times New Roman" w:cs="Times New Roman"/>
          <w:sz w:val="24"/>
          <w:szCs w:val="24"/>
          <w:lang w:val="es-PE"/>
        </w:rPr>
      </w:pPr>
    </w:p>
    <w:p w:rsidRPr="00231C58" w:rsidR="00231C58" w:rsidP="00231C58" w:rsidRDefault="00231C58" w14:paraId="08FED1F3" w14:textId="77777777">
      <w:pPr>
        <w:tabs>
          <w:tab w:val="left" w:pos="2160"/>
        </w:tabs>
        <w:spacing w:after="0" w:line="240" w:lineRule="auto"/>
        <w:jc w:val="both"/>
        <w:rPr>
          <w:rFonts w:ascii="Times New Roman" w:hAnsi="Times New Roman" w:cs="Times New Roman"/>
          <w:sz w:val="24"/>
          <w:szCs w:val="24"/>
          <w:lang w:val="es-PE"/>
        </w:rPr>
      </w:pPr>
      <w:r w:rsidRPr="00231C58">
        <w:rPr>
          <w:rFonts w:ascii="Times New Roman" w:hAnsi="Times New Roman" w:cs="Times New Roman"/>
          <w:sz w:val="24"/>
          <w:szCs w:val="24"/>
          <w:lang w:val="es-PE"/>
        </w:rPr>
        <w:t>En consecuencia, siendo que está probado que el contrato de seguro contiene el régimen de exclusiones invocado, que dicho régimen fue puesto en efectivo conocimiento de la asegurada, y que ésta incurrió en el supuesto de hecho de las exclusiones justificantes del rechazo, dado que los hechos no son controvertidos, debe concluirse que corresponde desestimarse finalmente la reclamación.</w:t>
      </w:r>
    </w:p>
    <w:p w:rsidRPr="00231C58" w:rsidR="00231C58" w:rsidP="00231C58" w:rsidRDefault="00231C58" w14:paraId="32C90FA0" w14:textId="77777777">
      <w:pPr>
        <w:tabs>
          <w:tab w:val="left" w:pos="2160"/>
        </w:tabs>
        <w:spacing w:after="0" w:line="240" w:lineRule="auto"/>
        <w:jc w:val="both"/>
        <w:rPr>
          <w:rFonts w:ascii="Times New Roman" w:hAnsi="Times New Roman" w:cs="Times New Roman"/>
          <w:sz w:val="24"/>
          <w:szCs w:val="24"/>
          <w:lang w:val="es-PE"/>
        </w:rPr>
      </w:pPr>
    </w:p>
    <w:p w:rsidRPr="00231C58" w:rsidR="00231C58" w:rsidP="00231C58" w:rsidRDefault="00231C58" w14:paraId="66693760" w14:textId="77777777">
      <w:pPr>
        <w:tabs>
          <w:tab w:val="left" w:pos="2160"/>
        </w:tabs>
        <w:spacing w:after="0" w:line="240" w:lineRule="auto"/>
        <w:jc w:val="both"/>
        <w:rPr>
          <w:rFonts w:ascii="Times New Roman" w:hAnsi="Times New Roman" w:cs="Times New Roman"/>
          <w:sz w:val="24"/>
          <w:szCs w:val="24"/>
          <w:lang w:val="es-ES"/>
        </w:rPr>
      </w:pPr>
      <w:r w:rsidRPr="00231C58">
        <w:rPr>
          <w:rFonts w:ascii="Times New Roman" w:hAnsi="Times New Roman" w:cs="Times New Roman"/>
          <w:sz w:val="24"/>
          <w:szCs w:val="24"/>
          <w:lang w:val="es-ES"/>
        </w:rPr>
        <w:t>En atención a las consideraciones precedentes, este colegiado aprecia que existe mérito y razón para revocar la resolución recurrida, al haberse subsanado la omisión incurrida por la aseguradora en su oportunidad; por lo tanto,</w:t>
      </w:r>
    </w:p>
    <w:p w:rsidRPr="00231C58" w:rsidR="00231C58" w:rsidP="00231C58" w:rsidRDefault="00231C58" w14:paraId="6D7E5E4D" w14:textId="77777777">
      <w:pPr>
        <w:spacing w:after="0" w:line="240" w:lineRule="auto"/>
        <w:jc w:val="both"/>
        <w:rPr>
          <w:rFonts w:ascii="Times New Roman" w:hAnsi="Times New Roman" w:eastAsia="Times New Roman" w:cs="Times New Roman"/>
          <w:bCs/>
          <w:sz w:val="24"/>
          <w:szCs w:val="24"/>
          <w:lang w:val="es-ES" w:eastAsia="ar-SA"/>
        </w:rPr>
      </w:pPr>
    </w:p>
    <w:p w:rsidRPr="00231C58" w:rsidR="00231C58" w:rsidP="00231C58" w:rsidRDefault="00231C58" w14:paraId="23F4968D" w14:textId="77777777">
      <w:pPr>
        <w:spacing w:after="0" w:line="240" w:lineRule="auto"/>
        <w:jc w:val="both"/>
        <w:rPr>
          <w:rFonts w:ascii="Times New Roman" w:hAnsi="Times New Roman" w:cs="Times New Roman"/>
          <w:b/>
          <w:sz w:val="24"/>
          <w:szCs w:val="24"/>
          <w:lang w:val="es-PE"/>
        </w:rPr>
      </w:pPr>
      <w:r w:rsidRPr="00231C58">
        <w:rPr>
          <w:rFonts w:ascii="Times New Roman" w:hAnsi="Times New Roman" w:cs="Times New Roman"/>
          <w:b/>
          <w:sz w:val="24"/>
          <w:szCs w:val="24"/>
          <w:lang w:val="es-PE"/>
        </w:rPr>
        <w:t>Atendiendo a lo expresado, conforme a su reglamento, este colegiado resuelve:</w:t>
      </w:r>
    </w:p>
    <w:p w:rsidRPr="00231C58" w:rsidR="00231C58" w:rsidP="00231C58" w:rsidRDefault="00231C58" w14:paraId="79406C52" w14:textId="77777777">
      <w:pPr>
        <w:spacing w:after="0" w:line="240" w:lineRule="auto"/>
        <w:jc w:val="both"/>
        <w:rPr>
          <w:rFonts w:ascii="Times New Roman" w:hAnsi="Times New Roman" w:eastAsia="Arial Unicode MS" w:cs="Times New Roman"/>
          <w:b/>
          <w:sz w:val="24"/>
          <w:szCs w:val="24"/>
          <w:lang w:val="es-PE"/>
        </w:rPr>
      </w:pPr>
    </w:p>
    <w:p w:rsidRPr="00231C58" w:rsidR="00231C58" w:rsidP="00231C58" w:rsidRDefault="00231C58" w14:paraId="37888278" w14:textId="10FF948D">
      <w:pPr>
        <w:spacing w:after="0" w:line="240" w:lineRule="auto"/>
        <w:jc w:val="both"/>
        <w:rPr>
          <w:rFonts w:ascii="Times New Roman" w:hAnsi="Times New Roman" w:eastAsia="Times New Roman" w:cs="Times New Roman"/>
          <w:sz w:val="24"/>
          <w:szCs w:val="24"/>
          <w:lang w:val="es-ES" w:eastAsia="ar-SA"/>
        </w:rPr>
      </w:pPr>
      <w:r w:rsidRPr="2BF84261" w:rsidR="00231C58">
        <w:rPr>
          <w:rFonts w:ascii="Times New Roman" w:hAnsi="Times New Roman" w:eastAsia="Arial Unicode MS" w:cs="Times New Roman"/>
          <w:b w:val="1"/>
          <w:bCs w:val="1"/>
          <w:sz w:val="24"/>
          <w:szCs w:val="24"/>
          <w:lang w:val="es-PE"/>
        </w:rPr>
        <w:t xml:space="preserve">Declarar FUNDADO el recurso impugnativo </w:t>
      </w:r>
      <w:r w:rsidRPr="2BF84261" w:rsidR="00231C58">
        <w:rPr>
          <w:rFonts w:ascii="Times New Roman" w:hAnsi="Times New Roman" w:eastAsia="Arial Unicode MS" w:cs="Times New Roman"/>
          <w:sz w:val="24"/>
          <w:szCs w:val="24"/>
          <w:lang w:val="es-PE"/>
        </w:rPr>
        <w:t xml:space="preserve">interpuesto por </w:t>
      </w:r>
      <w:r w:rsidRPr="2BF84261" w:rsidR="0E63013A">
        <w:rPr>
          <w:rFonts w:ascii="Times New Roman" w:hAnsi="Times New Roman" w:eastAsia="Arial Unicode MS" w:cs="Times New Roman"/>
          <w:sz w:val="24"/>
          <w:szCs w:val="24"/>
          <w:lang w:val="es-PE"/>
        </w:rPr>
        <w:t>.......................................</w:t>
      </w:r>
      <w:r w:rsidRPr="2BF84261" w:rsidR="00231C58">
        <w:rPr>
          <w:rFonts w:ascii="Times New Roman" w:hAnsi="Times New Roman" w:cs="Times New Roman"/>
          <w:sz w:val="24"/>
          <w:szCs w:val="24"/>
          <w:lang w:val="es-ES"/>
        </w:rPr>
        <w:t xml:space="preserve"> y, por consiguiente,</w:t>
      </w:r>
      <w:r w:rsidRPr="2BF84261" w:rsidR="00231C58">
        <w:rPr>
          <w:rFonts w:ascii="Times New Roman" w:hAnsi="Times New Roman" w:cs="Times New Roman"/>
          <w:sz w:val="24"/>
          <w:szCs w:val="24"/>
          <w:lang w:val="es-PE"/>
        </w:rPr>
        <w:t xml:space="preserve"> revocar la</w:t>
      </w:r>
      <w:r w:rsidRPr="2BF84261" w:rsidR="00231C58">
        <w:rPr>
          <w:rFonts w:ascii="Times New Roman" w:hAnsi="Times New Roman" w:eastAsia="Times New Roman" w:cs="Times New Roman"/>
          <w:sz w:val="24"/>
          <w:szCs w:val="24"/>
          <w:lang w:val="es-ES" w:eastAsia="ar-SA"/>
        </w:rPr>
        <w:t xml:space="preserve"> Resolución Nro. 122/20, del 14 de diciembre de 2020, </w:t>
      </w:r>
      <w:r w:rsidRPr="2BF84261" w:rsidR="00231C58">
        <w:rPr>
          <w:rFonts w:ascii="Times New Roman" w:hAnsi="Times New Roman" w:cs="Times New Roman"/>
          <w:sz w:val="24"/>
          <w:szCs w:val="24"/>
          <w:lang w:val="es-PE"/>
        </w:rPr>
        <w:t>dejando a salvo el derecho de la reclamante de recurrir a las instancias que estime pertinentes.</w:t>
      </w:r>
    </w:p>
    <w:p w:rsidR="00527B27" w:rsidP="00527B27" w:rsidRDefault="00527B27" w14:paraId="4E8FFBA4" w14:textId="54E64EC7">
      <w:pPr>
        <w:suppressAutoHyphens/>
        <w:spacing w:after="0" w:line="240" w:lineRule="auto"/>
        <w:jc w:val="right"/>
        <w:outlineLvl w:val="0"/>
        <w:rPr>
          <w:rFonts w:ascii="Times New Roman" w:hAnsi="Times New Roman" w:eastAsia="Arial Unicode MS" w:cs="Times New Roman"/>
          <w:sz w:val="24"/>
          <w:szCs w:val="24"/>
          <w:lang w:val="es-ES" w:eastAsia="ar-SA"/>
        </w:rPr>
      </w:pPr>
    </w:p>
    <w:p w:rsidRPr="00231C58" w:rsidR="00231C58" w:rsidP="00527B27" w:rsidRDefault="00231C58" w14:paraId="2269147E" w14:textId="77777777">
      <w:pPr>
        <w:suppressAutoHyphens/>
        <w:spacing w:after="0" w:line="240" w:lineRule="auto"/>
        <w:jc w:val="right"/>
        <w:outlineLvl w:val="0"/>
        <w:rPr>
          <w:rFonts w:ascii="Times New Roman" w:hAnsi="Times New Roman" w:eastAsia="Arial Unicode MS" w:cs="Times New Roman"/>
          <w:sz w:val="24"/>
          <w:szCs w:val="24"/>
          <w:lang w:val="es-ES" w:eastAsia="ar-SA"/>
        </w:rPr>
      </w:pPr>
    </w:p>
    <w:p w:rsidRPr="00231C58" w:rsidR="00077B6F" w:rsidP="00C671F5" w:rsidRDefault="0091528B" w14:paraId="78A39B5B" w14:textId="2721E75E">
      <w:pPr>
        <w:suppressAutoHyphens/>
        <w:spacing w:after="0" w:line="240" w:lineRule="auto"/>
        <w:jc w:val="right"/>
        <w:outlineLvl w:val="0"/>
        <w:rPr>
          <w:rFonts w:ascii="Times New Roman" w:hAnsi="Times New Roman" w:eastAsia="Arial Unicode MS" w:cs="Times New Roman"/>
          <w:sz w:val="24"/>
          <w:szCs w:val="24"/>
          <w:lang w:val="es-ES" w:eastAsia="ar-SA"/>
        </w:rPr>
      </w:pPr>
      <w:r w:rsidRPr="00231C58">
        <w:rPr>
          <w:rFonts w:ascii="Times New Roman" w:hAnsi="Times New Roman" w:eastAsia="Arial Unicode MS" w:cs="Times New Roman"/>
          <w:sz w:val="24"/>
          <w:szCs w:val="24"/>
          <w:lang w:val="es-ES" w:eastAsia="ar-SA"/>
        </w:rPr>
        <w:t xml:space="preserve">Lima, </w:t>
      </w:r>
      <w:r w:rsidR="00231C58">
        <w:rPr>
          <w:rFonts w:ascii="Times New Roman" w:hAnsi="Times New Roman" w:eastAsia="Arial Unicode MS" w:cs="Times New Roman"/>
          <w:sz w:val="24"/>
          <w:szCs w:val="24"/>
          <w:lang w:val="es-ES" w:eastAsia="ar-SA"/>
        </w:rPr>
        <w:t>21</w:t>
      </w:r>
      <w:r w:rsidRPr="00231C58" w:rsidR="00707C99">
        <w:rPr>
          <w:rFonts w:ascii="Times New Roman" w:hAnsi="Times New Roman" w:eastAsia="Arial Unicode MS" w:cs="Times New Roman"/>
          <w:sz w:val="24"/>
          <w:szCs w:val="24"/>
          <w:lang w:val="es-ES" w:eastAsia="ar-SA"/>
        </w:rPr>
        <w:t xml:space="preserve"> de </w:t>
      </w:r>
      <w:r w:rsidR="00231C58">
        <w:rPr>
          <w:rFonts w:ascii="Times New Roman" w:hAnsi="Times New Roman" w:eastAsia="Arial Unicode MS" w:cs="Times New Roman"/>
          <w:sz w:val="24"/>
          <w:szCs w:val="24"/>
          <w:lang w:val="es-ES" w:eastAsia="ar-SA"/>
        </w:rPr>
        <w:t>enero</w:t>
      </w:r>
      <w:r w:rsidRPr="00231C58" w:rsidR="00F06498">
        <w:rPr>
          <w:rFonts w:ascii="Times New Roman" w:hAnsi="Times New Roman" w:eastAsia="Arial Unicode MS" w:cs="Times New Roman"/>
          <w:sz w:val="24"/>
          <w:szCs w:val="24"/>
          <w:lang w:val="es-ES" w:eastAsia="ar-SA"/>
        </w:rPr>
        <w:t xml:space="preserve"> de 202</w:t>
      </w:r>
      <w:r w:rsidR="00231C58">
        <w:rPr>
          <w:rFonts w:ascii="Times New Roman" w:hAnsi="Times New Roman" w:eastAsia="Arial Unicode MS" w:cs="Times New Roman"/>
          <w:sz w:val="24"/>
          <w:szCs w:val="24"/>
          <w:lang w:val="es-ES" w:eastAsia="ar-SA"/>
        </w:rPr>
        <w:t>1</w:t>
      </w:r>
      <w:r w:rsidRPr="00231C58" w:rsidR="00707C99">
        <w:rPr>
          <w:rFonts w:ascii="Times New Roman" w:hAnsi="Times New Roman" w:eastAsia="Times New Roman" w:cs="Times New Roman"/>
          <w:sz w:val="24"/>
          <w:szCs w:val="24"/>
          <w:lang w:val="es-MX" w:eastAsia="ar-SA"/>
        </w:rPr>
        <w:t xml:space="preserve"> </w:t>
      </w:r>
    </w:p>
    <w:p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ES" w:eastAsia="ar-SA"/>
        </w:rPr>
      </w:pPr>
    </w:p>
    <w:p w:rsidRPr="00744447"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MX" w:eastAsia="ar-SA"/>
        </w:rPr>
      </w:pPr>
    </w:p>
    <w:p w:rsidRPr="00744447" w:rsidR="00C671F5" w:rsidP="00C671F5" w:rsidRDefault="00C671F5" w14:paraId="7BC448E0" w14:textId="77777777">
      <w:pPr>
        <w:spacing w:after="0" w:line="240" w:lineRule="auto"/>
        <w:jc w:val="both"/>
        <w:rPr>
          <w:rFonts w:ascii="Times New Roman" w:hAnsi="Times New Roman" w:cs="Times New Roman"/>
          <w:b/>
          <w:bCs/>
          <w:i/>
          <w:iCs/>
          <w:sz w:val="24"/>
          <w:szCs w:val="24"/>
          <w:lang w:val="es-ES_tradnl"/>
        </w:rPr>
      </w:pPr>
      <w:r w:rsidRPr="00744447">
        <w:rPr>
          <w:rFonts w:ascii="Times New Roman" w:hAnsi="Times New Roman" w:cs="Times New Roman"/>
          <w:b/>
          <w:bCs/>
          <w:i/>
          <w:iCs/>
          <w:sz w:val="24"/>
          <w:szCs w:val="24"/>
          <w:lang w:val="es-ES_tradnl"/>
        </w:rPr>
        <w:t>La Secretaría Técnica certifica que la presente resolución cuenta con el voto de los vocales cuyos nombres figuran en el presente documento.</w:t>
      </w:r>
    </w:p>
    <w:p w:rsidRPr="00744447" w:rsidR="00C671F5" w:rsidP="00C671F5" w:rsidRDefault="00C671F5" w14:paraId="342CC185" w14:textId="77777777">
      <w:pPr>
        <w:spacing w:after="0" w:line="360" w:lineRule="auto"/>
        <w:jc w:val="both"/>
        <w:rPr>
          <w:rFonts w:ascii="Times New Roman" w:hAnsi="Times New Roman" w:cs="Times New Roman"/>
          <w:b/>
          <w:bCs/>
          <w:i/>
          <w:iCs/>
          <w:sz w:val="24"/>
          <w:szCs w:val="24"/>
          <w:lang w:val="es-ES_tradnl"/>
        </w:rPr>
      </w:pPr>
    </w:p>
    <w:p w:rsidRPr="00744447" w:rsidR="00C671F5" w:rsidP="00C671F5" w:rsidRDefault="00C671F5" w14:paraId="3408E6CE" w14:textId="77777777">
      <w:pPr>
        <w:spacing w:after="0" w:line="360" w:lineRule="auto"/>
        <w:jc w:val="both"/>
        <w:rPr>
          <w:rFonts w:ascii="Times New Roman" w:hAnsi="Times New Roman" w:cs="Times New Roman"/>
          <w:b/>
          <w:bCs/>
          <w:i/>
          <w:iCs/>
          <w:sz w:val="24"/>
          <w:szCs w:val="24"/>
          <w:lang w:val="es-ES_tradnl"/>
        </w:rPr>
      </w:pPr>
    </w:p>
    <w:p w:rsidRPr="00744447" w:rsidR="00C671F5" w:rsidP="00C671F5" w:rsidRDefault="00231C58" w14:paraId="548B3E5B" w14:textId="47A8BA49">
      <w:pPr>
        <w:spacing w:after="0" w:line="360" w:lineRule="auto"/>
        <w:jc w:val="center"/>
        <w:rPr>
          <w:rFonts w:ascii="Times New Roman" w:hAnsi="Times New Roman" w:cs="Times New Roman"/>
          <w:b/>
          <w:bCs/>
          <w:sz w:val="24"/>
          <w:szCs w:val="24"/>
        </w:rPr>
      </w:pPr>
      <w:r w:rsidRPr="00744447">
        <w:rPr>
          <w:rFonts w:ascii="Times New Roman" w:hAnsi="Times New Roman" w:cs="Times New Roman"/>
          <w:b/>
          <w:bCs/>
          <w:sz w:val="24"/>
          <w:szCs w:val="24"/>
        </w:rPr>
        <w:t>María Eugenia Valdez Fernández Baca</w:t>
      </w:r>
      <w:r w:rsidRPr="00744447">
        <w:rPr>
          <w:rFonts w:ascii="Times New Roman" w:hAnsi="Times New Roman" w:cs="Times New Roman"/>
          <w:b/>
          <w:bCs/>
          <w:sz w:val="24"/>
          <w:szCs w:val="24"/>
        </w:rPr>
        <w:t xml:space="preserve"> </w:t>
      </w:r>
      <w:r w:rsidRPr="00744447" w:rsidR="00C671F5">
        <w:rPr>
          <w:rFonts w:ascii="Times New Roman" w:hAnsi="Times New Roman" w:cs="Times New Roman"/>
          <w:b/>
          <w:bCs/>
          <w:sz w:val="24"/>
          <w:szCs w:val="24"/>
        </w:rPr>
        <w:t xml:space="preserve">– </w:t>
      </w:r>
      <w:proofErr w:type="spellStart"/>
      <w:r w:rsidRPr="00744447" w:rsidR="00C671F5">
        <w:rPr>
          <w:rFonts w:ascii="Times New Roman" w:hAnsi="Times New Roman" w:cs="Times New Roman"/>
          <w:b/>
          <w:bCs/>
          <w:sz w:val="24"/>
          <w:szCs w:val="24"/>
        </w:rPr>
        <w:t>Presidente</w:t>
      </w:r>
      <w:proofErr w:type="spellEnd"/>
    </w:p>
    <w:p w:rsidRPr="00744447" w:rsidR="00C671F5" w:rsidP="00C671F5" w:rsidRDefault="00231C58" w14:paraId="7CE41ADF" w14:textId="69B108BA">
      <w:pPr>
        <w:spacing w:after="0" w:line="360" w:lineRule="auto"/>
        <w:jc w:val="center"/>
        <w:rPr>
          <w:rFonts w:ascii="Times New Roman" w:hAnsi="Times New Roman" w:cs="Times New Roman"/>
          <w:b/>
          <w:bCs/>
          <w:sz w:val="24"/>
          <w:szCs w:val="24"/>
        </w:rPr>
      </w:pPr>
      <w:r w:rsidRPr="00744447">
        <w:rPr>
          <w:rFonts w:ascii="Times New Roman" w:hAnsi="Times New Roman" w:cs="Times New Roman"/>
          <w:b/>
          <w:bCs/>
          <w:sz w:val="24"/>
          <w:szCs w:val="24"/>
        </w:rPr>
        <w:t xml:space="preserve">Rolando Eyzaguirre </w:t>
      </w:r>
      <w:proofErr w:type="spellStart"/>
      <w:r w:rsidRPr="00744447">
        <w:rPr>
          <w:rFonts w:ascii="Times New Roman" w:hAnsi="Times New Roman" w:cs="Times New Roman"/>
          <w:b/>
          <w:bCs/>
          <w:sz w:val="24"/>
          <w:szCs w:val="24"/>
        </w:rPr>
        <w:t>Maccan</w:t>
      </w:r>
      <w:proofErr w:type="spellEnd"/>
      <w:r w:rsidRPr="00744447">
        <w:rPr>
          <w:rFonts w:ascii="Times New Roman" w:hAnsi="Times New Roman" w:cs="Times New Roman"/>
          <w:b/>
          <w:bCs/>
          <w:sz w:val="24"/>
          <w:szCs w:val="24"/>
        </w:rPr>
        <w:t xml:space="preserve"> </w:t>
      </w:r>
      <w:r w:rsidRPr="00744447" w:rsidR="00C671F5">
        <w:rPr>
          <w:rFonts w:ascii="Times New Roman" w:hAnsi="Times New Roman" w:cs="Times New Roman"/>
          <w:b/>
          <w:bCs/>
          <w:sz w:val="24"/>
          <w:szCs w:val="24"/>
        </w:rPr>
        <w:t>– Vocal</w:t>
      </w:r>
    </w:p>
    <w:p w:rsidRPr="00744447" w:rsidR="00C671F5" w:rsidP="00C671F5" w:rsidRDefault="00C671F5" w14:paraId="55E7D9D7" w14:textId="77777777">
      <w:pPr>
        <w:spacing w:after="0" w:line="360" w:lineRule="auto"/>
        <w:jc w:val="center"/>
        <w:rPr>
          <w:rFonts w:ascii="Times New Roman" w:hAnsi="Times New Roman" w:cs="Times New Roman"/>
          <w:b/>
          <w:bCs/>
          <w:sz w:val="24"/>
          <w:szCs w:val="24"/>
        </w:rPr>
      </w:pPr>
      <w:r w:rsidRPr="00744447">
        <w:rPr>
          <w:rFonts w:ascii="Times New Roman" w:hAnsi="Times New Roman" w:cs="Times New Roman"/>
          <w:b/>
          <w:bCs/>
          <w:sz w:val="24"/>
          <w:szCs w:val="24"/>
        </w:rPr>
        <w:t>Marco Antonio Ortega Piana – Vocal</w:t>
      </w:r>
    </w:p>
    <w:p w:rsidRPr="00744447" w:rsidR="00C671F5" w:rsidP="00C671F5" w:rsidRDefault="00C671F5" w14:paraId="3A9CFE9F" w14:textId="4DFF4426">
      <w:pPr>
        <w:spacing w:after="0" w:line="360" w:lineRule="auto"/>
        <w:jc w:val="center"/>
        <w:rPr>
          <w:rFonts w:ascii="Times New Roman" w:hAnsi="Times New Roman" w:cs="Times New Roman"/>
          <w:sz w:val="24"/>
          <w:szCs w:val="24"/>
          <w:lang w:val="es-MX"/>
        </w:rPr>
      </w:pPr>
      <w:r w:rsidRPr="00744447">
        <w:rPr>
          <w:rFonts w:ascii="Times New Roman" w:hAnsi="Times New Roman" w:cs="Times New Roman"/>
          <w:b/>
          <w:bCs/>
          <w:sz w:val="24"/>
          <w:szCs w:val="24"/>
        </w:rPr>
        <w:t xml:space="preserve">Gonzalo Abad del Busto </w:t>
      </w:r>
      <w:r w:rsidRPr="00744447" w:rsidR="00231C58">
        <w:rPr>
          <w:rFonts w:ascii="Times New Roman" w:hAnsi="Times New Roman" w:cs="Times New Roman"/>
          <w:b/>
          <w:bCs/>
          <w:sz w:val="24"/>
          <w:szCs w:val="24"/>
        </w:rPr>
        <w:t xml:space="preserve">– </w:t>
      </w:r>
      <w:r w:rsidRPr="00744447">
        <w:rPr>
          <w:rFonts w:ascii="Times New Roman" w:hAnsi="Times New Roman" w:cs="Times New Roman"/>
          <w:b/>
          <w:bCs/>
          <w:sz w:val="24"/>
          <w:szCs w:val="24"/>
        </w:rPr>
        <w:t>Vocal</w:t>
      </w:r>
    </w:p>
    <w:p w:rsidRPr="000114A5" w:rsidR="00C671F5" w:rsidP="00C671F5" w:rsidRDefault="00C671F5" w14:paraId="33E0FAB8" w14:textId="77777777">
      <w:pPr>
        <w:suppressAutoHyphens/>
        <w:spacing w:after="0" w:line="360" w:lineRule="auto"/>
        <w:outlineLvl w:val="0"/>
        <w:rPr>
          <w:rFonts w:ascii="Times New Roman" w:hAnsi="Times New Roman" w:eastAsia="Arial Unicode MS" w:cs="Times New Roman"/>
          <w:lang w:val="es-ES" w:eastAsia="ar-SA"/>
        </w:rPr>
      </w:pPr>
    </w:p>
    <w:p w:rsidRPr="00C671F5"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C671F5"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C5A91" w:rsidP="00784355" w:rsidRDefault="004C5A91" w14:paraId="3299C723" w14:textId="77777777">
      <w:pPr>
        <w:spacing w:after="0" w:line="240" w:lineRule="auto"/>
      </w:pPr>
      <w:r>
        <w:separator/>
      </w:r>
    </w:p>
  </w:endnote>
  <w:endnote w:type="continuationSeparator" w:id="0">
    <w:p w:rsidR="004C5A91" w:rsidP="00784355" w:rsidRDefault="004C5A91" w14:paraId="5B6BB61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C5A91" w:rsidP="00784355" w:rsidRDefault="004C5A91" w14:paraId="29FE65A4" w14:textId="77777777">
      <w:pPr>
        <w:spacing w:after="0" w:line="240" w:lineRule="auto"/>
      </w:pPr>
      <w:r>
        <w:separator/>
      </w:r>
    </w:p>
  </w:footnote>
  <w:footnote w:type="continuationSeparator" w:id="0">
    <w:p w:rsidR="004C5A91" w:rsidP="00784355" w:rsidRDefault="004C5A91" w14:paraId="2583167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10987"/>
    <w:rsid w:val="00013057"/>
    <w:rsid w:val="000159CC"/>
    <w:rsid w:val="00015C22"/>
    <w:rsid w:val="000167E0"/>
    <w:rsid w:val="000235E9"/>
    <w:rsid w:val="0002637D"/>
    <w:rsid w:val="0002733C"/>
    <w:rsid w:val="00027978"/>
    <w:rsid w:val="0004480C"/>
    <w:rsid w:val="00053D16"/>
    <w:rsid w:val="00056D9F"/>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F6340"/>
    <w:rsid w:val="0011308C"/>
    <w:rsid w:val="00125B9B"/>
    <w:rsid w:val="001320DF"/>
    <w:rsid w:val="00136E12"/>
    <w:rsid w:val="001373AF"/>
    <w:rsid w:val="001377EF"/>
    <w:rsid w:val="00150874"/>
    <w:rsid w:val="001508BC"/>
    <w:rsid w:val="001529FE"/>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41719"/>
    <w:rsid w:val="00243F6B"/>
    <w:rsid w:val="0027261F"/>
    <w:rsid w:val="00272F4F"/>
    <w:rsid w:val="0027301E"/>
    <w:rsid w:val="00274985"/>
    <w:rsid w:val="002768C6"/>
    <w:rsid w:val="00276A92"/>
    <w:rsid w:val="00277667"/>
    <w:rsid w:val="00290CA4"/>
    <w:rsid w:val="002A31D3"/>
    <w:rsid w:val="002A7E2E"/>
    <w:rsid w:val="002B726E"/>
    <w:rsid w:val="002C2A0F"/>
    <w:rsid w:val="002D0DB0"/>
    <w:rsid w:val="002D3B01"/>
    <w:rsid w:val="002E1221"/>
    <w:rsid w:val="002E17F9"/>
    <w:rsid w:val="002F09CA"/>
    <w:rsid w:val="002F35F0"/>
    <w:rsid w:val="003045E3"/>
    <w:rsid w:val="0032132E"/>
    <w:rsid w:val="00340E4B"/>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7E23"/>
    <w:rsid w:val="00425F75"/>
    <w:rsid w:val="00440BC2"/>
    <w:rsid w:val="00444232"/>
    <w:rsid w:val="00460C30"/>
    <w:rsid w:val="00465FB9"/>
    <w:rsid w:val="00466302"/>
    <w:rsid w:val="0047370C"/>
    <w:rsid w:val="0047522D"/>
    <w:rsid w:val="00476BA1"/>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7EE5"/>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6942"/>
    <w:rsid w:val="00A17A72"/>
    <w:rsid w:val="00A25F51"/>
    <w:rsid w:val="00A30393"/>
    <w:rsid w:val="00A32246"/>
    <w:rsid w:val="00A328C0"/>
    <w:rsid w:val="00A3714C"/>
    <w:rsid w:val="00A427D6"/>
    <w:rsid w:val="00A46E96"/>
    <w:rsid w:val="00A62BEC"/>
    <w:rsid w:val="00A658C1"/>
    <w:rsid w:val="00A734AD"/>
    <w:rsid w:val="00A837A0"/>
    <w:rsid w:val="00A90926"/>
    <w:rsid w:val="00A97287"/>
    <w:rsid w:val="00AA2DED"/>
    <w:rsid w:val="00AB1C66"/>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56C4"/>
    <w:rsid w:val="00BB2152"/>
    <w:rsid w:val="00BB2BE0"/>
    <w:rsid w:val="00BB405B"/>
    <w:rsid w:val="00BC29D0"/>
    <w:rsid w:val="00BD797F"/>
    <w:rsid w:val="00BE1470"/>
    <w:rsid w:val="00BE7C72"/>
    <w:rsid w:val="00BF1421"/>
    <w:rsid w:val="00BF414E"/>
    <w:rsid w:val="00BF78BF"/>
    <w:rsid w:val="00C00BBF"/>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376B"/>
    <w:rsid w:val="00C9581A"/>
    <w:rsid w:val="00C960BE"/>
    <w:rsid w:val="00C9791B"/>
    <w:rsid w:val="00CA3682"/>
    <w:rsid w:val="00CB44BB"/>
    <w:rsid w:val="00CC4AEF"/>
    <w:rsid w:val="00CC6C0C"/>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E38F0"/>
    <w:rsid w:val="00FE43A9"/>
    <w:rsid w:val="00FF41F3"/>
    <w:rsid w:val="0E63013A"/>
    <w:rsid w:val="128FBC89"/>
    <w:rsid w:val="1AABCD49"/>
    <w:rsid w:val="2BF84261"/>
    <w:rsid w:val="698C8A84"/>
    <w:rsid w:val="6BE79B10"/>
    <w:rsid w:val="76F47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3C28E58B-0000-4B0C-B74B-00EC9555C9E9}"/>
</file>

<file path=customXml/itemProps3.xml><?xml version="1.0" encoding="utf-8"?>
<ds:datastoreItem xmlns:ds="http://schemas.openxmlformats.org/officeDocument/2006/customXml" ds:itemID="{2E34023C-825B-448A-8190-666BA5A5546E}"/>
</file>

<file path=customXml/itemProps4.xml><?xml version="1.0" encoding="utf-8"?>
<ds:datastoreItem xmlns:ds="http://schemas.openxmlformats.org/officeDocument/2006/customXml" ds:itemID="{763E9623-A66F-4B47-8C63-3FA22C58D16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6</cp:revision>
  <cp:lastPrinted>2021-01-22T14:42:00Z</cp:lastPrinted>
  <dcterms:created xsi:type="dcterms:W3CDTF">2020-12-18T20:17:00Z</dcterms:created>
  <dcterms:modified xsi:type="dcterms:W3CDTF">2026-01-26T21:58:11Z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