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D0DFE" w:rsidR="00707C99" w:rsidP="00272F4F" w:rsidRDefault="00201C0D" w14:paraId="19FE0E96" w14:textId="4F008E08">
      <w:pPr>
        <w:spacing w:after="0" w:line="240" w:lineRule="auto"/>
        <w:jc w:val="center"/>
        <w:rPr>
          <w:rFonts w:ascii="Times New Roman" w:hAnsi="Times New Roman" w:cs="Times New Roman"/>
          <w:b/>
          <w:sz w:val="24"/>
          <w:szCs w:val="24"/>
          <w:lang w:val="es-PE" w:eastAsia="ar-SA"/>
        </w:rPr>
      </w:pPr>
      <w:r w:rsidRPr="000D0DFE">
        <w:rPr>
          <w:rFonts w:ascii="Times New Roman" w:hAnsi="Times New Roman" w:cs="Times New Roman"/>
          <w:b/>
          <w:sz w:val="24"/>
          <w:szCs w:val="24"/>
          <w:lang w:val="es-PE" w:eastAsia="ar-SA"/>
        </w:rPr>
        <w:t xml:space="preserve">RESOLUCIÓN DE RECURSO IMPUGNATIVO </w:t>
      </w:r>
      <w:proofErr w:type="spellStart"/>
      <w:r w:rsidRPr="000D0DFE" w:rsidR="00707C99">
        <w:rPr>
          <w:rFonts w:ascii="Times New Roman" w:hAnsi="Times New Roman" w:cs="Times New Roman"/>
          <w:b/>
          <w:sz w:val="24"/>
          <w:szCs w:val="24"/>
          <w:lang w:val="es-PE" w:eastAsia="ar-SA"/>
        </w:rPr>
        <w:t>N°</w:t>
      </w:r>
      <w:proofErr w:type="spellEnd"/>
      <w:r w:rsidRPr="000D0DFE" w:rsidR="00707C99">
        <w:rPr>
          <w:rFonts w:ascii="Times New Roman" w:hAnsi="Times New Roman" w:cs="Times New Roman"/>
          <w:b/>
          <w:sz w:val="24"/>
          <w:szCs w:val="24"/>
          <w:lang w:val="es-PE" w:eastAsia="ar-SA"/>
        </w:rPr>
        <w:t xml:space="preserve"> </w:t>
      </w:r>
      <w:r w:rsidRPr="000D0DFE" w:rsidR="00C671F5">
        <w:rPr>
          <w:rFonts w:ascii="Times New Roman" w:hAnsi="Times New Roman" w:cs="Times New Roman"/>
          <w:b/>
          <w:sz w:val="24"/>
          <w:szCs w:val="24"/>
          <w:lang w:val="es-PE" w:eastAsia="ar-SA"/>
        </w:rPr>
        <w:t>0</w:t>
      </w:r>
      <w:r w:rsidRPr="000D0DFE" w:rsidR="00231C58">
        <w:rPr>
          <w:rFonts w:ascii="Times New Roman" w:hAnsi="Times New Roman" w:cs="Times New Roman"/>
          <w:b/>
          <w:sz w:val="24"/>
          <w:szCs w:val="24"/>
          <w:lang w:val="es-PE" w:eastAsia="ar-SA"/>
        </w:rPr>
        <w:t>0</w:t>
      </w:r>
      <w:r w:rsidRPr="000D0DFE" w:rsidR="000D0DFE">
        <w:rPr>
          <w:rFonts w:ascii="Times New Roman" w:hAnsi="Times New Roman" w:cs="Times New Roman"/>
          <w:b/>
          <w:sz w:val="24"/>
          <w:szCs w:val="24"/>
          <w:lang w:val="es-PE" w:eastAsia="ar-SA"/>
        </w:rPr>
        <w:t>3</w:t>
      </w:r>
      <w:r w:rsidRPr="000D0DFE" w:rsidR="00C671F5">
        <w:rPr>
          <w:rFonts w:ascii="Times New Roman" w:hAnsi="Times New Roman" w:cs="Times New Roman"/>
          <w:b/>
          <w:sz w:val="24"/>
          <w:szCs w:val="24"/>
          <w:lang w:val="es-PE" w:eastAsia="ar-SA"/>
        </w:rPr>
        <w:t>/2</w:t>
      </w:r>
      <w:r w:rsidRPr="000D0DFE" w:rsidR="00231C58">
        <w:rPr>
          <w:rFonts w:ascii="Times New Roman" w:hAnsi="Times New Roman" w:cs="Times New Roman"/>
          <w:b/>
          <w:sz w:val="24"/>
          <w:szCs w:val="24"/>
          <w:lang w:val="es-PE" w:eastAsia="ar-SA"/>
        </w:rPr>
        <w:t>1</w:t>
      </w:r>
    </w:p>
    <w:p w:rsidRPr="000D0DFE"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PE" w:eastAsia="ar-SA"/>
        </w:rPr>
      </w:pPr>
    </w:p>
    <w:p w:rsidRPr="000D0DFE"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PE" w:eastAsia="ar-SA"/>
        </w:rPr>
      </w:pPr>
    </w:p>
    <w:p w:rsidRPr="000D0DFE" w:rsidR="000D0DFE" w:rsidP="000D0DFE" w:rsidRDefault="000D0DFE" w14:paraId="2085316D" w14:textId="77777777">
      <w:pPr>
        <w:jc w:val="both"/>
        <w:outlineLvl w:val="0"/>
        <w:rPr>
          <w:rFonts w:ascii="Times New Roman" w:hAnsi="Times New Roman" w:cs="Times New Roman"/>
          <w:b/>
          <w:bCs/>
          <w:sz w:val="24"/>
          <w:szCs w:val="24"/>
          <w:lang w:val="es-PE"/>
        </w:rPr>
      </w:pPr>
      <w:r w:rsidRPr="000D0DFE">
        <w:rPr>
          <w:rFonts w:ascii="Times New Roman" w:hAnsi="Times New Roman" w:cs="Times New Roman"/>
          <w:b/>
          <w:bCs/>
          <w:sz w:val="24"/>
          <w:szCs w:val="24"/>
          <w:lang w:val="es-PE"/>
        </w:rPr>
        <w:t>VISTOS:</w:t>
      </w:r>
    </w:p>
    <w:p w:rsidRPr="000D0DFE" w:rsidR="000D0DFE" w:rsidP="000D0DFE" w:rsidRDefault="000D0DFE" w14:paraId="30C5F5FE" w14:textId="77777777">
      <w:pPr>
        <w:jc w:val="both"/>
        <w:rPr>
          <w:rFonts w:ascii="Times New Roman" w:hAnsi="Times New Roman" w:cs="Times New Roman"/>
          <w:b/>
          <w:bCs/>
          <w:sz w:val="24"/>
          <w:szCs w:val="24"/>
          <w:lang w:val="es-PE"/>
        </w:rPr>
      </w:pPr>
    </w:p>
    <w:p w:rsidRPr="000D0DFE" w:rsidR="000D0DFE" w:rsidP="000D0DFE" w:rsidRDefault="000D0DFE" w14:paraId="357AF17B" w14:textId="4B2636E0">
      <w:pPr>
        <w:jc w:val="both"/>
        <w:rPr>
          <w:rFonts w:ascii="Times New Roman" w:hAnsi="Times New Roman" w:cs="Times New Roman"/>
          <w:sz w:val="24"/>
          <w:szCs w:val="24"/>
          <w:lang w:val="es-PE"/>
        </w:rPr>
      </w:pPr>
      <w:r w:rsidRPr="2C2EAC9D" w:rsidR="000D0DFE">
        <w:rPr>
          <w:rFonts w:ascii="Times New Roman" w:hAnsi="Times New Roman" w:cs="Times New Roman"/>
          <w:sz w:val="24"/>
          <w:szCs w:val="24"/>
          <w:lang w:val="es-PE"/>
        </w:rPr>
        <w:t xml:space="preserve">El recurso de impugnación presentado por </w:t>
      </w:r>
      <w:r w:rsidRPr="2C2EAC9D" w:rsidR="3B498760">
        <w:rPr>
          <w:rFonts w:ascii="Times New Roman" w:hAnsi="Times New Roman" w:cs="Times New Roman"/>
          <w:sz w:val="24"/>
          <w:szCs w:val="24"/>
          <w:lang w:val="es-PE"/>
        </w:rPr>
        <w:t>.......................................</w:t>
      </w:r>
      <w:r w:rsidRPr="2C2EAC9D" w:rsidR="000D0DFE">
        <w:rPr>
          <w:rFonts w:ascii="Times New Roman" w:hAnsi="Times New Roman" w:cs="Times New Roman"/>
          <w:sz w:val="24"/>
          <w:szCs w:val="24"/>
          <w:lang w:val="es-PE"/>
        </w:rPr>
        <w:t xml:space="preserve"> respecto de la Resolución Nro. 086/2020, expedida por esta Defensoría del Asegurado (DEFASEG), conforme a la cual se declaró FUNDADA la reclamación interpuesta por </w:t>
      </w:r>
      <w:r w:rsidRPr="2C2EAC9D" w:rsidR="714E9A32">
        <w:rPr>
          <w:rFonts w:ascii="Times New Roman" w:hAnsi="Times New Roman" w:cs="Times New Roman"/>
          <w:sz w:val="24"/>
          <w:szCs w:val="24"/>
          <w:lang w:val="es-PE"/>
        </w:rPr>
        <w:t>...................................................</w:t>
      </w:r>
      <w:r w:rsidRPr="2C2EAC9D" w:rsidR="000D0DFE">
        <w:rPr>
          <w:rFonts w:ascii="Times New Roman" w:hAnsi="Times New Roman" w:cs="Times New Roman"/>
          <w:sz w:val="24"/>
          <w:szCs w:val="24"/>
          <w:lang w:val="es-PE"/>
        </w:rPr>
        <w:t xml:space="preserve"> respecto al </w:t>
      </w:r>
      <w:r w:rsidRPr="2C2EAC9D" w:rsidR="000D0DFE">
        <w:rPr>
          <w:rFonts w:ascii="Times New Roman" w:hAnsi="Times New Roman" w:cs="Times New Roman"/>
          <w:sz w:val="24"/>
          <w:szCs w:val="24"/>
          <w:lang w:val="es-PE"/>
        </w:rPr>
        <w:t xml:space="preserve">SEGURO DE DESGRAVAMEN - PÓLIZA No </w:t>
      </w:r>
      <w:r w:rsidRPr="2C2EAC9D" w:rsidR="0DFD2C0F">
        <w:rPr>
          <w:rFonts w:ascii="Times New Roman" w:hAnsi="Times New Roman" w:cs="Times New Roman"/>
          <w:sz w:val="24"/>
          <w:szCs w:val="24"/>
          <w:lang w:val="es-PE"/>
        </w:rPr>
        <w:t>..........................</w:t>
      </w:r>
      <w:r w:rsidRPr="2C2EAC9D" w:rsidR="000D0DFE">
        <w:rPr>
          <w:rFonts w:ascii="Times New Roman" w:hAnsi="Times New Roman" w:cs="Times New Roman"/>
          <w:sz w:val="24"/>
          <w:szCs w:val="24"/>
          <w:lang w:val="es-PE"/>
        </w:rPr>
        <w:t>;</w:t>
      </w:r>
    </w:p>
    <w:p w:rsidRPr="000D0DFE" w:rsidR="000D0DFE" w:rsidP="000D0DFE" w:rsidRDefault="000D0DFE" w14:paraId="488EDE37" w14:textId="77777777">
      <w:pPr>
        <w:jc w:val="both"/>
        <w:rPr>
          <w:rFonts w:ascii="Times New Roman" w:hAnsi="Times New Roman" w:cs="Times New Roman"/>
          <w:sz w:val="24"/>
          <w:szCs w:val="24"/>
          <w:lang w:val="es-PE"/>
        </w:rPr>
      </w:pPr>
    </w:p>
    <w:p w:rsidRPr="000D0DFE" w:rsidR="000D0DFE" w:rsidP="000D0DFE" w:rsidRDefault="000D0DFE" w14:paraId="2BEFB85A" w14:textId="29939126">
      <w:pPr>
        <w:pStyle w:val="Textoindependiente"/>
        <w:rPr>
          <w:lang w:val="es-PE"/>
        </w:rPr>
      </w:pPr>
      <w:r w:rsidRPr="2C2EAC9D" w:rsidR="000D0DFE">
        <w:rPr>
          <w:lang w:val="es-PE"/>
        </w:rPr>
        <w:t xml:space="preserve">Que, el indicado recurso se sustenta resumidamente en lo siguiente: (1) la endometriosis es una condición ginecológica que se da por la presencia de glándulas y tejido endometrial fuera del útero, los cuales se llegan a ubicar en la zona pélvica sobre la superficie peritoneal (zona abdominal) del órgano reproductivo o en posiciones próximas a estos, creando una reacción inflamatoria crónica en dichas zonas. Luego, la endometriosis severa es la manifestación más agresiva de esta enfermedad, caracterizada por la extensión de la enfermedad a todos los órganos pélvicos incluido el recto, el peritoneo pélvico, los uréteres y la vejiga. El principal síntoma de la endometriosis severa es el dolor, un dolor invalidante que afecta a la mujer; (2) de la Historia Clínica </w:t>
      </w:r>
      <w:r w:rsidRPr="2C2EAC9D" w:rsidR="000D0DFE">
        <w:rPr>
          <w:lang w:val="es-PE"/>
        </w:rPr>
        <w:t>N°</w:t>
      </w:r>
      <w:r w:rsidRPr="2C2EAC9D" w:rsidR="000D0DFE">
        <w:rPr>
          <w:lang w:val="es-PE"/>
        </w:rPr>
        <w:t xml:space="preserve"> </w:t>
      </w:r>
      <w:r w:rsidRPr="2C2EAC9D" w:rsidR="23CA0230">
        <w:rPr>
          <w:lang w:val="es-PE"/>
        </w:rPr>
        <w:t>..........................</w:t>
      </w:r>
      <w:r w:rsidRPr="2C2EAC9D" w:rsidR="000D0DFE">
        <w:rPr>
          <w:lang w:val="es-PE"/>
        </w:rPr>
        <w:t xml:space="preserve">, emitida por la Clínica </w:t>
      </w:r>
      <w:r w:rsidRPr="2C2EAC9D" w:rsidR="7AD5858C">
        <w:rPr>
          <w:lang w:val="es-PE"/>
        </w:rPr>
        <w:t>..........................</w:t>
      </w:r>
      <w:r w:rsidRPr="2C2EAC9D" w:rsidR="000D0DFE">
        <w:rPr>
          <w:lang w:val="es-PE"/>
        </w:rPr>
        <w:t>, se evidencia que la asegurada padeció (i) ITU a repetición más una posible hidronefrosis congénita (determinada desde noviembre de 2017), esto es, de una infección de tracto urinario que afecta a cualquier parte del sistema urinario (uréteres y vejiga, por ejemplo), (</w:t>
      </w:r>
      <w:r w:rsidRPr="2C2EAC9D" w:rsidR="000D0DFE">
        <w:rPr>
          <w:lang w:val="es-PE"/>
        </w:rPr>
        <w:t>ii</w:t>
      </w:r>
      <w:r w:rsidRPr="2C2EAC9D" w:rsidR="000D0DFE">
        <w:rPr>
          <w:lang w:val="es-PE"/>
        </w:rPr>
        <w:t>) una hidronefrosis consiste en la dilatación de la pelvis y de los cálices renales, como consecuencia de una obstrucción urinaria. Tanto la infección de tracto urinario como la hidronefrosis (por obstrucción urinaria) guardan estrecha relación con las consecuencias de la endometriosis: esto es, la extensión de la enfermedad a todos los órganos pélvicos incluido el recto, el peritoneo pélvico, los uréteres y la vejiga; (3) considera que, desde el 2017, la asegurada estuvo en la posibilidad de conocer de la enfermedad que la aquejaba y por lo mismo, fue su responsabilidad el manifestar de estos antecedentes al contratar el seguro; (4) sobre la Cervicitis Crónica2 (determinada desde enero de 2018) indicada en la referida historia clínica, esta es una inflamación del cuello uterino, en el extremo inferior y estrecho del útero que se comunica con la vagina. Siendo así, se revisa la relación que mantiene con las consecuencias de la endometriosis; (5) en cuanto a la Miomatosis uterina (determinada desde febrero de 2018) que consta en la mencionada historia clínica, estos son tumores pélvicos, en ocasiones asintomáticos, en otras, con presencia de dolor y presión pélvica. Siendo conocido por la asegurada</w:t>
      </w:r>
      <w:r w:rsidRPr="2C2EAC9D" w:rsidR="000D0DFE">
        <w:rPr>
          <w:b w:val="1"/>
          <w:bCs w:val="1"/>
          <w:lang w:val="es-PE"/>
        </w:rPr>
        <w:t xml:space="preserve"> </w:t>
      </w:r>
      <w:r w:rsidRPr="2C2EAC9D" w:rsidR="000D0DFE">
        <w:rPr>
          <w:lang w:val="es-PE"/>
        </w:rPr>
        <w:t xml:space="preserve">desde febrero de 2018, es decir con ocho (08) meses de anticipación a afiliarse al seguro, como antecedente no fue puesto a conocimiento de la aseguradora, máxime cuando los miomas uterinos guardan relación con la endometriosis; (6) en setiembre de 2018 (un mes antes de la afiliación al seguro de desgravamen) a la asegurada se le diagnosticó un pólipo endometrial y </w:t>
      </w:r>
      <w:r w:rsidRPr="2C2EAC9D" w:rsidR="000D0DFE">
        <w:rPr>
          <w:lang w:val="es-PE"/>
        </w:rPr>
        <w:t>displacia</w:t>
      </w:r>
      <w:r w:rsidRPr="2C2EAC9D" w:rsidR="000D0DFE">
        <w:rPr>
          <w:lang w:val="es-PE"/>
        </w:rPr>
        <w:t xml:space="preserve"> cervical; (7) los pólipos endometrial o uterino son crecimientos adheridos a la pared interna del útero que se extienden hasta la cavidad uterina. El crecimiento excesivo de las células en el revestimiento del útero (endometrio) produce la formación de pólipos uterinos, también conocidos como «pólipos endometriales»; (8) la </w:t>
      </w:r>
      <w:r w:rsidRPr="2C2EAC9D" w:rsidR="000D0DFE">
        <w:rPr>
          <w:lang w:val="es-PE"/>
        </w:rPr>
        <w:t>displacia</w:t>
      </w:r>
      <w:r w:rsidRPr="2C2EAC9D" w:rsidR="000D0DFE">
        <w:rPr>
          <w:lang w:val="es-PE"/>
        </w:rPr>
        <w:t xml:space="preserve"> cervical, referida a cambios anormales en las células de la superficie del cuello uterino, en ocasiones con riesgo de cáncer de cuello uterino, se entiende también guarda relación con las consecuencias ya señaladas de una endometriosis severa; (9) si bien en la </w:t>
      </w:r>
      <w:r w:rsidRPr="2C2EAC9D" w:rsidR="000D0DFE">
        <w:rPr>
          <w:lang w:val="es-PE"/>
        </w:rPr>
        <w:t xml:space="preserve">Historia Clínica del Hospital </w:t>
      </w:r>
      <w:r w:rsidRPr="2C2EAC9D" w:rsidR="388A7A66">
        <w:rPr>
          <w:lang w:val="es-PE"/>
        </w:rPr>
        <w:t>..........................</w:t>
      </w:r>
      <w:r w:rsidRPr="2C2EAC9D" w:rsidR="000D0DFE">
        <w:rPr>
          <w:lang w:val="es-PE"/>
        </w:rPr>
        <w:t xml:space="preserve">, se detalla que la intervención quirúrgica fue realizada en noviembre de 2018 (un mes después de la contratación del seguro de desgravamen) , debe entenderse que una endometriosis en su fase inicial no requiere de intervención, así, si dicha operación fue realizada, es más que probable que la enfermedad haya tenido el grado suficiente para requerir de una intervención quirúrgica; (10) considera que la resolución impugnada contiene un error de interpretación de la exclusión invocada; (11) si bien la exigencia de diagnóstico de la enfermedad preexistente por un profesional médico se encuentra en los términos de la exclusión, debe diferenciarse la pertinencia de dicha exigencia. El respaldo de un médico profesional colegiado se torna relevante cuando, para solicitar la cobertura del desgravamen, se intenta acreditar el siniestro con un diagnóstico que no resulte verídico (por ejemplo, con un diagnóstico no suscrito por un médico o suscrito, pero, por un médico no colegiado). Ello no ocurre en el presente caso, toda vez que el Certificado de Defunción General, al estar respaldado por distintas entidades públicas, entre ellas, el Ministerio de Salud, resulta plenamente suficiente e idóneo a efectos de constatar la enfermedad preexistente al fallecimiento; (12) estuvo bajo la diligencia debida de la asegurada, el conocer y declarar la enfermedad con anterioridad, toda vez que, al menos, conforme consta de las historias clínicas (de la clínica </w:t>
      </w:r>
      <w:r w:rsidRPr="2C2EAC9D" w:rsidR="7AD5858C">
        <w:rPr>
          <w:lang w:val="es-PE"/>
        </w:rPr>
        <w:t>..........................</w:t>
      </w:r>
      <w:r w:rsidRPr="2C2EAC9D" w:rsidR="000D0DFE">
        <w:rPr>
          <w:lang w:val="es-PE"/>
        </w:rPr>
        <w:t xml:space="preserve"> como del Hospital </w:t>
      </w:r>
      <w:r w:rsidRPr="2C2EAC9D" w:rsidR="388A7A66">
        <w:rPr>
          <w:lang w:val="es-PE"/>
        </w:rPr>
        <w:t>..........................</w:t>
      </w:r>
      <w:r w:rsidRPr="2C2EAC9D" w:rsidR="000D0DFE">
        <w:rPr>
          <w:lang w:val="es-PE"/>
        </w:rPr>
        <w:t>), la asegurada</w:t>
      </w:r>
      <w:r w:rsidRPr="2C2EAC9D" w:rsidR="000D0DFE">
        <w:rPr>
          <w:b w:val="1"/>
          <w:bCs w:val="1"/>
          <w:lang w:val="es-PE"/>
        </w:rPr>
        <w:t xml:space="preserve"> </w:t>
      </w:r>
      <w:r w:rsidRPr="2C2EAC9D" w:rsidR="000D0DFE">
        <w:rPr>
          <w:lang w:val="es-PE"/>
        </w:rPr>
        <w:t xml:space="preserve">fue diagnosticada y atendida en múltiples ocasiones por serios problemas del endometrio uterino, que debe entenderse guardan estrecha relación con la endometriosis severa. </w:t>
      </w:r>
    </w:p>
    <w:p w:rsidRPr="000D0DFE" w:rsidR="000D0DFE" w:rsidP="000D0DFE" w:rsidRDefault="000D0DFE" w14:paraId="26801C67" w14:textId="77777777">
      <w:pPr>
        <w:pStyle w:val="Textoindependiente"/>
        <w:rPr>
          <w:lang w:val="es-PE"/>
        </w:rPr>
      </w:pPr>
    </w:p>
    <w:p w:rsidRPr="000D0DFE" w:rsidR="000D0DFE" w:rsidP="000D0DFE" w:rsidRDefault="000D0DFE" w14:paraId="1BCE6EBE" w14:textId="47D0B5A9">
      <w:pPr>
        <w:pStyle w:val="Textoindependiente"/>
        <w:rPr>
          <w:lang w:val="es-PE"/>
        </w:rPr>
      </w:pPr>
      <w:r w:rsidRPr="2C2EAC9D" w:rsidR="000D0DFE">
        <w:rPr>
          <w:lang w:val="es-PE"/>
        </w:rPr>
        <w:t>Que, el reclamante absolvió el traslado del recurso interpuesto, manifestando en síntesis lo siguiente: (1) el recurso de impugnación no desvirtúa el hecho claro y acreditado que la asegurada no fue diagnosticada con endometriosis severa, conforme considera la Resolución materia de apelación; (2) de toda la línea argumentativa desarrollada por la aseguradora, no se evidencia la existencia de un medio de prueba que acredite que (i) la asegurada adolecía de endometriosis severa al año 2015, (</w:t>
      </w:r>
      <w:r w:rsidRPr="2C2EAC9D" w:rsidR="000D0DFE">
        <w:rPr>
          <w:lang w:val="es-PE"/>
        </w:rPr>
        <w:t>ii</w:t>
      </w:r>
      <w:r w:rsidRPr="2C2EAC9D" w:rsidR="000D0DFE">
        <w:rPr>
          <w:lang w:val="es-PE"/>
        </w:rPr>
        <w:t xml:space="preserve">) que dicho diagnóstico haya sido realizado por un profesional colegiado, y que ella conocía dicho diagnóstico; (3) la impugnación se sustenta en hipótesis y/o conjeturas de carácter especulativo que no recaen en ningún medio de prueba; (4) se verifica de la Historia Clínica </w:t>
      </w:r>
      <w:r w:rsidRPr="2C2EAC9D" w:rsidR="000D0DFE">
        <w:rPr>
          <w:lang w:val="es-PE"/>
        </w:rPr>
        <w:t>N°</w:t>
      </w:r>
      <w:r w:rsidRPr="2C2EAC9D" w:rsidR="000D0DFE">
        <w:rPr>
          <w:lang w:val="es-PE"/>
        </w:rPr>
        <w:t xml:space="preserve"> </w:t>
      </w:r>
      <w:r w:rsidRPr="2C2EAC9D" w:rsidR="23CA0230">
        <w:rPr>
          <w:lang w:val="es-PE"/>
        </w:rPr>
        <w:t>..........................</w:t>
      </w:r>
      <w:r w:rsidRPr="2C2EAC9D" w:rsidR="000D0DFE">
        <w:rPr>
          <w:lang w:val="es-PE"/>
        </w:rPr>
        <w:t xml:space="preserve">, emitida por la Clínica </w:t>
      </w:r>
      <w:r w:rsidRPr="2C2EAC9D" w:rsidR="7AD5858C">
        <w:rPr>
          <w:lang w:val="es-PE"/>
        </w:rPr>
        <w:t>..........................</w:t>
      </w:r>
      <w:r w:rsidRPr="2C2EAC9D" w:rsidR="000D0DFE">
        <w:rPr>
          <w:lang w:val="es-PE"/>
        </w:rPr>
        <w:t xml:space="preserve">, así como  de la Historia Clínica emitida por el Hospital </w:t>
      </w:r>
      <w:r w:rsidRPr="2C2EAC9D" w:rsidR="388A7A66">
        <w:rPr>
          <w:lang w:val="es-PE"/>
        </w:rPr>
        <w:t>..........................</w:t>
      </w:r>
      <w:r w:rsidRPr="2C2EAC9D" w:rsidR="000D0DFE">
        <w:rPr>
          <w:lang w:val="es-PE"/>
        </w:rPr>
        <w:t xml:space="preserve">, que a la asegurada nunca se le diagnosticó un cuadro de </w:t>
      </w:r>
      <w:r w:rsidRPr="2C2EAC9D" w:rsidR="000D0DFE">
        <w:rPr>
          <w:i w:val="1"/>
          <w:iCs w:val="1"/>
          <w:lang w:val="es-PE"/>
        </w:rPr>
        <w:t>“endometriosis severa”</w:t>
      </w:r>
      <w:r w:rsidRPr="2C2EAC9D" w:rsidR="000D0DFE">
        <w:rPr>
          <w:lang w:val="es-PE"/>
        </w:rPr>
        <w:t xml:space="preserve">; (5) el 26 de diciembre de 2019, por primera vez se hace un diagnóstico clínico intraoperatorio de tumoración compatible con </w:t>
      </w:r>
      <w:r w:rsidRPr="2C2EAC9D" w:rsidR="000D0DFE">
        <w:rPr>
          <w:lang w:val="es-PE"/>
        </w:rPr>
        <w:t>endometrioma</w:t>
      </w:r>
      <w:r w:rsidRPr="2C2EAC9D" w:rsidR="000D0DFE">
        <w:rPr>
          <w:lang w:val="es-PE"/>
        </w:rPr>
        <w:t xml:space="preserve">; (6) no existen hallazgos de “endometriosis severa” y que además esta date de 4 años atrás; (7) en la historia clínica no se cuenta con el Informe de la anatomía patológica que compruebe el diagnóstico de </w:t>
      </w:r>
      <w:r w:rsidRPr="2C2EAC9D" w:rsidR="000D0DFE">
        <w:rPr>
          <w:i w:val="1"/>
          <w:iCs w:val="1"/>
          <w:lang w:val="es-PE"/>
        </w:rPr>
        <w:t xml:space="preserve">“endometriosis severa” </w:t>
      </w:r>
      <w:r w:rsidRPr="2C2EAC9D" w:rsidR="000D0DFE">
        <w:rPr>
          <w:lang w:val="es-PE"/>
        </w:rPr>
        <w:t xml:space="preserve">que en forma errada establece el Certificado de Defunción; (8) el dato consignado en el certificado de defunción como causa antecedente de la muerte, consignado como </w:t>
      </w:r>
      <w:r w:rsidRPr="2C2EAC9D" w:rsidR="000D0DFE">
        <w:rPr>
          <w:i w:val="1"/>
          <w:iCs w:val="1"/>
          <w:lang w:val="es-PE"/>
        </w:rPr>
        <w:t>“endometriosis severa”</w:t>
      </w:r>
      <w:r w:rsidRPr="2C2EAC9D" w:rsidR="000D0DFE">
        <w:rPr>
          <w:lang w:val="es-PE"/>
        </w:rPr>
        <w:t xml:space="preserve">, con un intervalo registrado como de cuatro años de antigüedad, no tiene sustento en los registros del historial médico del paciente y, por tanto, es errado; (9) el Informe de Auditoría de fecha Informe de Auditoría de fecha 02 de Marzo de 2020, emitido por el Auditor Médico el Doctor </w:t>
      </w:r>
      <w:r w:rsidRPr="2C2EAC9D" w:rsidR="0221DCB2">
        <w:rPr>
          <w:lang w:val="es-PE"/>
        </w:rPr>
        <w:t>..........................</w:t>
      </w:r>
      <w:r w:rsidRPr="2C2EAC9D" w:rsidR="000D0DFE">
        <w:rPr>
          <w:lang w:val="es-PE"/>
        </w:rPr>
        <w:t xml:space="preserve"> CMP 29319 / RNAM A01041, acreditan que no se evidencia el diagnóstico de una enfermedad preexistente llamada </w:t>
      </w:r>
      <w:r w:rsidRPr="2C2EAC9D" w:rsidR="000D0DFE">
        <w:rPr>
          <w:i w:val="1"/>
          <w:iCs w:val="1"/>
          <w:lang w:val="es-PE"/>
        </w:rPr>
        <w:t xml:space="preserve">“endometriosis severa” </w:t>
      </w:r>
      <w:r w:rsidRPr="2C2EAC9D" w:rsidR="000D0DFE">
        <w:rPr>
          <w:lang w:val="es-PE"/>
        </w:rPr>
        <w:t xml:space="preserve">con anterioridad a la firma de la póliza de seguro (13.10.2018). </w:t>
      </w:r>
    </w:p>
    <w:p w:rsidRPr="000D0DFE" w:rsidR="000D0DFE" w:rsidP="000D0DFE" w:rsidRDefault="000D0DFE" w14:paraId="597B21E6" w14:textId="77777777">
      <w:pPr>
        <w:pStyle w:val="Textoindependiente"/>
        <w:rPr>
          <w:lang w:val="es-PE"/>
        </w:rPr>
      </w:pPr>
    </w:p>
    <w:p w:rsidRPr="000D0DFE" w:rsidR="000D0DFE" w:rsidP="000D0DFE" w:rsidRDefault="000D0DFE" w14:paraId="63D05B34" w14:textId="77777777">
      <w:pPr>
        <w:pStyle w:val="Textoindependiente"/>
        <w:tabs>
          <w:tab w:val="left" w:pos="930"/>
        </w:tabs>
        <w:rPr>
          <w:lang w:val="es-PE"/>
        </w:rPr>
      </w:pPr>
      <w:r w:rsidRPr="000D0DFE">
        <w:rPr>
          <w:lang w:val="es-PE"/>
        </w:rPr>
        <w:t>Que, atendiendo a lo expuesto, esta Defensoría resuelve finalmente lo siguiente:</w:t>
      </w:r>
    </w:p>
    <w:p w:rsidRPr="000D0DFE" w:rsidR="000D0DFE" w:rsidP="000D0DFE" w:rsidRDefault="000D0DFE" w14:paraId="4B47D440" w14:textId="77777777">
      <w:pPr>
        <w:jc w:val="both"/>
        <w:rPr>
          <w:rFonts w:ascii="Times New Roman" w:hAnsi="Times New Roman" w:cs="Times New Roman"/>
          <w:b/>
          <w:sz w:val="24"/>
          <w:szCs w:val="24"/>
          <w:u w:val="single"/>
          <w:lang w:val="es-PE"/>
        </w:rPr>
      </w:pPr>
    </w:p>
    <w:p w:rsidRPr="000D0DFE" w:rsidR="000D0DFE" w:rsidP="000D0DFE" w:rsidRDefault="000D0DFE" w14:paraId="1DA6667B" w14:textId="77777777">
      <w:pPr>
        <w:jc w:val="both"/>
        <w:rPr>
          <w:rFonts w:ascii="Times New Roman" w:hAnsi="Times New Roman" w:cs="Times New Roman"/>
          <w:sz w:val="24"/>
          <w:szCs w:val="24"/>
          <w:lang w:val="es-PE"/>
        </w:rPr>
      </w:pPr>
      <w:r w:rsidRPr="000D0DFE">
        <w:rPr>
          <w:rFonts w:ascii="Times New Roman" w:hAnsi="Times New Roman" w:cs="Times New Roman"/>
          <w:b/>
          <w:sz w:val="24"/>
          <w:szCs w:val="24"/>
          <w:u w:val="single"/>
          <w:lang w:val="es-PE"/>
        </w:rPr>
        <w:lastRenderedPageBreak/>
        <w:t>PRIMERO</w:t>
      </w:r>
      <w:r w:rsidRPr="000D0DFE">
        <w:rPr>
          <w:rFonts w:ascii="Times New Roman" w:hAnsi="Times New Roman" w:cs="Times New Roman"/>
          <w:b/>
          <w:sz w:val="24"/>
          <w:szCs w:val="24"/>
          <w:lang w:val="es-PE"/>
        </w:rPr>
        <w:t>:</w:t>
      </w:r>
      <w:r w:rsidRPr="000D0DFE">
        <w:rPr>
          <w:rFonts w:ascii="Times New Roman" w:hAnsi="Times New Roman" w:cs="Times New Roman"/>
          <w:sz w:val="24"/>
          <w:szCs w:val="24"/>
          <w:lang w:val="es-PE"/>
        </w:rPr>
        <w:t xml:space="preserve"> El artículo 10 (Procedimiento) del Reglamento de la DEFASEG </w:t>
      </w:r>
      <w:r w:rsidRPr="000D0DFE">
        <w:rPr>
          <w:rFonts w:ascii="Times New Roman" w:hAnsi="Times New Roman" w:eastAsia="Arial Unicode MS" w:cs="Times New Roman"/>
          <w:sz w:val="24"/>
          <w:szCs w:val="24"/>
          <w:lang w:val="es-PE"/>
        </w:rPr>
        <w:t>(http://www.defaseg.com.pe/reglamento)</w:t>
      </w:r>
      <w:r w:rsidRPr="000D0DFE">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0D0DFE" w:rsidR="000D0DFE" w:rsidP="000D0DFE" w:rsidRDefault="000D0DFE" w14:paraId="13B63E40" w14:textId="77777777">
      <w:pPr>
        <w:jc w:val="both"/>
        <w:rPr>
          <w:rFonts w:ascii="Times New Roman" w:hAnsi="Times New Roman" w:cs="Times New Roman"/>
          <w:sz w:val="24"/>
          <w:szCs w:val="24"/>
          <w:lang w:val="es-PE"/>
        </w:rPr>
      </w:pPr>
    </w:p>
    <w:p w:rsidRPr="000D0DFE" w:rsidR="000D0DFE" w:rsidP="000D0DFE" w:rsidRDefault="000D0DFE" w14:paraId="517ECE41" w14:textId="77777777">
      <w:pPr>
        <w:jc w:val="both"/>
        <w:rPr>
          <w:rFonts w:ascii="Times New Roman" w:hAnsi="Times New Roman" w:cs="Times New Roman"/>
          <w:sz w:val="24"/>
          <w:szCs w:val="24"/>
          <w:lang w:val="es-PE"/>
        </w:rPr>
      </w:pPr>
      <w:r w:rsidRPr="000D0DFE">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0D0DFE" w:rsidR="000D0DFE" w:rsidP="000D0DFE" w:rsidRDefault="000D0DFE" w14:paraId="08BB6583" w14:textId="77777777">
      <w:pPr>
        <w:pStyle w:val="Textoindependiente"/>
        <w:tabs>
          <w:tab w:val="left" w:pos="0"/>
          <w:tab w:val="left" w:pos="720"/>
        </w:tabs>
        <w:rPr>
          <w:u w:val="single"/>
          <w:lang w:val="es-PE"/>
        </w:rPr>
      </w:pPr>
    </w:p>
    <w:p w:rsidRPr="000D0DFE" w:rsidR="000D0DFE" w:rsidP="000D0DFE" w:rsidRDefault="000D0DFE" w14:paraId="18321A86" w14:textId="2A27A1A3">
      <w:pPr>
        <w:jc w:val="both"/>
        <w:rPr>
          <w:rFonts w:ascii="Times New Roman" w:hAnsi="Times New Roman" w:cs="Times New Roman"/>
          <w:sz w:val="24"/>
          <w:szCs w:val="24"/>
          <w:lang w:val="es-PE"/>
        </w:rPr>
      </w:pPr>
      <w:r w:rsidRPr="2C2EAC9D" w:rsidR="000D0DFE">
        <w:rPr>
          <w:rFonts w:ascii="Times New Roman" w:hAnsi="Times New Roman" w:cs="Times New Roman"/>
          <w:b w:val="1"/>
          <w:bCs w:val="1"/>
          <w:sz w:val="24"/>
          <w:szCs w:val="24"/>
          <w:u w:val="single"/>
          <w:lang w:val="es-PE"/>
        </w:rPr>
        <w:t>SEGUNDO</w:t>
      </w:r>
      <w:r w:rsidRPr="2C2EAC9D" w:rsidR="000D0DFE">
        <w:rPr>
          <w:rFonts w:ascii="Times New Roman" w:hAnsi="Times New Roman" w:cs="Times New Roman"/>
          <w:b w:val="1"/>
          <w:bCs w:val="1"/>
          <w:sz w:val="24"/>
          <w:szCs w:val="24"/>
          <w:lang w:val="es-PE"/>
        </w:rPr>
        <w:t>:</w:t>
      </w:r>
      <w:r w:rsidRPr="2C2EAC9D" w:rsidR="000D0DFE">
        <w:rPr>
          <w:rFonts w:ascii="Times New Roman" w:hAnsi="Times New Roman" w:cs="Times New Roman"/>
          <w:sz w:val="24"/>
          <w:szCs w:val="24"/>
          <w:lang w:val="es-PE"/>
        </w:rPr>
        <w:t xml:space="preserve"> Que el recurso de impugnación presentado por la aseguradora no se sustenta en nueva prueba sino en tratar de desvirtuar los fundamentos de la resolución impugnada, invocando los antecedentes médicos del asegurado correspondientes a la </w:t>
      </w:r>
      <w:r w:rsidRPr="2C2EAC9D" w:rsidR="000D0DFE">
        <w:rPr>
          <w:rFonts w:ascii="Times New Roman" w:hAnsi="Times New Roman" w:cs="Times New Roman"/>
          <w:sz w:val="24"/>
          <w:szCs w:val="24"/>
          <w:lang w:val="es-PE"/>
        </w:rPr>
        <w:t xml:space="preserve">Historia Clínica </w:t>
      </w:r>
      <w:r w:rsidRPr="2C2EAC9D" w:rsidR="000D0DFE">
        <w:rPr>
          <w:rFonts w:ascii="Times New Roman" w:hAnsi="Times New Roman" w:cs="Times New Roman"/>
          <w:sz w:val="24"/>
          <w:szCs w:val="24"/>
          <w:lang w:val="es-PE"/>
        </w:rPr>
        <w:t>N°</w:t>
      </w:r>
      <w:r w:rsidRPr="2C2EAC9D" w:rsidR="000D0DFE">
        <w:rPr>
          <w:rFonts w:ascii="Times New Roman" w:hAnsi="Times New Roman" w:cs="Times New Roman"/>
          <w:sz w:val="24"/>
          <w:szCs w:val="24"/>
          <w:lang w:val="es-PE"/>
        </w:rPr>
        <w:t xml:space="preserve"> </w:t>
      </w:r>
      <w:r w:rsidRPr="2C2EAC9D" w:rsidR="23CA0230">
        <w:rPr>
          <w:rFonts w:ascii="Times New Roman" w:hAnsi="Times New Roman" w:cs="Times New Roman"/>
          <w:sz w:val="24"/>
          <w:szCs w:val="24"/>
          <w:lang w:val="es-PE"/>
        </w:rPr>
        <w:t>..........................</w:t>
      </w:r>
      <w:r w:rsidRPr="2C2EAC9D" w:rsidR="000D0DFE">
        <w:rPr>
          <w:rFonts w:ascii="Times New Roman" w:hAnsi="Times New Roman" w:cs="Times New Roman"/>
          <w:sz w:val="24"/>
          <w:szCs w:val="24"/>
          <w:lang w:val="es-PE"/>
        </w:rPr>
        <w:t xml:space="preserve">, emitida por la Clínica </w:t>
      </w:r>
      <w:r w:rsidRPr="2C2EAC9D" w:rsidR="7AD5858C">
        <w:rPr>
          <w:rFonts w:ascii="Times New Roman" w:hAnsi="Times New Roman" w:cs="Times New Roman"/>
          <w:sz w:val="24"/>
          <w:szCs w:val="24"/>
          <w:lang w:val="es-PE"/>
        </w:rPr>
        <w:t>..........................</w:t>
      </w:r>
      <w:r w:rsidRPr="2C2EAC9D" w:rsidR="000D0DFE">
        <w:rPr>
          <w:rFonts w:ascii="Times New Roman" w:hAnsi="Times New Roman" w:cs="Times New Roman"/>
          <w:sz w:val="24"/>
          <w:szCs w:val="24"/>
          <w:lang w:val="es-PE"/>
        </w:rPr>
        <w:t xml:space="preserve">, así como de la Historia Clínica emitida por el Hospital </w:t>
      </w:r>
      <w:r w:rsidRPr="2C2EAC9D" w:rsidR="388A7A66">
        <w:rPr>
          <w:rFonts w:ascii="Times New Roman" w:hAnsi="Times New Roman" w:cs="Times New Roman"/>
          <w:sz w:val="24"/>
          <w:szCs w:val="24"/>
          <w:lang w:val="es-PE"/>
        </w:rPr>
        <w:t>..........................</w:t>
      </w:r>
      <w:r w:rsidRPr="2C2EAC9D" w:rsidR="000D0DFE">
        <w:rPr>
          <w:rFonts w:ascii="Times New Roman" w:hAnsi="Times New Roman" w:cs="Times New Roman"/>
          <w:sz w:val="24"/>
          <w:szCs w:val="24"/>
          <w:lang w:val="es-PE"/>
        </w:rPr>
        <w:t>.</w:t>
      </w:r>
    </w:p>
    <w:p w:rsidRPr="000D0DFE" w:rsidR="000D0DFE" w:rsidP="000D0DFE" w:rsidRDefault="000D0DFE" w14:paraId="5530488A" w14:textId="77777777">
      <w:pPr>
        <w:jc w:val="both"/>
        <w:rPr>
          <w:rFonts w:ascii="Times New Roman" w:hAnsi="Times New Roman" w:cs="Times New Roman"/>
          <w:sz w:val="24"/>
          <w:szCs w:val="24"/>
          <w:lang w:val="es-PE"/>
        </w:rPr>
      </w:pPr>
    </w:p>
    <w:p w:rsidRPr="000D0DFE" w:rsidR="000D0DFE" w:rsidP="000D0DFE" w:rsidRDefault="000D0DFE" w14:paraId="385BC960" w14:textId="77777777">
      <w:pPr>
        <w:jc w:val="both"/>
        <w:rPr>
          <w:rFonts w:ascii="Times New Roman" w:hAnsi="Times New Roman" w:cs="Times New Roman"/>
          <w:sz w:val="24"/>
          <w:szCs w:val="24"/>
          <w:lang w:val="es-PE"/>
        </w:rPr>
      </w:pPr>
      <w:r w:rsidRPr="000D0DFE">
        <w:rPr>
          <w:rFonts w:ascii="Times New Roman" w:hAnsi="Times New Roman" w:cs="Times New Roman"/>
          <w:sz w:val="24"/>
          <w:szCs w:val="24"/>
          <w:lang w:val="es-PE"/>
        </w:rPr>
        <w:t>Sobre el particular, este Colegiado advierte que no existe tal error en la resolución impugnada.</w:t>
      </w:r>
    </w:p>
    <w:p w:rsidRPr="000D0DFE" w:rsidR="000D0DFE" w:rsidP="000D0DFE" w:rsidRDefault="000D0DFE" w14:paraId="3449294A" w14:textId="77777777">
      <w:pPr>
        <w:jc w:val="both"/>
        <w:rPr>
          <w:rFonts w:ascii="Times New Roman" w:hAnsi="Times New Roman" w:cs="Times New Roman"/>
          <w:sz w:val="24"/>
          <w:szCs w:val="24"/>
          <w:lang w:val="es-PE"/>
        </w:rPr>
      </w:pPr>
    </w:p>
    <w:p w:rsidRPr="000D0DFE" w:rsidR="000D0DFE" w:rsidP="000D0DFE" w:rsidRDefault="000D0DFE" w14:paraId="75C1C54F" w14:textId="77777777">
      <w:pPr>
        <w:jc w:val="both"/>
        <w:rPr>
          <w:rFonts w:ascii="Times New Roman" w:hAnsi="Times New Roman" w:cs="Times New Roman"/>
          <w:sz w:val="24"/>
          <w:szCs w:val="24"/>
          <w:lang w:val="es-PE"/>
        </w:rPr>
      </w:pPr>
      <w:r w:rsidRPr="000D0DFE">
        <w:rPr>
          <w:rFonts w:ascii="Times New Roman" w:hAnsi="Times New Roman" w:cs="Times New Roman"/>
          <w:sz w:val="24"/>
          <w:szCs w:val="24"/>
          <w:lang w:val="es-PE"/>
        </w:rPr>
        <w:t>Conforme al sexto considerando, la reclamación fue amparada por cuanto la aseguradora no demostró que se haya materializado el supuesto de exclusión expresamente configurado en la póliza.</w:t>
      </w:r>
    </w:p>
    <w:p w:rsidRPr="000D0DFE" w:rsidR="000D0DFE" w:rsidP="000D0DFE" w:rsidRDefault="000D0DFE" w14:paraId="25BB6834" w14:textId="77777777">
      <w:pPr>
        <w:jc w:val="both"/>
        <w:rPr>
          <w:rFonts w:ascii="Times New Roman" w:hAnsi="Times New Roman" w:cs="Times New Roman"/>
          <w:sz w:val="24"/>
          <w:szCs w:val="24"/>
          <w:lang w:val="es-PE"/>
        </w:rPr>
      </w:pPr>
    </w:p>
    <w:p w:rsidRPr="000D0DFE" w:rsidR="000D0DFE" w:rsidP="000D0DFE" w:rsidRDefault="000D0DFE" w14:paraId="21995A26" w14:textId="77777777">
      <w:pPr>
        <w:jc w:val="both"/>
        <w:rPr>
          <w:rFonts w:ascii="Times New Roman" w:hAnsi="Times New Roman" w:cs="Times New Roman"/>
          <w:sz w:val="24"/>
          <w:szCs w:val="24"/>
          <w:lang w:val="es-PE"/>
        </w:rPr>
      </w:pPr>
      <w:proofErr w:type="gramStart"/>
      <w:r w:rsidRPr="000D0DFE">
        <w:rPr>
          <w:rFonts w:ascii="Times New Roman" w:hAnsi="Times New Roman" w:cs="Times New Roman"/>
          <w:sz w:val="24"/>
          <w:szCs w:val="24"/>
          <w:lang w:val="es-PE"/>
        </w:rPr>
        <w:t>De acuerdo a</w:t>
      </w:r>
      <w:proofErr w:type="gramEnd"/>
      <w:r w:rsidRPr="000D0DFE">
        <w:rPr>
          <w:rFonts w:ascii="Times New Roman" w:hAnsi="Times New Roman" w:cs="Times New Roman"/>
          <w:sz w:val="24"/>
          <w:szCs w:val="24"/>
          <w:lang w:val="es-PE"/>
        </w:rPr>
        <w:t xml:space="preserve"> los términos contractuales estipulados por la propia aseguradora, para que la “endometriosis severa” califique como enfermedad o dolencia preexistente, requiere que haya sido diagnosticada por un profesional médico colegiado y que la asegurada haya conocido de dicho diagnóstico.</w:t>
      </w:r>
    </w:p>
    <w:p w:rsidRPr="000D0DFE" w:rsidR="000D0DFE" w:rsidP="000D0DFE" w:rsidRDefault="000D0DFE" w14:paraId="132433AE" w14:textId="77777777">
      <w:pPr>
        <w:jc w:val="both"/>
        <w:rPr>
          <w:rFonts w:ascii="Times New Roman" w:hAnsi="Times New Roman" w:cs="Times New Roman"/>
          <w:sz w:val="24"/>
          <w:szCs w:val="24"/>
          <w:lang w:val="es-PE"/>
        </w:rPr>
      </w:pPr>
    </w:p>
    <w:p w:rsidRPr="000D0DFE" w:rsidR="000D0DFE" w:rsidP="000D0DFE" w:rsidRDefault="000D0DFE" w14:paraId="6EDF65D0" w14:textId="77777777">
      <w:pPr>
        <w:jc w:val="both"/>
        <w:rPr>
          <w:rFonts w:ascii="Times New Roman" w:hAnsi="Times New Roman" w:cs="Times New Roman"/>
          <w:sz w:val="24"/>
          <w:szCs w:val="24"/>
          <w:lang w:val="es-PE"/>
        </w:rPr>
      </w:pPr>
      <w:r w:rsidRPr="000D0DFE">
        <w:rPr>
          <w:rFonts w:ascii="Times New Roman" w:hAnsi="Times New Roman" w:cs="Times New Roman"/>
          <w:sz w:val="24"/>
          <w:szCs w:val="24"/>
          <w:lang w:val="es-PE"/>
        </w:rPr>
        <w:t xml:space="preserve">En el presente caso, en las historias clínicas que obran en el expediente no existe prueba o evidencia que a la asegurada se le haya diagnosticado de manera cierta una “endometriosis severa”. Tampoco existe medio probatorio que identifique al profesional médico colegiado que haya hecho un diagnóstico de esa naturaleza con anterioridad a la fecha de contratación del seguro. </w:t>
      </w:r>
    </w:p>
    <w:p w:rsidRPr="000D0DFE" w:rsidR="000D0DFE" w:rsidP="000D0DFE" w:rsidRDefault="000D0DFE" w14:paraId="0B51C0F8" w14:textId="77777777">
      <w:pPr>
        <w:jc w:val="both"/>
        <w:rPr>
          <w:rFonts w:ascii="Times New Roman" w:hAnsi="Times New Roman" w:cs="Times New Roman"/>
          <w:sz w:val="24"/>
          <w:szCs w:val="24"/>
          <w:lang w:val="es-PE"/>
        </w:rPr>
      </w:pPr>
    </w:p>
    <w:p w:rsidRPr="000D0DFE" w:rsidR="000D0DFE" w:rsidP="000D0DFE" w:rsidRDefault="000D0DFE" w14:paraId="5A64ACDB" w14:textId="77777777">
      <w:pPr>
        <w:jc w:val="both"/>
        <w:rPr>
          <w:rFonts w:ascii="Times New Roman" w:hAnsi="Times New Roman" w:cs="Times New Roman"/>
          <w:sz w:val="24"/>
          <w:szCs w:val="24"/>
          <w:lang w:val="es-PE"/>
        </w:rPr>
      </w:pPr>
      <w:r w:rsidRPr="000D0DFE">
        <w:rPr>
          <w:rFonts w:ascii="Times New Roman" w:hAnsi="Times New Roman" w:cs="Times New Roman"/>
          <w:sz w:val="24"/>
          <w:szCs w:val="24"/>
          <w:lang w:val="es-PE"/>
        </w:rPr>
        <w:t>Como puede apreciarse, el presupuesto de hecho bajo el cual se fundamenta la impugnación interpuesta por la aseguradora es inexistente, ya que no hay un error en la lectura y valoración de las pruebas que obran en el expediente.</w:t>
      </w:r>
    </w:p>
    <w:p w:rsidRPr="000D0DFE" w:rsidR="000D0DFE" w:rsidP="000D0DFE" w:rsidRDefault="000D0DFE" w14:paraId="63482154" w14:textId="77777777">
      <w:pPr>
        <w:jc w:val="both"/>
        <w:rPr>
          <w:rFonts w:ascii="Times New Roman" w:hAnsi="Times New Roman" w:cs="Times New Roman"/>
          <w:sz w:val="24"/>
          <w:szCs w:val="24"/>
          <w:lang w:val="es-PE"/>
        </w:rPr>
      </w:pPr>
    </w:p>
    <w:p w:rsidRPr="000D0DFE" w:rsidR="000D0DFE" w:rsidP="000D0DFE" w:rsidRDefault="000D0DFE" w14:paraId="61337033" w14:textId="77777777">
      <w:pPr>
        <w:jc w:val="both"/>
        <w:rPr>
          <w:rFonts w:ascii="Times New Roman" w:hAnsi="Times New Roman" w:cs="Times New Roman"/>
          <w:sz w:val="24"/>
          <w:szCs w:val="24"/>
          <w:lang w:val="es-PE"/>
        </w:rPr>
      </w:pPr>
      <w:r w:rsidRPr="000D0DFE">
        <w:rPr>
          <w:rFonts w:ascii="Times New Roman" w:hAnsi="Times New Roman" w:cs="Times New Roman"/>
          <w:b/>
          <w:sz w:val="24"/>
          <w:szCs w:val="24"/>
          <w:u w:val="single"/>
          <w:lang w:val="es-PE"/>
        </w:rPr>
        <w:lastRenderedPageBreak/>
        <w:t>TERCERO</w:t>
      </w:r>
      <w:r w:rsidRPr="000D0DFE">
        <w:rPr>
          <w:rFonts w:ascii="Times New Roman" w:hAnsi="Times New Roman" w:cs="Times New Roman"/>
          <w:b/>
          <w:sz w:val="24"/>
          <w:szCs w:val="24"/>
          <w:lang w:val="es-PE"/>
        </w:rPr>
        <w:t>:</w:t>
      </w:r>
      <w:r w:rsidRPr="000D0DFE">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rsidRPr="000D0DFE" w:rsidR="000D0DFE" w:rsidP="000D0DFE" w:rsidRDefault="000D0DFE" w14:paraId="0D6448D2" w14:textId="77777777">
      <w:pPr>
        <w:jc w:val="both"/>
        <w:rPr>
          <w:rFonts w:ascii="Times New Roman" w:hAnsi="Times New Roman" w:cs="Times New Roman"/>
          <w:sz w:val="24"/>
          <w:szCs w:val="24"/>
          <w:lang w:val="es-PE"/>
        </w:rPr>
      </w:pPr>
    </w:p>
    <w:p w:rsidRPr="000D0DFE" w:rsidR="000D0DFE" w:rsidP="000D0DFE" w:rsidRDefault="000D0DFE" w14:paraId="5B4A502B" w14:textId="77777777">
      <w:pPr>
        <w:jc w:val="both"/>
        <w:rPr>
          <w:rFonts w:ascii="Times New Roman" w:hAnsi="Times New Roman" w:cs="Times New Roman"/>
          <w:b/>
          <w:sz w:val="24"/>
          <w:szCs w:val="24"/>
          <w:lang w:val="es-PE"/>
        </w:rPr>
      </w:pPr>
      <w:r w:rsidRPr="000D0DFE">
        <w:rPr>
          <w:rFonts w:ascii="Times New Roman" w:hAnsi="Times New Roman" w:cs="Times New Roman"/>
          <w:b/>
          <w:sz w:val="24"/>
          <w:szCs w:val="24"/>
          <w:lang w:val="es-PE"/>
        </w:rPr>
        <w:t>RESUELVE:</w:t>
      </w:r>
    </w:p>
    <w:p w:rsidRPr="000D0DFE" w:rsidR="000D0DFE" w:rsidP="000D0DFE" w:rsidRDefault="000D0DFE" w14:paraId="4CF25E15" w14:textId="77777777">
      <w:pPr>
        <w:jc w:val="both"/>
        <w:rPr>
          <w:rFonts w:ascii="Times New Roman" w:hAnsi="Times New Roman" w:cs="Times New Roman"/>
          <w:sz w:val="24"/>
          <w:szCs w:val="24"/>
          <w:lang w:val="es-PE"/>
        </w:rPr>
      </w:pPr>
    </w:p>
    <w:p w:rsidRPr="000D0DFE" w:rsidR="00527B27" w:rsidP="000D0DFE" w:rsidRDefault="000D0DFE" w14:paraId="4E8FFBA4" w14:textId="443F0E4C">
      <w:pPr>
        <w:jc w:val="both"/>
        <w:rPr>
          <w:rFonts w:ascii="Times New Roman" w:hAnsi="Times New Roman" w:cs="Times New Roman"/>
          <w:sz w:val="24"/>
          <w:szCs w:val="24"/>
          <w:lang w:val="es-PE"/>
        </w:rPr>
      </w:pPr>
      <w:r w:rsidRPr="000D0DFE">
        <w:rPr>
          <w:rFonts w:ascii="Times New Roman" w:hAnsi="Times New Roman" w:eastAsia="Arial Unicode MS" w:cs="Times New Roman"/>
          <w:b/>
          <w:sz w:val="24"/>
          <w:szCs w:val="24"/>
          <w:lang w:val="es-PE"/>
        </w:rPr>
        <w:t>Declarar INFUNDADO el recurso de impugnación interpuesto y, por consiguiente, CONFIRMAR la Resolución Nro. 086/2020</w:t>
      </w:r>
      <w:r w:rsidRPr="000D0DFE">
        <w:rPr>
          <w:rFonts w:ascii="Times New Roman" w:hAnsi="Times New Roman" w:cs="Times New Roman"/>
          <w:sz w:val="24"/>
          <w:szCs w:val="24"/>
          <w:lang w:val="es-PE"/>
        </w:rPr>
        <w:t>.</w:t>
      </w:r>
    </w:p>
    <w:p w:rsidRPr="00231C58" w:rsidR="00231C58" w:rsidP="00527B27" w:rsidRDefault="00231C58" w14:paraId="2269147E"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231C58" w:rsidR="00077B6F" w:rsidP="00C671F5" w:rsidRDefault="0091528B" w14:paraId="78A39B5B" w14:textId="2313FA75">
      <w:pPr>
        <w:suppressAutoHyphens/>
        <w:spacing w:after="0" w:line="240" w:lineRule="auto"/>
        <w:jc w:val="right"/>
        <w:outlineLvl w:val="0"/>
        <w:rPr>
          <w:rFonts w:ascii="Times New Roman" w:hAnsi="Times New Roman" w:eastAsia="Arial Unicode MS" w:cs="Times New Roman"/>
          <w:sz w:val="24"/>
          <w:szCs w:val="24"/>
          <w:lang w:val="es-ES" w:eastAsia="ar-SA"/>
        </w:rPr>
      </w:pPr>
      <w:r w:rsidRPr="00231C58">
        <w:rPr>
          <w:rFonts w:ascii="Times New Roman" w:hAnsi="Times New Roman" w:eastAsia="Arial Unicode MS" w:cs="Times New Roman"/>
          <w:sz w:val="24"/>
          <w:szCs w:val="24"/>
          <w:lang w:val="es-ES" w:eastAsia="ar-SA"/>
        </w:rPr>
        <w:t xml:space="preserve">Lima, </w:t>
      </w:r>
      <w:r w:rsidR="00231C58">
        <w:rPr>
          <w:rFonts w:ascii="Times New Roman" w:hAnsi="Times New Roman" w:eastAsia="Arial Unicode MS" w:cs="Times New Roman"/>
          <w:sz w:val="24"/>
          <w:szCs w:val="24"/>
          <w:lang w:val="es-ES" w:eastAsia="ar-SA"/>
        </w:rPr>
        <w:t>2</w:t>
      </w:r>
      <w:r w:rsidR="000D0DFE">
        <w:rPr>
          <w:rFonts w:ascii="Times New Roman" w:hAnsi="Times New Roman" w:eastAsia="Arial Unicode MS" w:cs="Times New Roman"/>
          <w:sz w:val="24"/>
          <w:szCs w:val="24"/>
          <w:lang w:val="es-ES" w:eastAsia="ar-SA"/>
        </w:rPr>
        <w:t>5</w:t>
      </w:r>
      <w:r w:rsidRPr="00231C58" w:rsidR="00707C99">
        <w:rPr>
          <w:rFonts w:ascii="Times New Roman" w:hAnsi="Times New Roman" w:eastAsia="Arial Unicode MS" w:cs="Times New Roman"/>
          <w:sz w:val="24"/>
          <w:szCs w:val="24"/>
          <w:lang w:val="es-ES" w:eastAsia="ar-SA"/>
        </w:rPr>
        <w:t xml:space="preserve"> de </w:t>
      </w:r>
      <w:r w:rsidR="00231C58">
        <w:rPr>
          <w:rFonts w:ascii="Times New Roman" w:hAnsi="Times New Roman" w:eastAsia="Arial Unicode MS" w:cs="Times New Roman"/>
          <w:sz w:val="24"/>
          <w:szCs w:val="24"/>
          <w:lang w:val="es-ES" w:eastAsia="ar-SA"/>
        </w:rPr>
        <w:t>enero</w:t>
      </w:r>
      <w:r w:rsidRPr="00231C58" w:rsidR="00F06498">
        <w:rPr>
          <w:rFonts w:ascii="Times New Roman" w:hAnsi="Times New Roman" w:eastAsia="Arial Unicode MS" w:cs="Times New Roman"/>
          <w:sz w:val="24"/>
          <w:szCs w:val="24"/>
          <w:lang w:val="es-ES" w:eastAsia="ar-SA"/>
        </w:rPr>
        <w:t xml:space="preserve"> de 202</w:t>
      </w:r>
      <w:r w:rsidR="00231C58">
        <w:rPr>
          <w:rFonts w:ascii="Times New Roman" w:hAnsi="Times New Roman" w:eastAsia="Arial Unicode MS" w:cs="Times New Roman"/>
          <w:sz w:val="24"/>
          <w:szCs w:val="24"/>
          <w:lang w:val="es-ES" w:eastAsia="ar-SA"/>
        </w:rPr>
        <w:t>1</w:t>
      </w:r>
      <w:r w:rsidRPr="00231C58" w:rsidR="00707C99">
        <w:rPr>
          <w:rFonts w:ascii="Times New Roman" w:hAnsi="Times New Roman" w:eastAsia="Times New Roman" w:cs="Times New Roman"/>
          <w:sz w:val="24"/>
          <w:szCs w:val="24"/>
          <w:lang w:val="es-MX" w:eastAsia="ar-SA"/>
        </w:rPr>
        <w:t xml:space="preserve"> </w:t>
      </w:r>
    </w:p>
    <w:p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ES" w:eastAsia="ar-SA"/>
        </w:rPr>
      </w:pPr>
    </w:p>
    <w:p w:rsidRPr="00744447"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MX" w:eastAsia="ar-SA"/>
        </w:rPr>
      </w:pPr>
    </w:p>
    <w:p w:rsidRPr="00744447" w:rsidR="00C671F5" w:rsidP="00C671F5" w:rsidRDefault="00C671F5" w14:paraId="7BC448E0" w14:textId="77777777">
      <w:pPr>
        <w:spacing w:after="0" w:line="240" w:lineRule="auto"/>
        <w:jc w:val="both"/>
        <w:rPr>
          <w:rFonts w:ascii="Times New Roman" w:hAnsi="Times New Roman" w:cs="Times New Roman"/>
          <w:b/>
          <w:bCs/>
          <w:i/>
          <w:iCs/>
          <w:sz w:val="24"/>
          <w:szCs w:val="24"/>
          <w:lang w:val="es-ES_tradnl"/>
        </w:rPr>
      </w:pPr>
      <w:r w:rsidRPr="00744447">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rsidRPr="00744447" w:rsidR="00C671F5" w:rsidP="00C671F5" w:rsidRDefault="00C671F5" w14:paraId="3408E6CE" w14:textId="77777777">
      <w:pPr>
        <w:spacing w:after="0" w:line="360" w:lineRule="auto"/>
        <w:jc w:val="both"/>
        <w:rPr>
          <w:rFonts w:ascii="Times New Roman" w:hAnsi="Times New Roman" w:cs="Times New Roman"/>
          <w:b/>
          <w:bCs/>
          <w:i/>
          <w:iCs/>
          <w:sz w:val="24"/>
          <w:szCs w:val="24"/>
          <w:lang w:val="es-ES_tradnl"/>
        </w:rPr>
      </w:pPr>
    </w:p>
    <w:p w:rsidRPr="00744447" w:rsidR="00C671F5" w:rsidP="00C671F5" w:rsidRDefault="00231C58" w14:paraId="548B3E5B" w14:textId="47A8BA49">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 xml:space="preserve">María Eugenia Valdez Fernández Baca </w:t>
      </w:r>
      <w:r w:rsidRPr="00744447" w:rsidR="00C671F5">
        <w:rPr>
          <w:rFonts w:ascii="Times New Roman" w:hAnsi="Times New Roman" w:cs="Times New Roman"/>
          <w:b/>
          <w:bCs/>
          <w:sz w:val="24"/>
          <w:szCs w:val="24"/>
        </w:rPr>
        <w:t xml:space="preserve">– </w:t>
      </w:r>
      <w:proofErr w:type="spellStart"/>
      <w:r w:rsidRPr="00744447" w:rsidR="00C671F5">
        <w:rPr>
          <w:rFonts w:ascii="Times New Roman" w:hAnsi="Times New Roman" w:cs="Times New Roman"/>
          <w:b/>
          <w:bCs/>
          <w:sz w:val="24"/>
          <w:szCs w:val="24"/>
        </w:rPr>
        <w:t>Presidente</w:t>
      </w:r>
      <w:proofErr w:type="spellEnd"/>
    </w:p>
    <w:p w:rsidR="00C671F5" w:rsidP="00C671F5" w:rsidRDefault="00C671F5" w14:paraId="55E7D9D7" w14:textId="724A8615">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Marco Antonio Ortega Piana – Vocal</w:t>
      </w:r>
    </w:p>
    <w:p w:rsidRPr="00744447" w:rsidR="00292018" w:rsidP="00292018" w:rsidRDefault="00292018" w14:paraId="3006BA35" w14:textId="7871895F">
      <w:pPr>
        <w:spacing w:after="0" w:line="360" w:lineRule="auto"/>
        <w:jc w:val="center"/>
        <w:rPr>
          <w:rFonts w:ascii="Times New Roman" w:hAnsi="Times New Roman" w:cs="Times New Roman"/>
          <w:b/>
          <w:bCs/>
          <w:sz w:val="24"/>
          <w:szCs w:val="24"/>
        </w:rPr>
      </w:pPr>
      <w:r w:rsidRPr="00744447">
        <w:rPr>
          <w:rFonts w:ascii="Times New Roman" w:hAnsi="Times New Roman" w:cs="Times New Roman"/>
          <w:b/>
          <w:bCs/>
          <w:sz w:val="24"/>
          <w:szCs w:val="24"/>
        </w:rPr>
        <w:t xml:space="preserve">Rolando Eyzaguirre </w:t>
      </w:r>
      <w:proofErr w:type="spellStart"/>
      <w:r w:rsidRPr="00744447">
        <w:rPr>
          <w:rFonts w:ascii="Times New Roman" w:hAnsi="Times New Roman" w:cs="Times New Roman"/>
          <w:b/>
          <w:bCs/>
          <w:sz w:val="24"/>
          <w:szCs w:val="24"/>
        </w:rPr>
        <w:t>Maccan</w:t>
      </w:r>
      <w:proofErr w:type="spellEnd"/>
      <w:r w:rsidRPr="00744447">
        <w:rPr>
          <w:rFonts w:ascii="Times New Roman" w:hAnsi="Times New Roman" w:cs="Times New Roman"/>
          <w:b/>
          <w:bCs/>
          <w:sz w:val="24"/>
          <w:szCs w:val="24"/>
        </w:rPr>
        <w:t xml:space="preserve"> – Vocal</w:t>
      </w:r>
    </w:p>
    <w:p w:rsidRPr="00744447" w:rsidR="00C671F5" w:rsidP="00C671F5" w:rsidRDefault="00C671F5" w14:paraId="3A9CFE9F" w14:textId="4DFF4426">
      <w:pPr>
        <w:spacing w:after="0" w:line="360" w:lineRule="auto"/>
        <w:jc w:val="center"/>
        <w:rPr>
          <w:rFonts w:ascii="Times New Roman" w:hAnsi="Times New Roman" w:cs="Times New Roman"/>
          <w:sz w:val="24"/>
          <w:szCs w:val="24"/>
          <w:lang w:val="es-MX"/>
        </w:rPr>
      </w:pPr>
      <w:r w:rsidRPr="00744447">
        <w:rPr>
          <w:rFonts w:ascii="Times New Roman" w:hAnsi="Times New Roman" w:cs="Times New Roman"/>
          <w:b/>
          <w:bCs/>
          <w:sz w:val="24"/>
          <w:szCs w:val="24"/>
        </w:rPr>
        <w:t xml:space="preserve">Gonzalo Abad del Busto </w:t>
      </w:r>
      <w:r w:rsidRPr="00744447" w:rsidR="00231C58">
        <w:rPr>
          <w:rFonts w:ascii="Times New Roman" w:hAnsi="Times New Roman" w:cs="Times New Roman"/>
          <w:b/>
          <w:bCs/>
          <w:sz w:val="24"/>
          <w:szCs w:val="24"/>
        </w:rPr>
        <w:t xml:space="preserve">– </w:t>
      </w:r>
      <w:r w:rsidRPr="00744447">
        <w:rPr>
          <w:rFonts w:ascii="Times New Roman" w:hAnsi="Times New Roman" w:cs="Times New Roman"/>
          <w:b/>
          <w:bCs/>
          <w:sz w:val="24"/>
          <w:szCs w:val="24"/>
        </w:rPr>
        <w:t>Vocal</w:t>
      </w:r>
    </w:p>
    <w:p w:rsidRPr="000114A5" w:rsidR="00C671F5" w:rsidP="00C671F5" w:rsidRDefault="00C671F5" w14:paraId="33E0FAB8" w14:textId="77777777">
      <w:pPr>
        <w:suppressAutoHyphens/>
        <w:spacing w:after="0" w:line="360" w:lineRule="auto"/>
        <w:outlineLvl w:val="0"/>
        <w:rPr>
          <w:rFonts w:ascii="Times New Roman" w:hAnsi="Times New Roman" w:eastAsia="Arial Unicode MS" w:cs="Times New Roman"/>
          <w:lang w:val="es-ES" w:eastAsia="ar-SA"/>
        </w:rPr>
      </w:pPr>
    </w:p>
    <w:p w:rsidRPr="00C671F5"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C671F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60034" w:rsidP="00784355" w:rsidRDefault="00760034" w14:paraId="4EFEF893" w14:textId="77777777">
      <w:pPr>
        <w:spacing w:after="0" w:line="240" w:lineRule="auto"/>
      </w:pPr>
      <w:r>
        <w:separator/>
      </w:r>
    </w:p>
  </w:endnote>
  <w:endnote w:type="continuationSeparator" w:id="0">
    <w:p w:rsidR="00760034" w:rsidP="00784355" w:rsidRDefault="00760034" w14:paraId="701749B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60034" w:rsidP="00784355" w:rsidRDefault="00760034" w14:paraId="6A90C3AC" w14:textId="77777777">
      <w:pPr>
        <w:spacing w:after="0" w:line="240" w:lineRule="auto"/>
      </w:pPr>
      <w:r>
        <w:separator/>
      </w:r>
    </w:p>
  </w:footnote>
  <w:footnote w:type="continuationSeparator" w:id="0">
    <w:p w:rsidR="00760034" w:rsidP="00784355" w:rsidRDefault="00760034" w14:paraId="40589EF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10987"/>
    <w:rsid w:val="00013057"/>
    <w:rsid w:val="000159CC"/>
    <w:rsid w:val="00015C22"/>
    <w:rsid w:val="000167E0"/>
    <w:rsid w:val="000235E9"/>
    <w:rsid w:val="0002637D"/>
    <w:rsid w:val="0002733C"/>
    <w:rsid w:val="00027978"/>
    <w:rsid w:val="0004480C"/>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7261F"/>
    <w:rsid w:val="00272F4F"/>
    <w:rsid w:val="0027301E"/>
    <w:rsid w:val="00274985"/>
    <w:rsid w:val="002768C6"/>
    <w:rsid w:val="00276A92"/>
    <w:rsid w:val="00277667"/>
    <w:rsid w:val="00290CA4"/>
    <w:rsid w:val="00292018"/>
    <w:rsid w:val="002A31D3"/>
    <w:rsid w:val="002A7E2E"/>
    <w:rsid w:val="002B726E"/>
    <w:rsid w:val="002C2A0F"/>
    <w:rsid w:val="002D0DB0"/>
    <w:rsid w:val="002D3B01"/>
    <w:rsid w:val="002E1221"/>
    <w:rsid w:val="002E17F9"/>
    <w:rsid w:val="002F09CA"/>
    <w:rsid w:val="002F35F0"/>
    <w:rsid w:val="003045E3"/>
    <w:rsid w:val="0032132E"/>
    <w:rsid w:val="00340E4B"/>
    <w:rsid w:val="00345DF0"/>
    <w:rsid w:val="00345F7F"/>
    <w:rsid w:val="00347D7E"/>
    <w:rsid w:val="00353092"/>
    <w:rsid w:val="003544B1"/>
    <w:rsid w:val="00357D70"/>
    <w:rsid w:val="00362449"/>
    <w:rsid w:val="00364E0F"/>
    <w:rsid w:val="00366842"/>
    <w:rsid w:val="00367746"/>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40BC2"/>
    <w:rsid w:val="00444232"/>
    <w:rsid w:val="00460C30"/>
    <w:rsid w:val="00465FB9"/>
    <w:rsid w:val="00466302"/>
    <w:rsid w:val="0047370C"/>
    <w:rsid w:val="0047522D"/>
    <w:rsid w:val="00476BA1"/>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4C21"/>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90926"/>
    <w:rsid w:val="00A97287"/>
    <w:rsid w:val="00AA2DED"/>
    <w:rsid w:val="00AB1C66"/>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56C4"/>
    <w:rsid w:val="00BB2152"/>
    <w:rsid w:val="00BB2BE0"/>
    <w:rsid w:val="00BB405B"/>
    <w:rsid w:val="00BC29D0"/>
    <w:rsid w:val="00BD797F"/>
    <w:rsid w:val="00BE1470"/>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221DCB2"/>
    <w:rsid w:val="0DFD2C0F"/>
    <w:rsid w:val="1626E92D"/>
    <w:rsid w:val="23CA0230"/>
    <w:rsid w:val="2C2EAC9D"/>
    <w:rsid w:val="388A7A66"/>
    <w:rsid w:val="3B498760"/>
    <w:rsid w:val="6C1D890C"/>
    <w:rsid w:val="714E9A32"/>
    <w:rsid w:val="7AD5858C"/>
    <w:rsid w:val="7AEE4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CB681F1-F924-4047-AAD4-C814D292F357}"/>
</file>

<file path=customXml/itemProps3.xml><?xml version="1.0" encoding="utf-8"?>
<ds:datastoreItem xmlns:ds="http://schemas.openxmlformats.org/officeDocument/2006/customXml" ds:itemID="{0E693633-9A3E-410B-9080-22EF364A411B}"/>
</file>

<file path=customXml/itemProps4.xml><?xml version="1.0" encoding="utf-8"?>
<ds:datastoreItem xmlns:ds="http://schemas.openxmlformats.org/officeDocument/2006/customXml" ds:itemID="{D09CBEC6-5508-47D9-A01E-769CAF9B34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12</cp:revision>
  <cp:lastPrinted>2021-01-25T17:57:00Z</cp:lastPrinted>
  <dcterms:created xsi:type="dcterms:W3CDTF">2020-12-18T20:17:00Z</dcterms:created>
  <dcterms:modified xsi:type="dcterms:W3CDTF">2026-01-27T19:42:24Z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