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072C60" w:rsidR="00707C99" w:rsidP="00072C60" w:rsidRDefault="00201C0D" w14:paraId="19FE0E96" w14:textId="5EDD3DE8">
      <w:pPr>
        <w:spacing w:after="0" w:line="240" w:lineRule="auto"/>
        <w:jc w:val="center"/>
        <w:rPr>
          <w:rFonts w:ascii="Times New Roman" w:hAnsi="Times New Roman" w:cs="Times New Roman"/>
          <w:b/>
          <w:sz w:val="24"/>
          <w:szCs w:val="24"/>
          <w:lang w:val="es-PE" w:eastAsia="ar-SA"/>
        </w:rPr>
      </w:pPr>
      <w:r w:rsidRPr="00072C60">
        <w:rPr>
          <w:rFonts w:ascii="Times New Roman" w:hAnsi="Times New Roman" w:cs="Times New Roman"/>
          <w:b/>
          <w:sz w:val="24"/>
          <w:szCs w:val="24"/>
          <w:lang w:val="es-PE" w:eastAsia="ar-SA"/>
        </w:rPr>
        <w:t xml:space="preserve">RESOLUCIÓN DE RECURSO IMPUGNATIVO </w:t>
      </w:r>
      <w:proofErr w:type="spellStart"/>
      <w:r w:rsidRPr="00072C60" w:rsidR="00707C99">
        <w:rPr>
          <w:rFonts w:ascii="Times New Roman" w:hAnsi="Times New Roman" w:cs="Times New Roman"/>
          <w:b/>
          <w:sz w:val="24"/>
          <w:szCs w:val="24"/>
          <w:lang w:val="es-PE" w:eastAsia="ar-SA"/>
        </w:rPr>
        <w:t>N°</w:t>
      </w:r>
      <w:proofErr w:type="spellEnd"/>
      <w:r w:rsidRPr="00072C60" w:rsidR="00707C99">
        <w:rPr>
          <w:rFonts w:ascii="Times New Roman" w:hAnsi="Times New Roman" w:cs="Times New Roman"/>
          <w:b/>
          <w:sz w:val="24"/>
          <w:szCs w:val="24"/>
          <w:lang w:val="es-PE" w:eastAsia="ar-SA"/>
        </w:rPr>
        <w:t xml:space="preserve"> </w:t>
      </w:r>
      <w:r w:rsidRPr="00072C60" w:rsidR="00C671F5">
        <w:rPr>
          <w:rFonts w:ascii="Times New Roman" w:hAnsi="Times New Roman" w:cs="Times New Roman"/>
          <w:b/>
          <w:sz w:val="24"/>
          <w:szCs w:val="24"/>
          <w:lang w:val="es-PE" w:eastAsia="ar-SA"/>
        </w:rPr>
        <w:t>0</w:t>
      </w:r>
      <w:r w:rsidRPr="00072C60" w:rsidR="00231C58">
        <w:rPr>
          <w:rFonts w:ascii="Times New Roman" w:hAnsi="Times New Roman" w:cs="Times New Roman"/>
          <w:b/>
          <w:sz w:val="24"/>
          <w:szCs w:val="24"/>
          <w:lang w:val="es-PE" w:eastAsia="ar-SA"/>
        </w:rPr>
        <w:t>0</w:t>
      </w:r>
      <w:r w:rsidRPr="00072C60" w:rsidR="00072C60">
        <w:rPr>
          <w:rFonts w:ascii="Times New Roman" w:hAnsi="Times New Roman" w:cs="Times New Roman"/>
          <w:b/>
          <w:sz w:val="24"/>
          <w:szCs w:val="24"/>
          <w:lang w:val="es-PE" w:eastAsia="ar-SA"/>
        </w:rPr>
        <w:t>4</w:t>
      </w:r>
      <w:r w:rsidRPr="00072C60" w:rsidR="00C671F5">
        <w:rPr>
          <w:rFonts w:ascii="Times New Roman" w:hAnsi="Times New Roman" w:cs="Times New Roman"/>
          <w:b/>
          <w:sz w:val="24"/>
          <w:szCs w:val="24"/>
          <w:lang w:val="es-PE" w:eastAsia="ar-SA"/>
        </w:rPr>
        <w:t>/2</w:t>
      </w:r>
      <w:r w:rsidRPr="00072C60" w:rsidR="00231C58">
        <w:rPr>
          <w:rFonts w:ascii="Times New Roman" w:hAnsi="Times New Roman" w:cs="Times New Roman"/>
          <w:b/>
          <w:sz w:val="24"/>
          <w:szCs w:val="24"/>
          <w:lang w:val="es-PE" w:eastAsia="ar-SA"/>
        </w:rPr>
        <w:t>1</w:t>
      </w:r>
    </w:p>
    <w:p w:rsidRPr="00072C60" w:rsidR="00707C99" w:rsidP="00072C60" w:rsidRDefault="00707C99" w14:paraId="428240E5" w14:textId="06F06948">
      <w:pPr>
        <w:suppressAutoHyphens/>
        <w:spacing w:after="0" w:line="240" w:lineRule="auto"/>
        <w:jc w:val="both"/>
        <w:rPr>
          <w:rFonts w:ascii="Times New Roman" w:hAnsi="Times New Roman" w:eastAsia="Times New Roman" w:cs="Times New Roman"/>
          <w:b/>
          <w:bCs/>
          <w:sz w:val="24"/>
          <w:szCs w:val="24"/>
          <w:lang w:val="es-PE" w:eastAsia="ar-SA"/>
        </w:rPr>
      </w:pPr>
    </w:p>
    <w:p w:rsidRPr="00072C60" w:rsidR="00B32325" w:rsidP="00072C60" w:rsidRDefault="00B32325" w14:paraId="500397C4" w14:textId="77777777">
      <w:pPr>
        <w:suppressAutoHyphens/>
        <w:spacing w:after="0" w:line="240" w:lineRule="auto"/>
        <w:jc w:val="both"/>
        <w:rPr>
          <w:rFonts w:ascii="Times New Roman" w:hAnsi="Times New Roman" w:eastAsia="Times New Roman" w:cs="Times New Roman"/>
          <w:b/>
          <w:bCs/>
          <w:sz w:val="24"/>
          <w:szCs w:val="24"/>
          <w:lang w:val="es-PE" w:eastAsia="ar-SA"/>
        </w:rPr>
      </w:pPr>
    </w:p>
    <w:p w:rsidRPr="00072C60" w:rsidR="00072C60" w:rsidP="00072C60" w:rsidRDefault="00072C60" w14:paraId="689CC76B" w14:textId="77777777">
      <w:pPr>
        <w:jc w:val="both"/>
        <w:outlineLvl w:val="0"/>
        <w:rPr>
          <w:rFonts w:ascii="Times New Roman" w:hAnsi="Times New Roman" w:cs="Times New Roman"/>
          <w:b/>
          <w:sz w:val="24"/>
          <w:szCs w:val="24"/>
          <w:lang w:val="es-PE"/>
        </w:rPr>
      </w:pPr>
      <w:r w:rsidRPr="00072C60">
        <w:rPr>
          <w:rFonts w:ascii="Times New Roman" w:hAnsi="Times New Roman" w:cs="Times New Roman"/>
          <w:b/>
          <w:sz w:val="24"/>
          <w:szCs w:val="24"/>
          <w:lang w:val="es-PE"/>
        </w:rPr>
        <w:t>VISTOS:</w:t>
      </w:r>
    </w:p>
    <w:p w:rsidRPr="00072C60" w:rsidR="00072C60" w:rsidP="00072C60" w:rsidRDefault="00072C60" w14:paraId="619B416A" w14:textId="77777777">
      <w:pPr>
        <w:jc w:val="both"/>
        <w:rPr>
          <w:rFonts w:ascii="Times New Roman" w:hAnsi="Times New Roman" w:cs="Times New Roman"/>
          <w:bCs/>
          <w:sz w:val="24"/>
          <w:szCs w:val="24"/>
          <w:lang w:val="es-PE"/>
        </w:rPr>
      </w:pPr>
    </w:p>
    <w:p w:rsidRPr="00072C60" w:rsidR="00072C60" w:rsidP="1A6188D7" w:rsidRDefault="00072C60" w14:paraId="1C296EC7" w14:textId="7B8D3965">
      <w:pPr>
        <w:jc w:val="both"/>
        <w:rPr>
          <w:rFonts w:ascii="Times New Roman" w:hAnsi="Times New Roman" w:cs="Times New Roman"/>
          <w:sz w:val="24"/>
          <w:szCs w:val="24"/>
          <w:lang w:val="en-US"/>
        </w:rPr>
      </w:pPr>
      <w:r w:rsidRPr="1A6188D7" w:rsidR="00072C60">
        <w:rPr>
          <w:rFonts w:ascii="Times New Roman" w:hAnsi="Times New Roman" w:cs="Times New Roman"/>
          <w:sz w:val="24"/>
          <w:szCs w:val="24"/>
          <w:lang w:val="en-US"/>
        </w:rPr>
        <w:t xml:space="preserve">El </w:t>
      </w:r>
      <w:r w:rsidRPr="1A6188D7" w:rsidR="00072C60">
        <w:rPr>
          <w:rFonts w:ascii="Times New Roman" w:hAnsi="Times New Roman" w:cs="Times New Roman"/>
          <w:sz w:val="24"/>
          <w:szCs w:val="24"/>
          <w:lang w:val="en-US"/>
        </w:rPr>
        <w:t>recurso</w:t>
      </w:r>
      <w:r w:rsidRPr="1A6188D7" w:rsidR="00072C60">
        <w:rPr>
          <w:rFonts w:ascii="Times New Roman" w:hAnsi="Times New Roman" w:cs="Times New Roman"/>
          <w:sz w:val="24"/>
          <w:szCs w:val="24"/>
          <w:lang w:val="en-US"/>
        </w:rPr>
        <w:t xml:space="preserve"> de </w:t>
      </w:r>
      <w:r w:rsidRPr="1A6188D7" w:rsidR="00072C60">
        <w:rPr>
          <w:rFonts w:ascii="Times New Roman" w:hAnsi="Times New Roman" w:cs="Times New Roman"/>
          <w:sz w:val="24"/>
          <w:szCs w:val="24"/>
          <w:lang w:val="en-US"/>
        </w:rPr>
        <w:t>impugnación</w:t>
      </w:r>
      <w:r w:rsidRPr="1A6188D7" w:rsidR="00072C60">
        <w:rPr>
          <w:rFonts w:ascii="Times New Roman" w:hAnsi="Times New Roman" w:cs="Times New Roman"/>
          <w:sz w:val="24"/>
          <w:szCs w:val="24"/>
          <w:lang w:val="en-US"/>
        </w:rPr>
        <w:t xml:space="preserve"> </w:t>
      </w:r>
      <w:r w:rsidRPr="1A6188D7" w:rsidR="00072C60">
        <w:rPr>
          <w:rFonts w:ascii="Times New Roman" w:hAnsi="Times New Roman" w:cs="Times New Roman"/>
          <w:sz w:val="24"/>
          <w:szCs w:val="24"/>
          <w:lang w:val="en-US"/>
        </w:rPr>
        <w:t>presentado</w:t>
      </w:r>
      <w:r w:rsidRPr="1A6188D7" w:rsidR="00072C60">
        <w:rPr>
          <w:rFonts w:ascii="Times New Roman" w:hAnsi="Times New Roman" w:cs="Times New Roman"/>
          <w:sz w:val="24"/>
          <w:szCs w:val="24"/>
          <w:lang w:val="en-US"/>
        </w:rPr>
        <w:t xml:space="preserve"> </w:t>
      </w:r>
      <w:r w:rsidRPr="1A6188D7" w:rsidR="00072C60">
        <w:rPr>
          <w:rFonts w:ascii="Times New Roman" w:hAnsi="Times New Roman" w:cs="Times New Roman"/>
          <w:sz w:val="24"/>
          <w:szCs w:val="24"/>
          <w:lang w:val="en-US"/>
        </w:rPr>
        <w:t>el</w:t>
      </w:r>
      <w:r w:rsidRPr="1A6188D7" w:rsidR="00072C60">
        <w:rPr>
          <w:rFonts w:ascii="Times New Roman" w:hAnsi="Times New Roman" w:cs="Times New Roman"/>
          <w:sz w:val="24"/>
          <w:szCs w:val="24"/>
          <w:lang w:val="en-US"/>
        </w:rPr>
        <w:t xml:space="preserve"> 28 de </w:t>
      </w:r>
      <w:r w:rsidRPr="1A6188D7" w:rsidR="00072C60">
        <w:rPr>
          <w:rFonts w:ascii="Times New Roman" w:hAnsi="Times New Roman" w:cs="Times New Roman"/>
          <w:sz w:val="24"/>
          <w:szCs w:val="24"/>
          <w:lang w:val="en-US"/>
        </w:rPr>
        <w:t>diciembre</w:t>
      </w:r>
      <w:r w:rsidRPr="1A6188D7" w:rsidR="00072C60">
        <w:rPr>
          <w:rFonts w:ascii="Times New Roman" w:hAnsi="Times New Roman" w:cs="Times New Roman"/>
          <w:sz w:val="24"/>
          <w:szCs w:val="24"/>
          <w:lang w:val="en-US"/>
        </w:rPr>
        <w:t xml:space="preserve"> de 2020 </w:t>
      </w:r>
      <w:r w:rsidRPr="1A6188D7" w:rsidR="00072C60">
        <w:rPr>
          <w:rFonts w:ascii="Times New Roman" w:hAnsi="Times New Roman" w:cs="Times New Roman"/>
          <w:sz w:val="24"/>
          <w:szCs w:val="24"/>
          <w:lang w:val="en-US"/>
        </w:rPr>
        <w:t>por</w:t>
      </w:r>
      <w:r w:rsidRPr="1A6188D7" w:rsidR="00072C60">
        <w:rPr>
          <w:rFonts w:ascii="Times New Roman" w:hAnsi="Times New Roman" w:cs="Times New Roman"/>
          <w:sz w:val="24"/>
          <w:szCs w:val="24"/>
          <w:lang w:val="en-US"/>
        </w:rPr>
        <w:t xml:space="preserve"> </w:t>
      </w:r>
      <w:r w:rsidRPr="1A6188D7" w:rsidR="67F6F54A">
        <w:rPr>
          <w:rFonts w:ascii="Times New Roman" w:hAnsi="Times New Roman" w:cs="Times New Roman"/>
          <w:sz w:val="24"/>
          <w:szCs w:val="24"/>
          <w:lang w:val="en-US"/>
        </w:rPr>
        <w:t>.......................................................</w:t>
      </w:r>
      <w:r w:rsidRPr="1A6188D7" w:rsidR="00072C60">
        <w:rPr>
          <w:rFonts w:ascii="Times New Roman" w:hAnsi="Times New Roman" w:cs="Times New Roman"/>
          <w:sz w:val="24"/>
          <w:szCs w:val="24"/>
          <w:lang w:val="en-US"/>
        </w:rPr>
        <w:t xml:space="preserve"> </w:t>
      </w:r>
      <w:r w:rsidRPr="1A6188D7" w:rsidR="00072C60">
        <w:rPr>
          <w:rFonts w:ascii="Times New Roman" w:hAnsi="Times New Roman" w:cs="Times New Roman"/>
          <w:sz w:val="24"/>
          <w:szCs w:val="24"/>
          <w:lang w:val="en-US"/>
        </w:rPr>
        <w:t>respecto</w:t>
      </w:r>
      <w:r w:rsidRPr="1A6188D7" w:rsidR="00072C60">
        <w:rPr>
          <w:rFonts w:ascii="Times New Roman" w:hAnsi="Times New Roman" w:cs="Times New Roman"/>
          <w:sz w:val="24"/>
          <w:szCs w:val="24"/>
          <w:lang w:val="en-US"/>
        </w:rPr>
        <w:t xml:space="preserve"> de la </w:t>
      </w:r>
      <w:r w:rsidRPr="1A6188D7" w:rsidR="00072C60">
        <w:rPr>
          <w:rFonts w:ascii="Times New Roman" w:hAnsi="Times New Roman" w:cs="Times New Roman"/>
          <w:sz w:val="24"/>
          <w:szCs w:val="24"/>
          <w:lang w:val="en-US"/>
        </w:rPr>
        <w:t>Resolución</w:t>
      </w:r>
      <w:r w:rsidRPr="1A6188D7" w:rsidR="00072C60">
        <w:rPr>
          <w:rFonts w:ascii="Times New Roman" w:hAnsi="Times New Roman" w:cs="Times New Roman"/>
          <w:sz w:val="24"/>
          <w:szCs w:val="24"/>
          <w:lang w:val="en-US"/>
        </w:rPr>
        <w:t xml:space="preserve"> </w:t>
      </w:r>
      <w:r w:rsidRPr="1A6188D7" w:rsidR="00072C60">
        <w:rPr>
          <w:rFonts w:ascii="Times New Roman" w:hAnsi="Times New Roman" w:cs="Times New Roman"/>
          <w:sz w:val="24"/>
          <w:szCs w:val="24"/>
          <w:lang w:val="en-US"/>
        </w:rPr>
        <w:t>Nro</w:t>
      </w:r>
      <w:r w:rsidRPr="1A6188D7" w:rsidR="00072C60">
        <w:rPr>
          <w:rFonts w:ascii="Times New Roman" w:hAnsi="Times New Roman" w:cs="Times New Roman"/>
          <w:sz w:val="24"/>
          <w:szCs w:val="24"/>
          <w:lang w:val="en-US"/>
        </w:rPr>
        <w:t xml:space="preserve">. 128/20 de </w:t>
      </w:r>
      <w:r w:rsidRPr="1A6188D7" w:rsidR="00072C60">
        <w:rPr>
          <w:rFonts w:ascii="Times New Roman" w:hAnsi="Times New Roman" w:cs="Times New Roman"/>
          <w:sz w:val="24"/>
          <w:szCs w:val="24"/>
          <w:lang w:val="en-US"/>
        </w:rPr>
        <w:t>fecha</w:t>
      </w:r>
      <w:r w:rsidRPr="1A6188D7" w:rsidR="00072C60">
        <w:rPr>
          <w:rFonts w:ascii="Times New Roman" w:hAnsi="Times New Roman" w:cs="Times New Roman"/>
          <w:sz w:val="24"/>
          <w:szCs w:val="24"/>
          <w:lang w:val="en-US"/>
        </w:rPr>
        <w:t xml:space="preserve"> 15 de </w:t>
      </w:r>
      <w:r w:rsidRPr="1A6188D7" w:rsidR="00072C60">
        <w:rPr>
          <w:rFonts w:ascii="Times New Roman" w:hAnsi="Times New Roman" w:cs="Times New Roman"/>
          <w:sz w:val="24"/>
          <w:szCs w:val="24"/>
          <w:lang w:val="en-US"/>
        </w:rPr>
        <w:t>diciembre</w:t>
      </w:r>
      <w:r w:rsidRPr="1A6188D7" w:rsidR="00072C60">
        <w:rPr>
          <w:rFonts w:ascii="Times New Roman" w:hAnsi="Times New Roman" w:cs="Times New Roman"/>
          <w:sz w:val="24"/>
          <w:szCs w:val="24"/>
          <w:lang w:val="en-US"/>
        </w:rPr>
        <w:t xml:space="preserve"> de 2020, </w:t>
      </w:r>
      <w:r w:rsidRPr="1A6188D7" w:rsidR="00072C60">
        <w:rPr>
          <w:rFonts w:ascii="Times New Roman" w:hAnsi="Times New Roman" w:cs="Times New Roman"/>
          <w:sz w:val="24"/>
          <w:szCs w:val="24"/>
          <w:lang w:val="en-US"/>
        </w:rPr>
        <w:t>expedida</w:t>
      </w:r>
      <w:r w:rsidRPr="1A6188D7" w:rsidR="00072C60">
        <w:rPr>
          <w:rFonts w:ascii="Times New Roman" w:hAnsi="Times New Roman" w:cs="Times New Roman"/>
          <w:sz w:val="24"/>
          <w:szCs w:val="24"/>
          <w:lang w:val="en-US"/>
        </w:rPr>
        <w:t xml:space="preserve"> </w:t>
      </w:r>
      <w:r w:rsidRPr="1A6188D7" w:rsidR="00072C60">
        <w:rPr>
          <w:rFonts w:ascii="Times New Roman" w:hAnsi="Times New Roman" w:cs="Times New Roman"/>
          <w:sz w:val="24"/>
          <w:szCs w:val="24"/>
          <w:lang w:val="en-US"/>
        </w:rPr>
        <w:t>por</w:t>
      </w:r>
      <w:r w:rsidRPr="1A6188D7" w:rsidR="00072C60">
        <w:rPr>
          <w:rFonts w:ascii="Times New Roman" w:hAnsi="Times New Roman" w:cs="Times New Roman"/>
          <w:sz w:val="24"/>
          <w:szCs w:val="24"/>
          <w:lang w:val="en-US"/>
        </w:rPr>
        <w:t xml:space="preserve"> </w:t>
      </w:r>
      <w:r w:rsidRPr="1A6188D7" w:rsidR="00072C60">
        <w:rPr>
          <w:rFonts w:ascii="Times New Roman" w:hAnsi="Times New Roman" w:cs="Times New Roman"/>
          <w:sz w:val="24"/>
          <w:szCs w:val="24"/>
          <w:lang w:val="en-US"/>
        </w:rPr>
        <w:t>esta</w:t>
      </w:r>
      <w:r w:rsidRPr="1A6188D7" w:rsidR="00072C60">
        <w:rPr>
          <w:rFonts w:ascii="Times New Roman" w:hAnsi="Times New Roman" w:cs="Times New Roman"/>
          <w:sz w:val="24"/>
          <w:szCs w:val="24"/>
          <w:lang w:val="en-US"/>
        </w:rPr>
        <w:t xml:space="preserve"> </w:t>
      </w:r>
      <w:r w:rsidRPr="1A6188D7" w:rsidR="00072C60">
        <w:rPr>
          <w:rFonts w:ascii="Times New Roman" w:hAnsi="Times New Roman" w:cs="Times New Roman"/>
          <w:sz w:val="24"/>
          <w:szCs w:val="24"/>
          <w:lang w:val="en-US"/>
        </w:rPr>
        <w:t>Defensoría</w:t>
      </w:r>
      <w:r w:rsidRPr="1A6188D7" w:rsidR="00072C60">
        <w:rPr>
          <w:rFonts w:ascii="Times New Roman" w:hAnsi="Times New Roman" w:cs="Times New Roman"/>
          <w:sz w:val="24"/>
          <w:szCs w:val="24"/>
          <w:lang w:val="en-US"/>
        </w:rPr>
        <w:t xml:space="preserve"> del </w:t>
      </w:r>
      <w:r w:rsidRPr="1A6188D7" w:rsidR="00072C60">
        <w:rPr>
          <w:rFonts w:ascii="Times New Roman" w:hAnsi="Times New Roman" w:cs="Times New Roman"/>
          <w:sz w:val="24"/>
          <w:szCs w:val="24"/>
          <w:lang w:val="en-US"/>
        </w:rPr>
        <w:t>Asegurado</w:t>
      </w:r>
      <w:r w:rsidRPr="1A6188D7" w:rsidR="00072C60">
        <w:rPr>
          <w:rFonts w:ascii="Times New Roman" w:hAnsi="Times New Roman" w:cs="Times New Roman"/>
          <w:sz w:val="24"/>
          <w:szCs w:val="24"/>
          <w:lang w:val="en-US"/>
        </w:rPr>
        <w:t xml:space="preserve"> (DEFASEG), </w:t>
      </w:r>
      <w:r w:rsidRPr="1A6188D7" w:rsidR="00072C60">
        <w:rPr>
          <w:rFonts w:ascii="Times New Roman" w:hAnsi="Times New Roman" w:cs="Times New Roman"/>
          <w:sz w:val="24"/>
          <w:szCs w:val="24"/>
          <w:lang w:val="en-US"/>
        </w:rPr>
        <w:t>conforme</w:t>
      </w:r>
      <w:r w:rsidRPr="1A6188D7" w:rsidR="00072C60">
        <w:rPr>
          <w:rFonts w:ascii="Times New Roman" w:hAnsi="Times New Roman" w:cs="Times New Roman"/>
          <w:sz w:val="24"/>
          <w:szCs w:val="24"/>
          <w:lang w:val="en-US"/>
        </w:rPr>
        <w:t xml:space="preserve"> a la </w:t>
      </w:r>
      <w:r w:rsidRPr="1A6188D7" w:rsidR="00072C60">
        <w:rPr>
          <w:rFonts w:ascii="Times New Roman" w:hAnsi="Times New Roman" w:cs="Times New Roman"/>
          <w:sz w:val="24"/>
          <w:szCs w:val="24"/>
          <w:lang w:val="en-US"/>
        </w:rPr>
        <w:t>cual</w:t>
      </w:r>
      <w:r w:rsidRPr="1A6188D7" w:rsidR="00072C60">
        <w:rPr>
          <w:rFonts w:ascii="Times New Roman" w:hAnsi="Times New Roman" w:cs="Times New Roman"/>
          <w:sz w:val="24"/>
          <w:szCs w:val="24"/>
          <w:lang w:val="en-US"/>
        </w:rPr>
        <w:t xml:space="preserve"> se </w:t>
      </w:r>
      <w:r w:rsidRPr="1A6188D7" w:rsidR="00072C60">
        <w:rPr>
          <w:rFonts w:ascii="Times New Roman" w:hAnsi="Times New Roman" w:cs="Times New Roman"/>
          <w:sz w:val="24"/>
          <w:szCs w:val="24"/>
          <w:lang w:val="en-US"/>
        </w:rPr>
        <w:t>declaró</w:t>
      </w:r>
      <w:r w:rsidRPr="1A6188D7" w:rsidR="00072C60">
        <w:rPr>
          <w:rFonts w:ascii="Times New Roman" w:hAnsi="Times New Roman" w:cs="Times New Roman"/>
          <w:sz w:val="24"/>
          <w:szCs w:val="24"/>
          <w:lang w:val="en-US"/>
        </w:rPr>
        <w:t xml:space="preserve"> INFUNDADA la </w:t>
      </w:r>
      <w:r w:rsidRPr="1A6188D7" w:rsidR="00072C60">
        <w:rPr>
          <w:rFonts w:ascii="Times New Roman" w:hAnsi="Times New Roman" w:cs="Times New Roman"/>
          <w:sz w:val="24"/>
          <w:szCs w:val="24"/>
          <w:lang w:val="en-US"/>
        </w:rPr>
        <w:t>reclamación</w:t>
      </w:r>
      <w:r w:rsidRPr="1A6188D7" w:rsidR="00072C60">
        <w:rPr>
          <w:rFonts w:ascii="Times New Roman" w:hAnsi="Times New Roman" w:cs="Times New Roman"/>
          <w:sz w:val="24"/>
          <w:szCs w:val="24"/>
          <w:lang w:val="en-US"/>
        </w:rPr>
        <w:t xml:space="preserve"> </w:t>
      </w:r>
      <w:r w:rsidRPr="1A6188D7" w:rsidR="00072C60">
        <w:rPr>
          <w:rFonts w:ascii="Times New Roman" w:hAnsi="Times New Roman" w:cs="Times New Roman"/>
          <w:sz w:val="24"/>
          <w:szCs w:val="24"/>
          <w:lang w:val="en-US"/>
        </w:rPr>
        <w:t>interpuesta</w:t>
      </w:r>
      <w:r w:rsidRPr="1A6188D7" w:rsidR="00072C60">
        <w:rPr>
          <w:rFonts w:ascii="Times New Roman" w:hAnsi="Times New Roman" w:cs="Times New Roman"/>
          <w:sz w:val="24"/>
          <w:szCs w:val="24"/>
          <w:lang w:val="en-US"/>
        </w:rPr>
        <w:t xml:space="preserve"> contra </w:t>
      </w:r>
      <w:r w:rsidRPr="1A6188D7" w:rsidR="40553A93">
        <w:rPr>
          <w:rFonts w:ascii="Times New Roman" w:hAnsi="Times New Roman" w:cs="Times New Roman"/>
          <w:sz w:val="24"/>
          <w:szCs w:val="24"/>
          <w:lang w:val="en-US"/>
        </w:rPr>
        <w:t>...........................</w:t>
      </w:r>
      <w:r w:rsidRPr="1A6188D7" w:rsidR="00072C60">
        <w:rPr>
          <w:rFonts w:ascii="Times New Roman" w:hAnsi="Times New Roman" w:cs="Times New Roman"/>
          <w:sz w:val="24"/>
          <w:szCs w:val="24"/>
          <w:lang w:val="en-US"/>
        </w:rPr>
        <w:t xml:space="preserve"> </w:t>
      </w:r>
      <w:r w:rsidRPr="1A6188D7" w:rsidR="00072C60">
        <w:rPr>
          <w:rFonts w:ascii="Times New Roman" w:hAnsi="Times New Roman" w:cs="Times New Roman"/>
          <w:sz w:val="24"/>
          <w:szCs w:val="24"/>
          <w:lang w:val="en-US"/>
        </w:rPr>
        <w:t>respecto</w:t>
      </w:r>
      <w:r w:rsidRPr="1A6188D7" w:rsidR="00072C60">
        <w:rPr>
          <w:rFonts w:ascii="Times New Roman" w:hAnsi="Times New Roman" w:cs="Times New Roman"/>
          <w:sz w:val="24"/>
          <w:szCs w:val="24"/>
          <w:lang w:val="en-US"/>
        </w:rPr>
        <w:t xml:space="preserve"> al Seguro Vehicular </w:t>
      </w:r>
      <w:r w:rsidRPr="1A6188D7" w:rsidR="00072C60">
        <w:rPr>
          <w:rFonts w:ascii="Times New Roman" w:hAnsi="Times New Roman" w:cs="Times New Roman"/>
          <w:sz w:val="24"/>
          <w:szCs w:val="24"/>
          <w:lang w:val="en-US"/>
        </w:rPr>
        <w:t>Póliza</w:t>
      </w:r>
      <w:r w:rsidRPr="1A6188D7" w:rsidR="00072C60">
        <w:rPr>
          <w:rFonts w:ascii="Times New Roman" w:hAnsi="Times New Roman" w:cs="Times New Roman"/>
          <w:sz w:val="24"/>
          <w:szCs w:val="24"/>
          <w:lang w:val="en-US"/>
        </w:rPr>
        <w:t xml:space="preserve"> de </w:t>
      </w:r>
      <w:r w:rsidRPr="1A6188D7" w:rsidR="00072C60">
        <w:rPr>
          <w:rFonts w:ascii="Times New Roman" w:hAnsi="Times New Roman" w:cs="Times New Roman"/>
          <w:sz w:val="24"/>
          <w:szCs w:val="24"/>
          <w:lang w:val="en-US"/>
        </w:rPr>
        <w:t>Automóviles</w:t>
      </w:r>
      <w:r w:rsidRPr="1A6188D7" w:rsidR="00072C60">
        <w:rPr>
          <w:rFonts w:ascii="Times New Roman" w:hAnsi="Times New Roman" w:cs="Times New Roman"/>
          <w:sz w:val="24"/>
          <w:szCs w:val="24"/>
          <w:lang w:val="en-US"/>
        </w:rPr>
        <w:t xml:space="preserve"> </w:t>
      </w:r>
      <w:r w:rsidRPr="1A6188D7" w:rsidR="00072C60">
        <w:rPr>
          <w:rFonts w:ascii="Times New Roman" w:hAnsi="Times New Roman" w:cs="Times New Roman"/>
          <w:sz w:val="24"/>
          <w:szCs w:val="24"/>
          <w:lang w:val="en-US"/>
        </w:rPr>
        <w:t>Nro</w:t>
      </w:r>
      <w:r w:rsidRPr="1A6188D7" w:rsidR="00072C60">
        <w:rPr>
          <w:rFonts w:ascii="Times New Roman" w:hAnsi="Times New Roman" w:cs="Times New Roman"/>
          <w:sz w:val="24"/>
          <w:szCs w:val="24"/>
          <w:lang w:val="en-US"/>
        </w:rPr>
        <w:t xml:space="preserve">. </w:t>
      </w:r>
      <w:r w:rsidRPr="1A6188D7" w:rsidR="29CC3B20">
        <w:rPr>
          <w:rFonts w:ascii="Times New Roman" w:hAnsi="Times New Roman" w:cs="Times New Roman"/>
          <w:sz w:val="24"/>
          <w:szCs w:val="24"/>
          <w:lang w:val="en-US"/>
        </w:rPr>
        <w:t>..............................</w:t>
      </w:r>
      <w:r w:rsidRPr="1A6188D7" w:rsidR="29CC3B20">
        <w:rPr>
          <w:rFonts w:ascii="Times New Roman" w:hAnsi="Times New Roman" w:cs="Times New Roman"/>
          <w:sz w:val="24"/>
          <w:szCs w:val="24"/>
          <w:lang w:val="en-US"/>
        </w:rPr>
        <w:t>.</w:t>
      </w:r>
      <w:r w:rsidRPr="1A6188D7" w:rsidR="00072C60">
        <w:rPr>
          <w:rFonts w:ascii="Times New Roman" w:hAnsi="Times New Roman" w:cs="Times New Roman"/>
          <w:sz w:val="24"/>
          <w:szCs w:val="24"/>
          <w:lang w:val="en-US"/>
        </w:rPr>
        <w:t>;</w:t>
      </w:r>
      <w:r w:rsidRPr="1A6188D7" w:rsidR="00072C60">
        <w:rPr>
          <w:rFonts w:ascii="Times New Roman" w:hAnsi="Times New Roman" w:cs="Times New Roman"/>
          <w:sz w:val="24"/>
          <w:szCs w:val="24"/>
          <w:lang w:val="en-US"/>
        </w:rPr>
        <w:t xml:space="preserve">  </w:t>
      </w:r>
      <w:bookmarkStart w:name="OLE_LINK2" w:id="0"/>
    </w:p>
    <w:bookmarkEnd w:id="0"/>
    <w:p w:rsidRPr="00072C60" w:rsidR="00072C60" w:rsidP="00072C60" w:rsidRDefault="00072C60" w14:paraId="7C8B9803" w14:textId="77777777">
      <w:pPr>
        <w:jc w:val="both"/>
        <w:rPr>
          <w:rFonts w:ascii="Times New Roman" w:hAnsi="Times New Roman" w:cs="Times New Roman"/>
          <w:bCs/>
          <w:sz w:val="24"/>
          <w:szCs w:val="24"/>
          <w:lang w:val="es-PE"/>
        </w:rPr>
      </w:pPr>
    </w:p>
    <w:p w:rsidRPr="00072C60" w:rsidR="00072C60" w:rsidP="00072C60" w:rsidRDefault="00072C60" w14:paraId="1253B57C" w14:textId="37F2E018">
      <w:pPr>
        <w:pStyle w:val="Textoindependiente"/>
        <w:rPr>
          <w:lang w:val="es-PE"/>
        </w:rPr>
      </w:pPr>
      <w:r w:rsidRPr="1088ECB7" w:rsidR="00072C60">
        <w:rPr>
          <w:lang w:val="es-PE"/>
        </w:rPr>
        <w:t>Que, el indicado recurso se sustenta resumidamente en lo siguiente: a) considera que la resolución está revestida de elementos subjetivos y con carácter de prejuzgamiento sobre su conducta supuestamen</w:t>
      </w:r>
      <w:r w:rsidRPr="1088ECB7" w:rsidR="10F0A77D">
        <w:rPr>
          <w:lang w:val="es-PE"/>
        </w:rPr>
        <w:t xml:space="preserve"> </w:t>
      </w:r>
      <w:r w:rsidRPr="1088ECB7" w:rsidR="00072C60">
        <w:rPr>
          <w:lang w:val="es-PE"/>
        </w:rPr>
        <w:t xml:space="preserve">te fraudulenta con la que habría actuado con la finalidad de perjudicar a la aseguradora, en abierta inobservancia a lo dispuesto por los artículos 69 y 73 de la Ley </w:t>
      </w:r>
      <w:r w:rsidRPr="1088ECB7" w:rsidR="00072C60">
        <w:rPr>
          <w:lang w:val="es-PE"/>
        </w:rPr>
        <w:t>Nº</w:t>
      </w:r>
      <w:r w:rsidRPr="1088ECB7" w:rsidR="00072C60">
        <w:rPr>
          <w:lang w:val="es-PE"/>
        </w:rPr>
        <w:t xml:space="preserve"> 29946; b) si en un primer lugar dijo que el conductor era un amigo, de ello no se puede colegir que se trata de una acción fraudulenta, el error fue producto del shock en el que se encontraba; que ello no impedía conocer las reales causas del siniestro, el estado de ecuanimidad del conductor y que con esa contradicción habría buscado evitar se conozcan las verdaderas causas del siniestro; porque está demostrado que el siniestro se originó por la conducta negligente del conductor de la otra unidad que invadió el carril por donde circulaba; c) que sí se puede identificar al conductor pues </w:t>
      </w:r>
      <w:r w:rsidRPr="1088ECB7" w:rsidR="00072C60">
        <w:rPr>
          <w:lang w:val="es-PE"/>
        </w:rPr>
        <w:t>el</w:t>
      </w:r>
      <w:r w:rsidRPr="1088ECB7" w:rsidR="00072C60">
        <w:rPr>
          <w:lang w:val="es-PE"/>
        </w:rPr>
        <w:t xml:space="preserve"> desde la primera llamada se identificó dando todos sus datos; d) que se declara infundado el reclamo pese a que no se ha presentado el cargo de entrega señalando que la obligación de dar aviso inmediato del siniestro es una obligación legal y no solo contractual, de lo cual discrepa; e) que no reportó de inmediato el siniestro por las lesiones corporales y emocionales que sufrió; y eso lo acreditó con un certificado médico;</w:t>
      </w:r>
    </w:p>
    <w:p w:rsidRPr="00072C60" w:rsidR="00072C60" w:rsidP="00072C60" w:rsidRDefault="00072C60" w14:paraId="30661C68" w14:textId="77777777">
      <w:pPr>
        <w:pStyle w:val="Textoindependiente"/>
        <w:rPr>
          <w:lang w:val="es-PE"/>
        </w:rPr>
      </w:pPr>
    </w:p>
    <w:p w:rsidRPr="00072C60" w:rsidR="00072C60" w:rsidP="00072C60" w:rsidRDefault="00072C60" w14:paraId="585C8AC3" w14:textId="77777777">
      <w:pPr>
        <w:pStyle w:val="Default"/>
        <w:jc w:val="both"/>
        <w:rPr>
          <w:rFonts w:ascii="Times New Roman" w:hAnsi="Times New Roman" w:cs="Times New Roman"/>
        </w:rPr>
      </w:pPr>
      <w:r w:rsidRPr="00072C60">
        <w:rPr>
          <w:rFonts w:ascii="Times New Roman" w:hAnsi="Times New Roman" w:cs="Times New Roman"/>
          <w:bCs/>
        </w:rPr>
        <w:t xml:space="preserve">Que, habiéndose corrido traslado de la respectiva impugnación a la empresa aseguradora, hasta la fecha esta no la ha absuelto; por lo que, dado el plazo transcurrido, corresponde que este colegiado expida su pronunciamiento. </w:t>
      </w:r>
    </w:p>
    <w:p w:rsidRPr="00072C60" w:rsidR="00072C60" w:rsidP="00072C60" w:rsidRDefault="00072C60" w14:paraId="71443187" w14:textId="77777777">
      <w:pPr>
        <w:pStyle w:val="Textoindependiente"/>
        <w:rPr>
          <w:lang w:val="es-PE"/>
        </w:rPr>
      </w:pPr>
    </w:p>
    <w:p w:rsidRPr="00072C60" w:rsidR="00072C60" w:rsidP="00072C60" w:rsidRDefault="00072C60" w14:paraId="602D0E50" w14:textId="77777777">
      <w:pPr>
        <w:pStyle w:val="Textoindependiente"/>
        <w:tabs>
          <w:tab w:val="left" w:pos="930"/>
        </w:tabs>
        <w:rPr>
          <w:lang w:val="es-PE"/>
        </w:rPr>
      </w:pPr>
      <w:r w:rsidRPr="00072C60">
        <w:rPr>
          <w:lang w:val="es-PE"/>
        </w:rPr>
        <w:t>Atendiendo a lo expuesto, esta Defensoría resuelve finalmente lo siguiente:</w:t>
      </w:r>
    </w:p>
    <w:p w:rsidRPr="00072C60" w:rsidR="00072C60" w:rsidP="00072C60" w:rsidRDefault="00072C60" w14:paraId="3B8B0015" w14:textId="77777777">
      <w:pPr>
        <w:pStyle w:val="Default"/>
        <w:jc w:val="both"/>
        <w:rPr>
          <w:rFonts w:ascii="Times New Roman" w:hAnsi="Times New Roman" w:cs="Times New Roman"/>
          <w:bCs/>
        </w:rPr>
      </w:pPr>
    </w:p>
    <w:p w:rsidRPr="00072C60" w:rsidR="00072C60" w:rsidP="00072C60" w:rsidRDefault="00072C60" w14:paraId="5E8F0A7B" w14:textId="77777777">
      <w:pPr>
        <w:jc w:val="both"/>
        <w:rPr>
          <w:rFonts w:ascii="Times New Roman" w:hAnsi="Times New Roman" w:cs="Times New Roman"/>
          <w:bCs/>
          <w:sz w:val="24"/>
          <w:szCs w:val="24"/>
          <w:lang w:val="es-PE"/>
        </w:rPr>
      </w:pPr>
      <w:r w:rsidRPr="00072C60">
        <w:rPr>
          <w:rFonts w:ascii="Times New Roman" w:hAnsi="Times New Roman" w:cs="Times New Roman"/>
          <w:b/>
          <w:sz w:val="24"/>
          <w:szCs w:val="24"/>
          <w:u w:val="single"/>
          <w:lang w:val="es-PE"/>
        </w:rPr>
        <w:t>PRIMERO</w:t>
      </w:r>
      <w:r w:rsidRPr="00072C60">
        <w:rPr>
          <w:rFonts w:ascii="Times New Roman" w:hAnsi="Times New Roman" w:cs="Times New Roman"/>
          <w:b/>
          <w:sz w:val="24"/>
          <w:szCs w:val="24"/>
          <w:lang w:val="es-PE"/>
        </w:rPr>
        <w:t>:</w:t>
      </w:r>
      <w:r w:rsidRPr="00072C60">
        <w:rPr>
          <w:rFonts w:ascii="Times New Roman" w:hAnsi="Times New Roman" w:cs="Times New Roman"/>
          <w:bCs/>
          <w:sz w:val="24"/>
          <w:szCs w:val="24"/>
          <w:lang w:val="es-PE"/>
        </w:rPr>
        <w:t xml:space="preserve"> El artículo 10 (Procedimiento) del Reglamento de la DEFASEG </w:t>
      </w:r>
      <w:r w:rsidRPr="00072C60">
        <w:rPr>
          <w:rFonts w:ascii="Times New Roman" w:hAnsi="Times New Roman" w:eastAsia="Arial Unicode MS" w:cs="Times New Roman"/>
          <w:bCs/>
          <w:sz w:val="24"/>
          <w:szCs w:val="24"/>
          <w:lang w:val="es-PE"/>
        </w:rPr>
        <w:t>(http://www.defaseg.com.pe/reglamento)</w:t>
      </w:r>
      <w:r w:rsidRPr="00072C60">
        <w:rPr>
          <w:rFonts w:ascii="Times New Roman" w:hAnsi="Times New Roman" w:cs="Times New Roman"/>
          <w:bCs/>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072C60" w:rsidR="00072C60" w:rsidP="00072C60" w:rsidRDefault="00072C60" w14:paraId="3091FD42" w14:textId="77777777">
      <w:pPr>
        <w:jc w:val="both"/>
        <w:rPr>
          <w:rFonts w:ascii="Times New Roman" w:hAnsi="Times New Roman" w:cs="Times New Roman"/>
          <w:bCs/>
          <w:sz w:val="24"/>
          <w:szCs w:val="24"/>
          <w:lang w:val="es-PE"/>
        </w:rPr>
      </w:pPr>
    </w:p>
    <w:p w:rsidRPr="00072C60" w:rsidR="00072C60" w:rsidP="00072C60" w:rsidRDefault="00072C60" w14:paraId="6BAD8805" w14:textId="77777777">
      <w:pPr>
        <w:jc w:val="both"/>
        <w:rPr>
          <w:rFonts w:ascii="Times New Roman" w:hAnsi="Times New Roman" w:cs="Times New Roman"/>
          <w:bCs/>
          <w:sz w:val="24"/>
          <w:szCs w:val="24"/>
          <w:lang w:val="es-PE"/>
        </w:rPr>
      </w:pPr>
      <w:r w:rsidRPr="00072C60">
        <w:rPr>
          <w:rFonts w:ascii="Times New Roman" w:hAnsi="Times New Roman" w:cs="Times New Roman"/>
          <w:bCs/>
          <w:sz w:val="24"/>
          <w:szCs w:val="24"/>
          <w:lang w:val="es-PE"/>
        </w:rPr>
        <w:t>Conforme a ello, en el caso concreto, al interponer el recurso de impugnación el reclamante ha ejercido formalmente su derecho a contradecir lo resuelto por la Defensoría.</w:t>
      </w:r>
    </w:p>
    <w:p w:rsidRPr="00072C60" w:rsidR="00072C60" w:rsidP="00072C60" w:rsidRDefault="00072C60" w14:paraId="7B4806BF" w14:textId="77777777">
      <w:pPr>
        <w:pStyle w:val="Textoindependiente"/>
        <w:tabs>
          <w:tab w:val="left" w:pos="0"/>
          <w:tab w:val="left" w:pos="720"/>
        </w:tabs>
        <w:rPr>
          <w:u w:val="single"/>
          <w:lang w:val="es-PE"/>
        </w:rPr>
      </w:pPr>
    </w:p>
    <w:p w:rsidRPr="00072C60" w:rsidR="00072C60" w:rsidP="00072C60" w:rsidRDefault="00072C60" w14:paraId="1537D2FD" w14:textId="77777777">
      <w:pPr>
        <w:jc w:val="both"/>
        <w:rPr>
          <w:rFonts w:ascii="Times New Roman" w:hAnsi="Times New Roman" w:cs="Times New Roman"/>
          <w:sz w:val="24"/>
          <w:szCs w:val="24"/>
          <w:lang w:val="es-PE"/>
        </w:rPr>
      </w:pPr>
      <w:r w:rsidRPr="00072C60">
        <w:rPr>
          <w:rFonts w:ascii="Times New Roman" w:hAnsi="Times New Roman" w:cs="Times New Roman"/>
          <w:b/>
          <w:sz w:val="24"/>
          <w:szCs w:val="24"/>
          <w:u w:val="single"/>
          <w:lang w:val="es-PE"/>
        </w:rPr>
        <w:lastRenderedPageBreak/>
        <w:t>SEGUNDO:</w:t>
      </w:r>
      <w:r w:rsidRPr="00072C60">
        <w:rPr>
          <w:rFonts w:ascii="Times New Roman" w:hAnsi="Times New Roman" w:cs="Times New Roman"/>
          <w:bCs/>
          <w:sz w:val="24"/>
          <w:szCs w:val="24"/>
          <w:lang w:val="es-PE"/>
        </w:rPr>
        <w:t xml:space="preserve">  </w:t>
      </w:r>
      <w:r w:rsidRPr="00072C60">
        <w:rPr>
          <w:rFonts w:ascii="Times New Roman" w:hAnsi="Times New Roman" w:cs="Times New Roman"/>
          <w:sz w:val="24"/>
          <w:szCs w:val="24"/>
          <w:lang w:val="es-PE"/>
        </w:rPr>
        <w:t>Que si bien el reclamante expresa su posición y manifiesta las razones por las cuales discrepa de lo resuelto por esta Defensoría, no desvirtúa el análisis contenido en la resolución impugnada, constituyendo por el contrario una opinión sustentado en un análisis distinto que este colegiado respeta, pero finalmente no comparte.</w:t>
      </w:r>
    </w:p>
    <w:p w:rsidRPr="00072C60" w:rsidR="00072C60" w:rsidP="00072C60" w:rsidRDefault="00072C60" w14:paraId="19A5E24B" w14:textId="77777777">
      <w:pPr>
        <w:jc w:val="both"/>
        <w:rPr>
          <w:rFonts w:ascii="Times New Roman" w:hAnsi="Times New Roman" w:cs="Times New Roman"/>
          <w:sz w:val="24"/>
          <w:szCs w:val="24"/>
          <w:lang w:val="es-PE"/>
        </w:rPr>
      </w:pPr>
    </w:p>
    <w:p w:rsidRPr="00072C60" w:rsidR="00072C60" w:rsidP="00072C60" w:rsidRDefault="00072C60" w14:paraId="0BE71B6F" w14:textId="77777777">
      <w:pPr>
        <w:jc w:val="both"/>
        <w:rPr>
          <w:rFonts w:ascii="Times New Roman" w:hAnsi="Times New Roman" w:cs="Times New Roman"/>
          <w:bCs/>
          <w:sz w:val="24"/>
          <w:szCs w:val="24"/>
          <w:lang w:val="es-PE"/>
        </w:rPr>
      </w:pPr>
      <w:r w:rsidRPr="00072C60">
        <w:rPr>
          <w:rFonts w:ascii="Times New Roman" w:hAnsi="Times New Roman" w:cs="Times New Roman"/>
          <w:bCs/>
          <w:sz w:val="24"/>
          <w:szCs w:val="24"/>
          <w:lang w:val="es-PE"/>
        </w:rPr>
        <w:t>Por lo tanto, a juicio de este colegiado, el recurso impugnativo interpuesto puede ser categorizado, por su contenido mismo, como una solicitud de revisión general, sustentado en el muy respetable criterio de la reclamante que este colegiado no comparte definitivamente, sin aportar medio probatorio suficiente que permita objetivamente, revocar la resolución impugnada, por lo que la DEFASEG reitera lo analizado y concluido en su oportunidad.</w:t>
      </w:r>
    </w:p>
    <w:p w:rsidRPr="00072C60" w:rsidR="00072C60" w:rsidP="00072C60" w:rsidRDefault="00072C60" w14:paraId="3C14300A" w14:textId="77777777">
      <w:pPr>
        <w:jc w:val="both"/>
        <w:rPr>
          <w:rFonts w:ascii="Times New Roman" w:hAnsi="Times New Roman" w:cs="Times New Roman"/>
          <w:bCs/>
          <w:sz w:val="24"/>
          <w:szCs w:val="24"/>
          <w:lang w:val="es-PE"/>
        </w:rPr>
      </w:pPr>
    </w:p>
    <w:p w:rsidRPr="00072C60" w:rsidR="00072C60" w:rsidP="00072C60" w:rsidRDefault="00072C60" w14:paraId="6D83CABE" w14:textId="77777777">
      <w:pPr>
        <w:jc w:val="both"/>
        <w:rPr>
          <w:rFonts w:ascii="Times New Roman" w:hAnsi="Times New Roman" w:cs="Times New Roman"/>
          <w:bCs/>
          <w:sz w:val="24"/>
          <w:szCs w:val="24"/>
          <w:lang w:val="es-PE"/>
        </w:rPr>
      </w:pPr>
      <w:r w:rsidRPr="00072C60">
        <w:rPr>
          <w:rFonts w:ascii="Times New Roman" w:hAnsi="Times New Roman" w:cs="Times New Roman"/>
          <w:bCs/>
          <w:sz w:val="24"/>
          <w:szCs w:val="24"/>
          <w:lang w:val="es-PE"/>
        </w:rPr>
        <w:t>En particular, y en lo que respecta a que sí se podía identificar al conductor porque él brindó sus datos en la primera llamada, este colegiado considera que una cosa es identificarse al brindar información y otra dar información veraz desde un primer momento sobre la identidad del conductor, así como permanecer en el lugar del accidente cuando acuden las autoridades. Sobre el particular, nos remitimos a lo expuesto en parte pertinente del sexto considerando que a continuación transcribimos:</w:t>
      </w:r>
    </w:p>
    <w:p w:rsidRPr="00072C60" w:rsidR="00072C60" w:rsidP="00072C60" w:rsidRDefault="00072C60" w14:paraId="7405D66D" w14:textId="77777777">
      <w:pPr>
        <w:jc w:val="both"/>
        <w:rPr>
          <w:rFonts w:ascii="Times New Roman" w:hAnsi="Times New Roman" w:cs="Times New Roman"/>
          <w:bCs/>
          <w:sz w:val="24"/>
          <w:szCs w:val="24"/>
          <w:lang w:val="es-PE"/>
        </w:rPr>
      </w:pPr>
    </w:p>
    <w:p w:rsidRPr="00072C60" w:rsidR="00072C60" w:rsidP="00072C60" w:rsidRDefault="00072C60" w14:paraId="1F001A19" w14:textId="77777777">
      <w:pPr>
        <w:pStyle w:val="Prrafodelista"/>
        <w:tabs>
          <w:tab w:val="left" w:pos="709"/>
          <w:tab w:val="left" w:pos="2160"/>
        </w:tabs>
        <w:ind w:left="1069"/>
        <w:jc w:val="both"/>
        <w:rPr>
          <w:rFonts w:ascii="Times New Roman" w:hAnsi="Times New Roman" w:cs="Times New Roman"/>
          <w:i/>
          <w:iCs/>
          <w:sz w:val="24"/>
          <w:szCs w:val="24"/>
          <w:lang w:val="es-PE"/>
        </w:rPr>
      </w:pPr>
      <w:r w:rsidRPr="00072C60">
        <w:rPr>
          <w:rFonts w:ascii="Times New Roman" w:hAnsi="Times New Roman" w:cs="Times New Roman"/>
          <w:i/>
          <w:iCs/>
          <w:sz w:val="24"/>
          <w:szCs w:val="24"/>
          <w:lang w:val="es-PE"/>
        </w:rPr>
        <w:t>“Asimismo, el hecho que haya existido prensa, bomberos y policías no son elementos que permitan corroborar la identidad del conductor, pues de las pruebas ofrecidas solo se aprecia que hubo un accidente que habría sido televisado, pero el mismo no da cuenta de quién era el conductor. Por el contrario, el acta de intervención policial determina que el conductor no se encontraba en el lugar de los hechos al momento de la misma – sea cual fuera el motivo por el cual se alejó del lugar de los hechos- por lo que las contradicciones en la información sobre el conductor y la falta de identificación del mismo en el lugar de los hechos -por la policía, bomberos o prensa-, no permite verificar su identidad afectando el derecho de la aseguradora de conocer y verificar las reales circunstancias que rodearon al siniestro y su procedencia.”</w:t>
      </w:r>
    </w:p>
    <w:p w:rsidRPr="00072C60" w:rsidR="00072C60" w:rsidP="00072C60" w:rsidRDefault="00072C60" w14:paraId="61F5E65B" w14:textId="77777777">
      <w:pPr>
        <w:jc w:val="both"/>
        <w:rPr>
          <w:rFonts w:ascii="Times New Roman" w:hAnsi="Times New Roman" w:cs="Times New Roman"/>
          <w:bCs/>
          <w:sz w:val="24"/>
          <w:szCs w:val="24"/>
          <w:lang w:val="es-PE"/>
        </w:rPr>
      </w:pPr>
    </w:p>
    <w:p w:rsidRPr="00072C60" w:rsidR="00072C60" w:rsidP="1088ECB7" w:rsidRDefault="00072C60" w14:paraId="31931085" w14:textId="1BB558FA">
      <w:pPr>
        <w:jc w:val="both"/>
        <w:rPr>
          <w:rFonts w:ascii="Times New Roman" w:hAnsi="Times New Roman" w:cs="Times New Roman"/>
          <w:sz w:val="24"/>
          <w:szCs w:val="24"/>
          <w:lang w:val="es-PE"/>
        </w:rPr>
      </w:pPr>
      <w:r w:rsidRPr="1088ECB7" w:rsidR="00072C60">
        <w:rPr>
          <w:rFonts w:ascii="Times New Roman" w:hAnsi="Times New Roman" w:cs="Times New Roman"/>
          <w:sz w:val="24"/>
          <w:szCs w:val="24"/>
          <w:lang w:val="es-PE"/>
        </w:rPr>
        <w:t xml:space="preserve">Finalmente, este colegiado tiene a bien precisar que la Defensoría del Asegurado es una entidad privada y por ende no constituye una instancia administrativa regida por la ley del procedimiento administrativo general. La Defensoría se rige por su propio reglamento, de acuerdo al cual el sometimiento voluntario de controversias en materia de seguros ante esta Defensoría, no afecta el derecho a la tutela jurisdiccional del asegurado, toda vez que lo resuelto por esta Defensoría no afecta su derecho a iniciar procesos ante las instancias que considere pertinentes, sin que sea necesario que </w:t>
      </w:r>
      <w:r w:rsidRPr="1088ECB7" w:rsidR="00072C60">
        <w:rPr>
          <w:rFonts w:ascii="Times New Roman" w:hAnsi="Times New Roman" w:cs="Times New Roman"/>
          <w:sz w:val="24"/>
          <w:szCs w:val="24"/>
          <w:lang w:val="es-PE"/>
        </w:rPr>
        <w:t>se revoque previamente la resolución emitida, en tanto las resoluciones que expide esta Defensoría no son vinculantes para el asegurado o reclamante cuando éstas son desfavorables para los mismos, ya que son únicamente vinculantes para las aseguradoras cuando el fallo es favorable para el asegurado.</w:t>
      </w:r>
    </w:p>
    <w:p w:rsidRPr="00072C60" w:rsidR="00072C60" w:rsidP="00072C60" w:rsidRDefault="00072C60" w14:paraId="71ED8186" w14:textId="77777777">
      <w:pPr>
        <w:jc w:val="both"/>
        <w:rPr>
          <w:rFonts w:ascii="Times New Roman" w:hAnsi="Times New Roman" w:cs="Times New Roman"/>
          <w:bCs/>
          <w:sz w:val="24"/>
          <w:szCs w:val="24"/>
          <w:lang w:val="es-PE"/>
        </w:rPr>
      </w:pPr>
    </w:p>
    <w:p w:rsidRPr="00072C60" w:rsidR="00072C60" w:rsidP="00072C60" w:rsidRDefault="00072C60" w14:paraId="3F8EEF43" w14:textId="77777777">
      <w:pPr>
        <w:jc w:val="both"/>
        <w:rPr>
          <w:rFonts w:ascii="Times New Roman" w:hAnsi="Times New Roman" w:cs="Times New Roman"/>
          <w:b/>
          <w:sz w:val="24"/>
          <w:szCs w:val="24"/>
          <w:lang w:val="es-PE"/>
        </w:rPr>
      </w:pPr>
      <w:r w:rsidRPr="00072C60">
        <w:rPr>
          <w:rFonts w:ascii="Times New Roman" w:hAnsi="Times New Roman" w:cs="Times New Roman"/>
          <w:b/>
          <w:sz w:val="24"/>
          <w:szCs w:val="24"/>
          <w:lang w:val="es-PE"/>
        </w:rPr>
        <w:t>Atendiendo a lo expresado, conforme a su Reglamento, este colegiado resuelve:</w:t>
      </w:r>
    </w:p>
    <w:p w:rsidRPr="00072C60" w:rsidR="00072C60" w:rsidP="00072C60" w:rsidRDefault="00072C60" w14:paraId="697DA14C" w14:textId="77777777">
      <w:pPr>
        <w:jc w:val="both"/>
        <w:rPr>
          <w:rFonts w:ascii="Times New Roman" w:hAnsi="Times New Roman" w:eastAsia="Arial Unicode MS" w:cs="Times New Roman"/>
          <w:bCs/>
          <w:sz w:val="24"/>
          <w:szCs w:val="24"/>
          <w:lang w:val="es-PE"/>
        </w:rPr>
      </w:pPr>
    </w:p>
    <w:p w:rsidRPr="00072C60" w:rsidR="00231C58" w:rsidP="1088ECB7" w:rsidRDefault="00072C60" w14:paraId="2269147E" w14:textId="13209230">
      <w:pPr>
        <w:suppressAutoHyphens/>
        <w:spacing w:after="0" w:line="240" w:lineRule="auto"/>
        <w:jc w:val="both"/>
        <w:outlineLvl w:val="0"/>
        <w:rPr>
          <w:rFonts w:ascii="Arial" w:hAnsi="Arial" w:eastAsia="Arial Unicode MS" w:cs="Arial"/>
          <w:lang w:val="es-PE"/>
        </w:rPr>
      </w:pPr>
      <w:r w:rsidRPr="1088ECB7" w:rsidR="00072C60">
        <w:rPr>
          <w:rFonts w:ascii="Times New Roman" w:hAnsi="Times New Roman" w:eastAsia="Arial Unicode MS" w:cs="Times New Roman"/>
          <w:sz w:val="24"/>
          <w:szCs w:val="24"/>
          <w:lang w:val="es-PE"/>
        </w:rPr>
        <w:t xml:space="preserve">Declarar </w:t>
      </w:r>
      <w:r w:rsidRPr="1088ECB7" w:rsidR="00072C60">
        <w:rPr>
          <w:rFonts w:ascii="Times New Roman" w:hAnsi="Times New Roman" w:eastAsia="Arial Unicode MS" w:cs="Times New Roman"/>
          <w:b w:val="1"/>
          <w:bCs w:val="1"/>
          <w:sz w:val="24"/>
          <w:szCs w:val="24"/>
          <w:lang w:val="es-PE"/>
        </w:rPr>
        <w:t xml:space="preserve">INFUNDADO </w:t>
      </w:r>
      <w:r w:rsidRPr="1088ECB7" w:rsidR="00072C60">
        <w:rPr>
          <w:rFonts w:ascii="Times New Roman" w:hAnsi="Times New Roman" w:eastAsia="Arial Unicode MS" w:cs="Times New Roman"/>
          <w:sz w:val="24"/>
          <w:szCs w:val="24"/>
          <w:lang w:val="es-PE"/>
        </w:rPr>
        <w:t xml:space="preserve">el recurso de impugnación interpuesto y confirmar la Resolución </w:t>
      </w:r>
      <w:r w:rsidRPr="1088ECB7" w:rsidR="00072C60">
        <w:rPr>
          <w:rFonts w:ascii="Times New Roman" w:hAnsi="Times New Roman" w:eastAsia="Arial Unicode MS" w:cs="Times New Roman"/>
          <w:sz w:val="24"/>
          <w:szCs w:val="24"/>
          <w:lang w:val="es-PE"/>
        </w:rPr>
        <w:t>Nº</w:t>
      </w:r>
      <w:r w:rsidRPr="1088ECB7" w:rsidR="00072C60">
        <w:rPr>
          <w:rFonts w:ascii="Times New Roman" w:hAnsi="Times New Roman" w:eastAsia="Arial Unicode MS" w:cs="Times New Roman"/>
          <w:sz w:val="24"/>
          <w:szCs w:val="24"/>
          <w:lang w:val="es-PE"/>
        </w:rPr>
        <w:t xml:space="preserve"> 128/20 de fecha 15 de diciembre de 2020 que declaro infundado el reclamo interpuesto por </w:t>
      </w:r>
      <w:r w:rsidRPr="1088ECB7" w:rsidR="67F6F54A">
        <w:rPr>
          <w:rFonts w:ascii="Times New Roman" w:hAnsi="Times New Roman" w:eastAsia="Arial Unicode MS" w:cs="Times New Roman"/>
          <w:sz w:val="24"/>
          <w:szCs w:val="24"/>
          <w:lang w:val="es-PE"/>
        </w:rPr>
        <w:t>.......................................................</w:t>
      </w:r>
      <w:r w:rsidRPr="1088ECB7" w:rsidR="00072C60">
        <w:rPr>
          <w:rFonts w:ascii="Times New Roman" w:hAnsi="Times New Roman" w:eastAsia="Arial Unicode MS" w:cs="Times New Roman"/>
          <w:sz w:val="24"/>
          <w:szCs w:val="24"/>
          <w:lang w:val="es-PE"/>
        </w:rPr>
        <w:t>, dejando a salvo el derecho del reclamante de recurrir</w:t>
      </w:r>
      <w:r w:rsidRPr="1088ECB7" w:rsidR="00072C60">
        <w:rPr>
          <w:rFonts w:ascii="Arial" w:hAnsi="Arial" w:eastAsia="Arial Unicode MS" w:cs="Arial"/>
          <w:lang w:val="es-PE"/>
        </w:rPr>
        <w:t xml:space="preserve"> ante las instancias que estime pertinentes.</w:t>
      </w:r>
    </w:p>
    <w:p w:rsidRPr="00072C60" w:rsidR="00072C60" w:rsidP="00072C60" w:rsidRDefault="00072C60" w14:paraId="4E35F8B4"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072C60" w:rsidR="00077B6F" w:rsidP="00C671F5" w:rsidRDefault="0091528B" w14:paraId="78A39B5B" w14:textId="29481F1C">
      <w:pPr>
        <w:suppressAutoHyphens/>
        <w:spacing w:after="0" w:line="240" w:lineRule="auto"/>
        <w:jc w:val="right"/>
        <w:outlineLvl w:val="0"/>
        <w:rPr>
          <w:rFonts w:ascii="Times New Roman" w:hAnsi="Times New Roman" w:eastAsia="Arial Unicode MS" w:cs="Times New Roman"/>
          <w:sz w:val="24"/>
          <w:szCs w:val="24"/>
          <w:lang w:val="es-PE" w:eastAsia="ar-SA"/>
        </w:rPr>
      </w:pPr>
      <w:r w:rsidRPr="00072C60">
        <w:rPr>
          <w:rFonts w:ascii="Times New Roman" w:hAnsi="Times New Roman" w:eastAsia="Arial Unicode MS" w:cs="Times New Roman"/>
          <w:sz w:val="24"/>
          <w:szCs w:val="24"/>
          <w:lang w:val="es-PE" w:eastAsia="ar-SA"/>
        </w:rPr>
        <w:t xml:space="preserve">Lima, </w:t>
      </w:r>
      <w:r w:rsidR="00AF16B6">
        <w:rPr>
          <w:rFonts w:ascii="Times New Roman" w:hAnsi="Times New Roman" w:eastAsia="Arial Unicode MS" w:cs="Times New Roman"/>
          <w:sz w:val="24"/>
          <w:szCs w:val="24"/>
          <w:lang w:val="es-PE" w:eastAsia="ar-SA"/>
        </w:rPr>
        <w:t>1</w:t>
      </w:r>
      <w:r w:rsidRPr="00072C60" w:rsidR="00707C99">
        <w:rPr>
          <w:rFonts w:ascii="Times New Roman" w:hAnsi="Times New Roman" w:eastAsia="Arial Unicode MS" w:cs="Times New Roman"/>
          <w:sz w:val="24"/>
          <w:szCs w:val="24"/>
          <w:lang w:val="es-PE" w:eastAsia="ar-SA"/>
        </w:rPr>
        <w:t xml:space="preserve"> de </w:t>
      </w:r>
      <w:r w:rsidR="00AF16B6">
        <w:rPr>
          <w:rFonts w:ascii="Times New Roman" w:hAnsi="Times New Roman" w:eastAsia="Arial Unicode MS" w:cs="Times New Roman"/>
          <w:sz w:val="24"/>
          <w:szCs w:val="24"/>
          <w:lang w:val="es-PE" w:eastAsia="ar-SA"/>
        </w:rPr>
        <w:t>febrero</w:t>
      </w:r>
      <w:r w:rsidRPr="00072C60" w:rsidR="00F06498">
        <w:rPr>
          <w:rFonts w:ascii="Times New Roman" w:hAnsi="Times New Roman" w:eastAsia="Arial Unicode MS" w:cs="Times New Roman"/>
          <w:sz w:val="24"/>
          <w:szCs w:val="24"/>
          <w:lang w:val="es-PE" w:eastAsia="ar-SA"/>
        </w:rPr>
        <w:t xml:space="preserve"> de 202</w:t>
      </w:r>
      <w:r w:rsidRPr="00072C60" w:rsidR="00231C58">
        <w:rPr>
          <w:rFonts w:ascii="Times New Roman" w:hAnsi="Times New Roman" w:eastAsia="Arial Unicode MS" w:cs="Times New Roman"/>
          <w:sz w:val="24"/>
          <w:szCs w:val="24"/>
          <w:lang w:val="es-PE" w:eastAsia="ar-SA"/>
        </w:rPr>
        <w:t>1</w:t>
      </w:r>
      <w:r w:rsidRPr="00072C60" w:rsidR="00707C99">
        <w:rPr>
          <w:rFonts w:ascii="Times New Roman" w:hAnsi="Times New Roman" w:eastAsia="Times New Roman" w:cs="Times New Roman"/>
          <w:sz w:val="24"/>
          <w:szCs w:val="24"/>
          <w:lang w:val="es-PE" w:eastAsia="ar-SA"/>
        </w:rPr>
        <w:t xml:space="preserve"> </w:t>
      </w:r>
    </w:p>
    <w:p w:rsidRPr="00072C60"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072C60"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72C60"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072C60">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072C60"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072C60" w:rsidR="00C671F5" w:rsidP="00C671F5" w:rsidRDefault="00231C58" w14:paraId="548B3E5B" w14:textId="47A8BA49">
      <w:pPr>
        <w:spacing w:after="0" w:line="360" w:lineRule="auto"/>
        <w:jc w:val="center"/>
        <w:rPr>
          <w:rFonts w:ascii="Times New Roman" w:hAnsi="Times New Roman" w:cs="Times New Roman"/>
          <w:b/>
          <w:bCs/>
          <w:sz w:val="24"/>
          <w:szCs w:val="24"/>
          <w:lang w:val="es-PE"/>
        </w:rPr>
      </w:pPr>
      <w:r w:rsidRPr="00072C60">
        <w:rPr>
          <w:rFonts w:ascii="Times New Roman" w:hAnsi="Times New Roman" w:cs="Times New Roman"/>
          <w:b/>
          <w:bCs/>
          <w:sz w:val="24"/>
          <w:szCs w:val="24"/>
          <w:lang w:val="es-PE"/>
        </w:rPr>
        <w:t xml:space="preserve">María Eugenia Valdez Fernández Baca </w:t>
      </w:r>
      <w:r w:rsidRPr="00072C60" w:rsidR="00C671F5">
        <w:rPr>
          <w:rFonts w:ascii="Times New Roman" w:hAnsi="Times New Roman" w:cs="Times New Roman"/>
          <w:b/>
          <w:bCs/>
          <w:sz w:val="24"/>
          <w:szCs w:val="24"/>
          <w:lang w:val="es-PE"/>
        </w:rPr>
        <w:t xml:space="preserve">– </w:t>
      </w:r>
      <w:proofErr w:type="gramStart"/>
      <w:r w:rsidRPr="00072C60" w:rsidR="00C671F5">
        <w:rPr>
          <w:rFonts w:ascii="Times New Roman" w:hAnsi="Times New Roman" w:cs="Times New Roman"/>
          <w:b/>
          <w:bCs/>
          <w:sz w:val="24"/>
          <w:szCs w:val="24"/>
          <w:lang w:val="es-PE"/>
        </w:rPr>
        <w:t>Presidente</w:t>
      </w:r>
      <w:proofErr w:type="gramEnd"/>
    </w:p>
    <w:p w:rsidRPr="00072C60" w:rsidR="00C671F5" w:rsidP="00C671F5" w:rsidRDefault="00C671F5" w14:paraId="55E7D9D7" w14:textId="724A8615">
      <w:pPr>
        <w:spacing w:after="0" w:line="360" w:lineRule="auto"/>
        <w:jc w:val="center"/>
        <w:rPr>
          <w:rFonts w:ascii="Times New Roman" w:hAnsi="Times New Roman" w:cs="Times New Roman"/>
          <w:b/>
          <w:bCs/>
          <w:sz w:val="24"/>
          <w:szCs w:val="24"/>
          <w:lang w:val="es-PE"/>
        </w:rPr>
      </w:pPr>
      <w:r w:rsidRPr="00072C60">
        <w:rPr>
          <w:rFonts w:ascii="Times New Roman" w:hAnsi="Times New Roman" w:cs="Times New Roman"/>
          <w:b/>
          <w:bCs/>
          <w:sz w:val="24"/>
          <w:szCs w:val="24"/>
          <w:lang w:val="es-PE"/>
        </w:rPr>
        <w:t>Marco Antonio Ortega Piana – Vocal</w:t>
      </w:r>
    </w:p>
    <w:p w:rsidRPr="00072C60" w:rsidR="00292018" w:rsidP="00292018" w:rsidRDefault="00292018" w14:paraId="3006BA35" w14:textId="7871895F">
      <w:pPr>
        <w:spacing w:after="0" w:line="360" w:lineRule="auto"/>
        <w:jc w:val="center"/>
        <w:rPr>
          <w:rFonts w:ascii="Times New Roman" w:hAnsi="Times New Roman" w:cs="Times New Roman"/>
          <w:b/>
          <w:bCs/>
          <w:sz w:val="24"/>
          <w:szCs w:val="24"/>
          <w:lang w:val="es-PE"/>
        </w:rPr>
      </w:pPr>
      <w:r w:rsidRPr="00072C60">
        <w:rPr>
          <w:rFonts w:ascii="Times New Roman" w:hAnsi="Times New Roman" w:cs="Times New Roman"/>
          <w:b/>
          <w:bCs/>
          <w:sz w:val="24"/>
          <w:szCs w:val="24"/>
          <w:lang w:val="es-PE"/>
        </w:rPr>
        <w:t xml:space="preserve">Rolando Eyzaguirre </w:t>
      </w:r>
      <w:proofErr w:type="spellStart"/>
      <w:r w:rsidRPr="00072C60">
        <w:rPr>
          <w:rFonts w:ascii="Times New Roman" w:hAnsi="Times New Roman" w:cs="Times New Roman"/>
          <w:b/>
          <w:bCs/>
          <w:sz w:val="24"/>
          <w:szCs w:val="24"/>
          <w:lang w:val="es-PE"/>
        </w:rPr>
        <w:t>Maccan</w:t>
      </w:r>
      <w:proofErr w:type="spellEnd"/>
      <w:r w:rsidRPr="00072C60">
        <w:rPr>
          <w:rFonts w:ascii="Times New Roman" w:hAnsi="Times New Roman" w:cs="Times New Roman"/>
          <w:b/>
          <w:bCs/>
          <w:sz w:val="24"/>
          <w:szCs w:val="24"/>
          <w:lang w:val="es-PE"/>
        </w:rPr>
        <w:t xml:space="preserve"> – Vocal</w:t>
      </w:r>
    </w:p>
    <w:p w:rsidRPr="00072C60"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072C60">
        <w:rPr>
          <w:rFonts w:ascii="Times New Roman" w:hAnsi="Times New Roman" w:cs="Times New Roman"/>
          <w:b/>
          <w:bCs/>
          <w:sz w:val="24"/>
          <w:szCs w:val="24"/>
          <w:lang w:val="es-PE"/>
        </w:rPr>
        <w:t xml:space="preserve">Gonzalo Abad del Busto </w:t>
      </w:r>
      <w:r w:rsidRPr="00072C60" w:rsidR="00231C58">
        <w:rPr>
          <w:rFonts w:ascii="Times New Roman" w:hAnsi="Times New Roman" w:cs="Times New Roman"/>
          <w:b/>
          <w:bCs/>
          <w:sz w:val="24"/>
          <w:szCs w:val="24"/>
          <w:lang w:val="es-PE"/>
        </w:rPr>
        <w:t xml:space="preserve">– </w:t>
      </w:r>
      <w:r w:rsidRPr="00072C60">
        <w:rPr>
          <w:rFonts w:ascii="Times New Roman" w:hAnsi="Times New Roman" w:cs="Times New Roman"/>
          <w:b/>
          <w:bCs/>
          <w:sz w:val="24"/>
          <w:szCs w:val="24"/>
          <w:lang w:val="es-PE"/>
        </w:rPr>
        <w:t>Vocal</w:t>
      </w:r>
    </w:p>
    <w:p w:rsidRPr="00072C60" w:rsidR="00C671F5" w:rsidP="00C671F5" w:rsidRDefault="00C671F5" w14:paraId="33E0FAB8" w14:textId="77777777">
      <w:pPr>
        <w:suppressAutoHyphens/>
        <w:spacing w:after="0" w:line="360" w:lineRule="auto"/>
        <w:outlineLvl w:val="0"/>
        <w:rPr>
          <w:rFonts w:ascii="Times New Roman" w:hAnsi="Times New Roman" w:eastAsia="Arial Unicode MS" w:cs="Times New Roman"/>
          <w:lang w:val="es-PE" w:eastAsia="ar-SA"/>
        </w:rPr>
      </w:pPr>
    </w:p>
    <w:p w:rsidRPr="00C671F5"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C671F5"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91C1D" w:rsidP="00784355" w:rsidRDefault="00C91C1D" w14:paraId="209C200C" w14:textId="77777777">
      <w:pPr>
        <w:spacing w:after="0" w:line="240" w:lineRule="auto"/>
      </w:pPr>
      <w:r>
        <w:separator/>
      </w:r>
    </w:p>
  </w:endnote>
  <w:endnote w:type="continuationSeparator" w:id="0">
    <w:p w:rsidR="00C91C1D" w:rsidP="00784355" w:rsidRDefault="00C91C1D" w14:paraId="5440E94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91C1D" w:rsidP="00784355" w:rsidRDefault="00C91C1D" w14:paraId="28D67831" w14:textId="77777777">
      <w:pPr>
        <w:spacing w:after="0" w:line="240" w:lineRule="auto"/>
      </w:pPr>
      <w:r>
        <w:separator/>
      </w:r>
    </w:p>
  </w:footnote>
  <w:footnote w:type="continuationSeparator" w:id="0">
    <w:p w:rsidR="00C91C1D" w:rsidP="00784355" w:rsidRDefault="00C91C1D" w14:paraId="5F16B1C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10987"/>
    <w:rsid w:val="00013057"/>
    <w:rsid w:val="000159CC"/>
    <w:rsid w:val="00015C22"/>
    <w:rsid w:val="000167E0"/>
    <w:rsid w:val="000235E9"/>
    <w:rsid w:val="0002637D"/>
    <w:rsid w:val="0002733C"/>
    <w:rsid w:val="00027978"/>
    <w:rsid w:val="0004480C"/>
    <w:rsid w:val="00053D16"/>
    <w:rsid w:val="00056D9F"/>
    <w:rsid w:val="00063183"/>
    <w:rsid w:val="0006548C"/>
    <w:rsid w:val="00070DB6"/>
    <w:rsid w:val="00071A25"/>
    <w:rsid w:val="00072C60"/>
    <w:rsid w:val="00076E73"/>
    <w:rsid w:val="00077B6F"/>
    <w:rsid w:val="00080A9A"/>
    <w:rsid w:val="000835CB"/>
    <w:rsid w:val="00083D69"/>
    <w:rsid w:val="00083F50"/>
    <w:rsid w:val="00084148"/>
    <w:rsid w:val="00092684"/>
    <w:rsid w:val="000A5666"/>
    <w:rsid w:val="000A5CAA"/>
    <w:rsid w:val="000B19A0"/>
    <w:rsid w:val="000B58D8"/>
    <w:rsid w:val="000C0734"/>
    <w:rsid w:val="000D0DFE"/>
    <w:rsid w:val="000F6340"/>
    <w:rsid w:val="0011308C"/>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41719"/>
    <w:rsid w:val="00243F6B"/>
    <w:rsid w:val="0027261F"/>
    <w:rsid w:val="00272F4F"/>
    <w:rsid w:val="0027301E"/>
    <w:rsid w:val="00274985"/>
    <w:rsid w:val="002768C6"/>
    <w:rsid w:val="00276A92"/>
    <w:rsid w:val="00277667"/>
    <w:rsid w:val="00290CA4"/>
    <w:rsid w:val="00292018"/>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17E23"/>
    <w:rsid w:val="00425F75"/>
    <w:rsid w:val="00440BC2"/>
    <w:rsid w:val="00444232"/>
    <w:rsid w:val="00460C30"/>
    <w:rsid w:val="00465FB9"/>
    <w:rsid w:val="00466302"/>
    <w:rsid w:val="0047370C"/>
    <w:rsid w:val="0047522D"/>
    <w:rsid w:val="00476BA1"/>
    <w:rsid w:val="00496A1A"/>
    <w:rsid w:val="004A3E25"/>
    <w:rsid w:val="004B51ED"/>
    <w:rsid w:val="004C51EC"/>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2D26"/>
    <w:rsid w:val="0058358B"/>
    <w:rsid w:val="00583A87"/>
    <w:rsid w:val="00585D65"/>
    <w:rsid w:val="00592259"/>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4C21"/>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60034"/>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51F2A"/>
    <w:rsid w:val="00A62BEC"/>
    <w:rsid w:val="00A658C1"/>
    <w:rsid w:val="00A734AD"/>
    <w:rsid w:val="00A837A0"/>
    <w:rsid w:val="00A90926"/>
    <w:rsid w:val="00A97287"/>
    <w:rsid w:val="00AA2DED"/>
    <w:rsid w:val="00AB1C66"/>
    <w:rsid w:val="00AC5A9E"/>
    <w:rsid w:val="00AD1FEC"/>
    <w:rsid w:val="00AD2DF1"/>
    <w:rsid w:val="00AE4125"/>
    <w:rsid w:val="00AF16B6"/>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56C4"/>
    <w:rsid w:val="00BB2152"/>
    <w:rsid w:val="00BB2BE0"/>
    <w:rsid w:val="00BB405B"/>
    <w:rsid w:val="00BC29D0"/>
    <w:rsid w:val="00BD797F"/>
    <w:rsid w:val="00BE1470"/>
    <w:rsid w:val="00BE6FFA"/>
    <w:rsid w:val="00BE7C72"/>
    <w:rsid w:val="00BF1421"/>
    <w:rsid w:val="00BF414E"/>
    <w:rsid w:val="00BF78BF"/>
    <w:rsid w:val="00C00BBF"/>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55D6"/>
    <w:rsid w:val="00CF78D3"/>
    <w:rsid w:val="00D01E70"/>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1088ECB7"/>
    <w:rsid w:val="10F0A77D"/>
    <w:rsid w:val="1A6188D7"/>
    <w:rsid w:val="29CC3B20"/>
    <w:rsid w:val="40553A93"/>
    <w:rsid w:val="55102FA4"/>
    <w:rsid w:val="67F6F54A"/>
    <w:rsid w:val="7058C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8AA5AD4-4E48-4DB7-9CCD-7F9D9F703721}"/>
</file>

<file path=customXml/itemProps3.xml><?xml version="1.0" encoding="utf-8"?>
<ds:datastoreItem xmlns:ds="http://schemas.openxmlformats.org/officeDocument/2006/customXml" ds:itemID="{31F7C531-AC10-4DC5-98CD-DC97A0B70CE8}"/>
</file>

<file path=customXml/itemProps4.xml><?xml version="1.0" encoding="utf-8"?>
<ds:datastoreItem xmlns:ds="http://schemas.openxmlformats.org/officeDocument/2006/customXml" ds:itemID="{B6785F63-D896-43D6-9F74-E213E6E6259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16</cp:revision>
  <cp:lastPrinted>2021-02-01T16:17:00Z</cp:lastPrinted>
  <dcterms:created xsi:type="dcterms:W3CDTF">2020-12-18T20:17:00Z</dcterms:created>
  <dcterms:modified xsi:type="dcterms:W3CDTF">2026-01-27T20:05:39Z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