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61360C" w:rsidR="00707C99" w:rsidP="00072C60" w:rsidRDefault="00201C0D" w14:paraId="19FE0E96" w14:textId="339A516D">
      <w:pPr>
        <w:spacing w:after="0" w:line="240" w:lineRule="auto"/>
        <w:jc w:val="center"/>
        <w:rPr>
          <w:rFonts w:ascii="Times New Roman" w:hAnsi="Times New Roman" w:cs="Times New Roman"/>
          <w:b/>
          <w:sz w:val="24"/>
          <w:szCs w:val="24"/>
          <w:lang w:val="es-PE" w:eastAsia="ar-SA"/>
        </w:rPr>
      </w:pPr>
      <w:r w:rsidRPr="0061360C">
        <w:rPr>
          <w:rFonts w:ascii="Times New Roman" w:hAnsi="Times New Roman" w:cs="Times New Roman"/>
          <w:b/>
          <w:sz w:val="24"/>
          <w:szCs w:val="24"/>
          <w:lang w:val="es-PE" w:eastAsia="ar-SA"/>
        </w:rPr>
        <w:t xml:space="preserve">RESOLUCIÓN DE RECURSO IMPUGNATIVO </w:t>
      </w:r>
      <w:proofErr w:type="spellStart"/>
      <w:r w:rsidRPr="0061360C" w:rsidR="00707C99">
        <w:rPr>
          <w:rFonts w:ascii="Times New Roman" w:hAnsi="Times New Roman" w:cs="Times New Roman"/>
          <w:b/>
          <w:sz w:val="24"/>
          <w:szCs w:val="24"/>
          <w:lang w:val="es-PE" w:eastAsia="ar-SA"/>
        </w:rPr>
        <w:t>N°</w:t>
      </w:r>
      <w:proofErr w:type="spellEnd"/>
      <w:r w:rsidRPr="0061360C" w:rsidR="00707C99">
        <w:rPr>
          <w:rFonts w:ascii="Times New Roman" w:hAnsi="Times New Roman" w:cs="Times New Roman"/>
          <w:b/>
          <w:sz w:val="24"/>
          <w:szCs w:val="24"/>
          <w:lang w:val="es-PE" w:eastAsia="ar-SA"/>
        </w:rPr>
        <w:t xml:space="preserve"> </w:t>
      </w:r>
      <w:r w:rsidRPr="0061360C" w:rsidR="00C671F5">
        <w:rPr>
          <w:rFonts w:ascii="Times New Roman" w:hAnsi="Times New Roman" w:cs="Times New Roman"/>
          <w:b/>
          <w:sz w:val="24"/>
          <w:szCs w:val="24"/>
          <w:lang w:val="es-PE" w:eastAsia="ar-SA"/>
        </w:rPr>
        <w:t>0</w:t>
      </w:r>
      <w:r w:rsidRPr="0061360C" w:rsidR="00231C58">
        <w:rPr>
          <w:rFonts w:ascii="Times New Roman" w:hAnsi="Times New Roman" w:cs="Times New Roman"/>
          <w:b/>
          <w:sz w:val="24"/>
          <w:szCs w:val="24"/>
          <w:lang w:val="es-PE" w:eastAsia="ar-SA"/>
        </w:rPr>
        <w:t>0</w:t>
      </w:r>
      <w:r w:rsidRPr="0061360C" w:rsidR="0061360C">
        <w:rPr>
          <w:rFonts w:ascii="Times New Roman" w:hAnsi="Times New Roman" w:cs="Times New Roman"/>
          <w:b/>
          <w:sz w:val="24"/>
          <w:szCs w:val="24"/>
          <w:lang w:val="es-PE" w:eastAsia="ar-SA"/>
        </w:rPr>
        <w:t>5</w:t>
      </w:r>
      <w:r w:rsidRPr="0061360C" w:rsidR="00C671F5">
        <w:rPr>
          <w:rFonts w:ascii="Times New Roman" w:hAnsi="Times New Roman" w:cs="Times New Roman"/>
          <w:b/>
          <w:sz w:val="24"/>
          <w:szCs w:val="24"/>
          <w:lang w:val="es-PE" w:eastAsia="ar-SA"/>
        </w:rPr>
        <w:t>/2</w:t>
      </w:r>
      <w:r w:rsidRPr="0061360C" w:rsidR="00231C58">
        <w:rPr>
          <w:rFonts w:ascii="Times New Roman" w:hAnsi="Times New Roman" w:cs="Times New Roman"/>
          <w:b/>
          <w:sz w:val="24"/>
          <w:szCs w:val="24"/>
          <w:lang w:val="es-PE" w:eastAsia="ar-SA"/>
        </w:rPr>
        <w:t>1</w:t>
      </w:r>
    </w:p>
    <w:p w:rsidRPr="0061360C" w:rsidR="00707C99" w:rsidP="00072C60" w:rsidRDefault="00707C99" w14:paraId="428240E5" w14:textId="06F06948">
      <w:pPr>
        <w:suppressAutoHyphens/>
        <w:spacing w:after="0" w:line="240" w:lineRule="auto"/>
        <w:jc w:val="both"/>
        <w:rPr>
          <w:rFonts w:ascii="Times New Roman" w:hAnsi="Times New Roman" w:eastAsia="Times New Roman" w:cs="Times New Roman"/>
          <w:b/>
          <w:bCs/>
          <w:sz w:val="24"/>
          <w:szCs w:val="24"/>
          <w:lang w:val="es-PE" w:eastAsia="ar-SA"/>
        </w:rPr>
      </w:pPr>
    </w:p>
    <w:p w:rsidRPr="0061360C" w:rsidR="00B32325" w:rsidP="00072C60" w:rsidRDefault="00B32325" w14:paraId="500397C4" w14:textId="77777777">
      <w:pPr>
        <w:suppressAutoHyphens/>
        <w:spacing w:after="0" w:line="240" w:lineRule="auto"/>
        <w:jc w:val="both"/>
        <w:rPr>
          <w:rFonts w:ascii="Times New Roman" w:hAnsi="Times New Roman" w:eastAsia="Times New Roman" w:cs="Times New Roman"/>
          <w:b/>
          <w:bCs/>
          <w:sz w:val="24"/>
          <w:szCs w:val="24"/>
          <w:lang w:val="es-PE" w:eastAsia="ar-SA"/>
        </w:rPr>
      </w:pPr>
    </w:p>
    <w:p w:rsidRPr="0061360C" w:rsidR="0061360C" w:rsidP="0061360C" w:rsidRDefault="0061360C" w14:paraId="4EFE5359" w14:textId="77777777">
      <w:pPr>
        <w:jc w:val="both"/>
        <w:outlineLvl w:val="0"/>
        <w:rPr>
          <w:rFonts w:ascii="Times New Roman" w:hAnsi="Times New Roman" w:cs="Times New Roman"/>
          <w:b/>
          <w:bCs/>
          <w:sz w:val="24"/>
          <w:szCs w:val="24"/>
          <w:lang w:val="es-PE"/>
        </w:rPr>
      </w:pPr>
      <w:r w:rsidRPr="0061360C">
        <w:rPr>
          <w:rFonts w:ascii="Times New Roman" w:hAnsi="Times New Roman" w:cs="Times New Roman"/>
          <w:b/>
          <w:bCs/>
          <w:sz w:val="24"/>
          <w:szCs w:val="24"/>
          <w:lang w:val="es-PE"/>
        </w:rPr>
        <w:t>VISTOS:</w:t>
      </w:r>
    </w:p>
    <w:p w:rsidRPr="0061360C" w:rsidR="0061360C" w:rsidP="0061360C" w:rsidRDefault="0061360C" w14:paraId="0DD06530" w14:textId="77777777">
      <w:pPr>
        <w:jc w:val="both"/>
        <w:rPr>
          <w:rFonts w:ascii="Times New Roman" w:hAnsi="Times New Roman" w:cs="Times New Roman"/>
          <w:b/>
          <w:bCs/>
          <w:sz w:val="24"/>
          <w:szCs w:val="24"/>
          <w:lang w:val="es-PE"/>
        </w:rPr>
      </w:pPr>
    </w:p>
    <w:p w:rsidRPr="0061360C" w:rsidR="0061360C" w:rsidP="0061360C" w:rsidRDefault="0061360C" w14:paraId="7207D3F9" w14:textId="143D2E49">
      <w:pPr>
        <w:jc w:val="both"/>
        <w:rPr>
          <w:rFonts w:ascii="Times New Roman" w:hAnsi="Times New Roman" w:cs="Times New Roman"/>
          <w:sz w:val="24"/>
          <w:szCs w:val="24"/>
          <w:lang w:val="es-PE"/>
        </w:rPr>
      </w:pPr>
      <w:r w:rsidRPr="5D5A891A" w:rsidR="0061360C">
        <w:rPr>
          <w:rFonts w:ascii="Times New Roman" w:hAnsi="Times New Roman" w:cs="Times New Roman"/>
          <w:sz w:val="24"/>
          <w:szCs w:val="24"/>
          <w:lang w:val="es-PE"/>
        </w:rPr>
        <w:t xml:space="preserve">El recurso de impugnación presentado por </w:t>
      </w:r>
      <w:r w:rsidRPr="5D5A891A" w:rsidR="2D659301">
        <w:rPr>
          <w:rFonts w:ascii="Times New Roman" w:hAnsi="Times New Roman" w:cs="Times New Roman"/>
          <w:sz w:val="24"/>
          <w:szCs w:val="24"/>
          <w:lang w:val="es-PE"/>
        </w:rPr>
        <w:t>........................................</w:t>
      </w:r>
      <w:r w:rsidRPr="5D5A891A" w:rsidR="0061360C">
        <w:rPr>
          <w:rFonts w:ascii="Times New Roman" w:hAnsi="Times New Roman" w:cs="Times New Roman"/>
          <w:sz w:val="24"/>
          <w:szCs w:val="24"/>
          <w:lang w:val="es-PE"/>
        </w:rPr>
        <w:t xml:space="preserve"> respecto de la Resolución Nro. 102/20, expedida por esta Defensoría del Asegurado (DEFASEG), conforme a la cual se declaró INFUNDADA la reclamación interpuesta contra </w:t>
      </w:r>
      <w:r w:rsidRPr="5D5A891A" w:rsidR="67578412">
        <w:rPr>
          <w:rFonts w:ascii="Times New Roman" w:hAnsi="Times New Roman" w:cs="Times New Roman"/>
          <w:sz w:val="24"/>
          <w:szCs w:val="24"/>
          <w:lang w:val="es-PE"/>
        </w:rPr>
        <w:t>.....................</w:t>
      </w:r>
      <w:r w:rsidRPr="5D5A891A" w:rsidR="0061360C">
        <w:rPr>
          <w:rFonts w:ascii="Times New Roman" w:hAnsi="Times New Roman" w:cs="Times New Roman"/>
          <w:sz w:val="24"/>
          <w:szCs w:val="24"/>
          <w:lang w:val="es-PE"/>
        </w:rPr>
        <w:t>;</w:t>
      </w:r>
    </w:p>
    <w:p w:rsidR="0061360C" w:rsidP="0061360C" w:rsidRDefault="0061360C" w14:paraId="2D7B7FB3" w14:textId="4F3019FF">
      <w:pPr>
        <w:pStyle w:val="Textoindependiente"/>
        <w:rPr>
          <w:color w:val="000000"/>
          <w:lang w:val="es-PE"/>
        </w:rPr>
      </w:pPr>
      <w:r w:rsidRPr="0061360C">
        <w:rPr>
          <w:lang w:val="es-PE"/>
        </w:rPr>
        <w:t>Que, el indicado recurso se sustenta resumidamente en lo siguiente: (1) la grabación del audio de la contratación fue para verificar si es que las salvedades sobre la antigüedad laboral fueron mencionadas; (2) el audio fue el único medio en el que aceptó expresamente el seguro; (3) el contrato enviado al correo electrónico es totalmente diferente al contrato de voz, ya que añade restricciones que debieron ser señaladas de forma oportuna; (4) en ningún momento se aceptó el contrato de seguro enviado al correo electrónico, ni tiene validez por encima del contrato de audio, pues debió contar con la firma del asegurado dejando constancia que se encontraba plenamente de acuerdo con el contenido; (5) el correo electrónico es referencial, ya que no siempre los usuarios cuentan con acceso a su revisión, y un contrato de tal magnitud debió realizarse de forma correcta; (6) si bien en el contrato de voz se menciona que se enviará una copia al correo del asegurado, esta debe ser fiel reflejo del contrato de voz, pero en este caso es diferente y por ello no puede tener la validez e importancia por encima del contrato efectuado por expresa palabra; (7) en el au</w:t>
      </w:r>
      <w:r w:rsidRPr="0061360C">
        <w:rPr>
          <w:color w:val="000000"/>
          <w:lang w:val="es-PE"/>
        </w:rPr>
        <w:t>dio de contratación se indica claramente la aceptación del contrato, con la voz expresa del asegurado, donde no hacen referencia a que la antigüedad para el contrato era de 365 días; (8) si dicha restricción califica de importante, debió mencionarse dentro del ofrecimiento del contrato en el audio, no en una copia del contrato que fue enviada al correo electrónico, teniendo en cuenta que ya se había gestionado el préstamo y contando con pocos días para el arrepentimiento que tampoco fue mencionado en el contrato por voz; (9) no se puede suponer que el asegurado se encontraba de acuerdo con un contrato que debió ser similar a lo ofrecido en el audio; (10) dada la magnitud del contenido del contrato remitido por mail, este debió ser respondido con la firma expresa y escaneada del asegurado.</w:t>
      </w:r>
    </w:p>
    <w:p w:rsidRPr="0061360C" w:rsidR="0061360C" w:rsidP="0061360C" w:rsidRDefault="0061360C" w14:paraId="03621D8A" w14:textId="77777777">
      <w:pPr>
        <w:pStyle w:val="Textoindependiente"/>
        <w:rPr>
          <w:lang w:val="es-PE"/>
        </w:rPr>
      </w:pPr>
    </w:p>
    <w:p w:rsidRPr="0061360C" w:rsidR="0061360C" w:rsidP="0061360C" w:rsidRDefault="0061360C" w14:paraId="75DEB81C" w14:textId="4CBFEE95">
      <w:pPr>
        <w:pStyle w:val="Textoindependiente"/>
        <w:rPr>
          <w:lang w:val="es-PE"/>
        </w:rPr>
      </w:pPr>
      <w:r w:rsidRPr="5D5A891A" w:rsidR="0061360C">
        <w:rPr>
          <w:lang w:val="es-PE"/>
        </w:rPr>
        <w:t xml:space="preserve">Que, la aseguradora absolvió el traslado del recurso interpuesto, manifestando en síntesis lo siguiente: (1) conforme a lo señalado por el personal de </w:t>
      </w:r>
      <w:r w:rsidRPr="5D5A891A" w:rsidR="00A55AE9">
        <w:rPr>
          <w:lang w:val="es-PE"/>
        </w:rPr>
        <w:t>.....................</w:t>
      </w:r>
      <w:r w:rsidRPr="5D5A891A" w:rsidR="0061360C">
        <w:rPr>
          <w:lang w:val="es-PE"/>
        </w:rPr>
        <w:t xml:space="preserve"> en la llamada telefónica que sostuvo con el reclamante, con fecha 31 de julio de 2019, </w:t>
      </w:r>
      <w:r w:rsidRPr="5D5A891A" w:rsidR="22DC87C5">
        <w:rPr>
          <w:lang w:val="es-PE"/>
        </w:rPr>
        <w:t>.....................</w:t>
      </w:r>
      <w:r w:rsidRPr="5D5A891A" w:rsidR="0061360C">
        <w:rPr>
          <w:lang w:val="es-PE"/>
        </w:rPr>
        <w:t xml:space="preserve"> cumplió con remitir al correo electrónico del señor </w:t>
      </w:r>
      <w:r w:rsidRPr="5D5A891A" w:rsidR="0DFF38B4">
        <w:rPr>
          <w:lang w:val="es-PE"/>
        </w:rPr>
        <w:t>.....................</w:t>
      </w:r>
      <w:r w:rsidRPr="5D5A891A" w:rsidR="0061360C">
        <w:rPr>
          <w:lang w:val="es-PE"/>
        </w:rPr>
        <w:t xml:space="preserve"> el certificado del seguro de desempleo que contrató, donde se le informa al asegurado de manera detallada sobre las condiciones, coberturas, beneficios y procedimientos para activar la cobertura del seguro; (2) no existen dos contratos de seguro, sino que lo que ha existido es un ofrecimiento de contratación de un seguro de desempleo, realizado por </w:t>
      </w:r>
      <w:r w:rsidRPr="5D5A891A" w:rsidR="00A55AE9">
        <w:rPr>
          <w:lang w:val="es-PE"/>
        </w:rPr>
        <w:t>.....................</w:t>
      </w:r>
      <w:r w:rsidRPr="5D5A891A" w:rsidR="0061360C">
        <w:rPr>
          <w:lang w:val="es-PE"/>
        </w:rPr>
        <w:t xml:space="preserve">, que se ha materializado con la entrega del certificado de seguro, por parte de </w:t>
      </w:r>
      <w:r w:rsidRPr="5D5A891A" w:rsidR="22DC87C5">
        <w:rPr>
          <w:lang w:val="es-PE"/>
        </w:rPr>
        <w:t>.....................</w:t>
      </w:r>
      <w:r w:rsidRPr="5D5A891A" w:rsidR="0061360C">
        <w:rPr>
          <w:lang w:val="es-PE"/>
        </w:rPr>
        <w:t xml:space="preserve"> al correo electrónico del reclamante; (3) el certificado de seguro que le fue enviado al correo electrónico no contiene clausulas distintas u opuestas a la información brindada vía telefónica al reclamante; (4) en el certificado de seguro de desempleo que se remitió oportunamente al reclamante, se le informa de forma clara y expresa que uno de los requisitos para acceder a la cobertura del seguro, es la antigüedad laboral; (5) en el artículo 5.1 de las condiciones generales de la póliza de seguro se establece que la aseguradora brindará la cobertura del seguro cuando el asegurado se vea afectado por una situación de desempleo Involuntario, y siempre y cuando cumpla con la antigüedad laboral </w:t>
      </w:r>
      <w:r w:rsidRPr="5D5A891A" w:rsidR="0061360C">
        <w:rPr>
          <w:lang w:val="es-PE"/>
        </w:rPr>
        <w:t xml:space="preserve">establecida en el certificado de seguro; (6) el requisito de la antigüedad laboral es una condición necesaria para obtener el derecho a la cobertura de desempleo involuntario; (7) el reclamante también se encontraba incurso en uno de los supuesto de exclusión de la cobertura del seguro previsto en el artículo 6° del certificado de seguro, que es el vencimiento del plazo contrato sujeto a modalidad; (8) correspondía al asegurado la obligación de informarse adecuadamente sobre el contenido de su certificado de seguro, lo cual inclusive le fue señalado por </w:t>
      </w:r>
      <w:r w:rsidRPr="5D5A891A" w:rsidR="22DC87C5">
        <w:rPr>
          <w:lang w:val="es-PE"/>
        </w:rPr>
        <w:t>.....................</w:t>
      </w:r>
      <w:r w:rsidRPr="5D5A891A" w:rsidR="0061360C">
        <w:rPr>
          <w:lang w:val="es-PE"/>
        </w:rPr>
        <w:t xml:space="preserve"> cuando le remitió el certificado en mención; (9) si acaso el señor </w:t>
      </w:r>
      <w:r w:rsidRPr="5D5A891A" w:rsidR="0DFF38B4">
        <w:rPr>
          <w:lang w:val="es-PE"/>
        </w:rPr>
        <w:t>.....................</w:t>
      </w:r>
      <w:r w:rsidRPr="5D5A891A" w:rsidR="0061360C">
        <w:rPr>
          <w:lang w:val="es-PE"/>
        </w:rPr>
        <w:t xml:space="preserve"> no se encontraba conforme con alguna de las condiciones de la póliza del seguro contratado, podía válidamente ejercer su derecho de arrepentimiento para desistirse de la contratación del seguro, sin expresión de causa y sin el cobro de penalidad alguna por ello; (10) el artículo 11 de las condiciones del certificado de seguro estipula que, en los casos en que la póliza es comercializada a través del uso de sistemas a distancia, como es el caso de la contratación telefónica, el asegurado tiene la potestad de resolver el certificado de seguro, sin expresión de causa y penalidad alguna, dentro de los quince (15) días siguientes a la fecha de recepción del certificado. Por lo que, si el señor </w:t>
      </w:r>
      <w:r w:rsidRPr="5D5A891A" w:rsidR="0DFF38B4">
        <w:rPr>
          <w:lang w:val="es-PE"/>
        </w:rPr>
        <w:t>.....................</w:t>
      </w:r>
      <w:r w:rsidRPr="5D5A891A" w:rsidR="0061360C">
        <w:rPr>
          <w:lang w:val="es-PE"/>
        </w:rPr>
        <w:t xml:space="preserve"> no se encontraba de acuerdo con las condiciones señaladas en el certificado de seguro, tenía la posibilidad de hacer valer su derecho a la resolución del contrato; no obstante, a pesar de conocer los términos de la póliza, el reclamante continuó con la contratación de dicho seguro. </w:t>
      </w:r>
    </w:p>
    <w:p w:rsidRPr="0061360C" w:rsidR="0061360C" w:rsidP="0061360C" w:rsidRDefault="0061360C" w14:paraId="7C4A1250" w14:textId="77777777">
      <w:pPr>
        <w:pStyle w:val="Textoindependiente"/>
        <w:rPr>
          <w:lang w:val="es-PE"/>
        </w:rPr>
      </w:pPr>
    </w:p>
    <w:p w:rsidRPr="0061360C" w:rsidR="0061360C" w:rsidP="0061360C" w:rsidRDefault="0061360C" w14:paraId="40AD88EA" w14:textId="77777777">
      <w:pPr>
        <w:pStyle w:val="Textoindependiente"/>
        <w:tabs>
          <w:tab w:val="left" w:pos="930"/>
        </w:tabs>
        <w:rPr>
          <w:lang w:val="es-PE"/>
        </w:rPr>
      </w:pPr>
      <w:r w:rsidRPr="0061360C">
        <w:rPr>
          <w:lang w:val="es-PE"/>
        </w:rPr>
        <w:t>Que, atendiendo a lo expuesto, esta Defensoría resuelve finalmente lo siguiente:</w:t>
      </w:r>
    </w:p>
    <w:p w:rsidRPr="0061360C" w:rsidR="0061360C" w:rsidP="0061360C" w:rsidRDefault="0061360C" w14:paraId="5C6A4A9A" w14:textId="77777777">
      <w:pPr>
        <w:jc w:val="both"/>
        <w:rPr>
          <w:rFonts w:ascii="Times New Roman" w:hAnsi="Times New Roman" w:cs="Times New Roman"/>
          <w:b/>
          <w:sz w:val="24"/>
          <w:szCs w:val="24"/>
          <w:u w:val="single"/>
          <w:lang w:val="es-PE"/>
        </w:rPr>
      </w:pPr>
    </w:p>
    <w:p w:rsidRPr="0061360C" w:rsidR="0061360C" w:rsidP="0061360C" w:rsidRDefault="0061360C" w14:paraId="0F1F4E48" w14:textId="6613D8B3">
      <w:pPr>
        <w:jc w:val="both"/>
        <w:rPr>
          <w:rFonts w:ascii="Times New Roman" w:hAnsi="Times New Roman" w:cs="Times New Roman"/>
          <w:sz w:val="24"/>
          <w:szCs w:val="24"/>
          <w:lang w:val="es-PE"/>
        </w:rPr>
      </w:pPr>
      <w:r w:rsidRPr="0061360C">
        <w:rPr>
          <w:rFonts w:ascii="Times New Roman" w:hAnsi="Times New Roman" w:cs="Times New Roman"/>
          <w:b/>
          <w:sz w:val="24"/>
          <w:szCs w:val="24"/>
          <w:u w:val="single"/>
          <w:lang w:val="es-PE"/>
        </w:rPr>
        <w:t>PRIMERO</w:t>
      </w:r>
      <w:r w:rsidRPr="0061360C">
        <w:rPr>
          <w:rFonts w:ascii="Times New Roman" w:hAnsi="Times New Roman" w:cs="Times New Roman"/>
          <w:b/>
          <w:sz w:val="24"/>
          <w:szCs w:val="24"/>
          <w:lang w:val="es-PE"/>
        </w:rPr>
        <w:t>:</w:t>
      </w:r>
      <w:r w:rsidRPr="0061360C">
        <w:rPr>
          <w:rFonts w:ascii="Times New Roman" w:hAnsi="Times New Roman" w:cs="Times New Roman"/>
          <w:sz w:val="24"/>
          <w:szCs w:val="24"/>
          <w:lang w:val="es-PE"/>
        </w:rPr>
        <w:t xml:space="preserve"> El artículo 10 (Procedimiento) del Reglamento de la DEFASEG </w:t>
      </w:r>
      <w:r w:rsidRPr="0061360C">
        <w:rPr>
          <w:rFonts w:ascii="Times New Roman" w:hAnsi="Times New Roman" w:eastAsia="Arial Unicode MS" w:cs="Times New Roman"/>
          <w:sz w:val="24"/>
          <w:szCs w:val="24"/>
          <w:lang w:val="es-PE"/>
        </w:rPr>
        <w:t>(http://www.defaseg.com.pe/reglamento)</w:t>
      </w:r>
      <w:r w:rsidRPr="0061360C">
        <w:rPr>
          <w:rFonts w:ascii="Times New Roman" w:hAnsi="Times New Roman" w:cs="Times New Roman"/>
          <w:sz w:val="24"/>
          <w:szCs w:val="24"/>
          <w:lang w:val="es-PE"/>
        </w:rPr>
        <w:t xml:space="preserve"> establece que cualquiera de las partes que no se encuentre de acuerdo con la decisión adoptada sobre la materia reclamada, podrá impugnarla, interponiendo el correspondiente recurso de impugnación.  </w:t>
      </w:r>
    </w:p>
    <w:p w:rsidRPr="0061360C" w:rsidR="0061360C" w:rsidP="0061360C" w:rsidRDefault="0061360C" w14:paraId="20FD9624" w14:textId="226D3341">
      <w:pPr>
        <w:jc w:val="both"/>
        <w:rPr>
          <w:rFonts w:ascii="Times New Roman" w:hAnsi="Times New Roman" w:cs="Times New Roman"/>
          <w:sz w:val="24"/>
          <w:szCs w:val="24"/>
          <w:lang w:val="es-PE"/>
        </w:rPr>
      </w:pPr>
      <w:r w:rsidRPr="0061360C">
        <w:rPr>
          <w:rFonts w:ascii="Times New Roman" w:hAnsi="Times New Roman" w:cs="Times New Roman"/>
          <w:sz w:val="24"/>
          <w:szCs w:val="24"/>
          <w:lang w:val="es-PE"/>
        </w:rPr>
        <w:t>Conforme a ello, en el caso concreto, al interponer el recurso de impugnación el reclamante ha ejercido formalmente su derecho a contradecir lo resuelto por la Defensoría.</w:t>
      </w:r>
    </w:p>
    <w:p w:rsidRPr="0061360C" w:rsidR="0061360C" w:rsidP="0061360C" w:rsidRDefault="0061360C" w14:paraId="2CA42EA7" w14:textId="5254117D">
      <w:pPr>
        <w:jc w:val="both"/>
        <w:rPr>
          <w:rFonts w:ascii="Times New Roman" w:hAnsi="Times New Roman" w:cs="Times New Roman"/>
          <w:sz w:val="24"/>
          <w:szCs w:val="24"/>
          <w:lang w:val="es-PE"/>
        </w:rPr>
      </w:pPr>
      <w:r w:rsidRPr="0061360C">
        <w:rPr>
          <w:rFonts w:ascii="Times New Roman" w:hAnsi="Times New Roman" w:cs="Times New Roman"/>
          <w:b/>
          <w:bCs/>
          <w:sz w:val="24"/>
          <w:szCs w:val="24"/>
          <w:u w:val="single"/>
          <w:lang w:val="es-PE"/>
        </w:rPr>
        <w:t>SEGUNDO</w:t>
      </w:r>
      <w:r w:rsidRPr="0061360C">
        <w:rPr>
          <w:rFonts w:ascii="Times New Roman" w:hAnsi="Times New Roman" w:cs="Times New Roman"/>
          <w:b/>
          <w:bCs/>
          <w:sz w:val="24"/>
          <w:szCs w:val="24"/>
          <w:lang w:val="es-PE"/>
        </w:rPr>
        <w:t>:</w:t>
      </w:r>
      <w:r w:rsidRPr="0061360C">
        <w:rPr>
          <w:rFonts w:ascii="Times New Roman" w:hAnsi="Times New Roman" w:cs="Times New Roman"/>
          <w:bCs/>
          <w:sz w:val="24"/>
          <w:szCs w:val="24"/>
          <w:lang w:val="es-PE"/>
        </w:rPr>
        <w:t xml:space="preserve"> El recurso de impugnación presentado por el asegurado no se sustenta en nueva prueba sino en asumir que el contrato de seguro que contrató vía telefónica es diferente al contrato de seguro que se le remitió vía correo electrónico, debiendo prevalecer el primero en lugar del segundo</w:t>
      </w:r>
      <w:r w:rsidRPr="0061360C">
        <w:rPr>
          <w:rFonts w:ascii="Times New Roman" w:hAnsi="Times New Roman" w:cs="Times New Roman"/>
          <w:sz w:val="24"/>
          <w:szCs w:val="24"/>
          <w:lang w:val="es-PE"/>
        </w:rPr>
        <w:t>.</w:t>
      </w:r>
    </w:p>
    <w:p w:rsidRPr="0061360C" w:rsidR="0061360C" w:rsidP="5D5A891A" w:rsidRDefault="0061360C" w14:paraId="319E7A09" w14:textId="4D820EA7">
      <w:pPr>
        <w:tabs>
          <w:tab w:val="left" w:pos="2160"/>
        </w:tabs>
        <w:jc w:val="both"/>
        <w:rPr>
          <w:rFonts w:ascii="Times New Roman" w:hAnsi="Times New Roman" w:cs="Times New Roman"/>
          <w:sz w:val="24"/>
          <w:szCs w:val="24"/>
          <w:lang w:val="es-PE"/>
        </w:rPr>
      </w:pPr>
      <w:r w:rsidRPr="5D5A891A" w:rsidR="0061360C">
        <w:rPr>
          <w:rFonts w:ascii="Times New Roman" w:hAnsi="Times New Roman" w:cs="Times New Roman"/>
          <w:sz w:val="24"/>
          <w:szCs w:val="24"/>
          <w:lang w:val="es-PE"/>
        </w:rPr>
        <w:t xml:space="preserve">Sobre el particular, este Colegiado advierte que, no existe dos contratos de seguro, sino un único contrato de </w:t>
      </w:r>
      <w:bookmarkStart w:name="_Hlk26782174" w:id="0"/>
      <w:r w:rsidRPr="5D5A891A" w:rsidR="0061360C">
        <w:rPr>
          <w:rFonts w:ascii="Times New Roman" w:hAnsi="Times New Roman" w:cs="Times New Roman"/>
          <w:sz w:val="24"/>
          <w:szCs w:val="24"/>
          <w:lang w:val="es-PE"/>
        </w:rPr>
        <w:t xml:space="preserve">SEGURO DE DESEMPLEO - PÓLIZA </w:t>
      </w:r>
      <w:r w:rsidRPr="5D5A891A" w:rsidR="4C68B20E">
        <w:rPr>
          <w:rFonts w:ascii="Times New Roman" w:hAnsi="Times New Roman" w:cs="Times New Roman"/>
          <w:sz w:val="24"/>
          <w:szCs w:val="24"/>
          <w:lang w:val="es-PE"/>
        </w:rPr>
        <w:t>.....................</w:t>
      </w:r>
      <w:bookmarkEnd w:id="0"/>
      <w:r w:rsidRPr="5D5A891A" w:rsidR="0061360C">
        <w:rPr>
          <w:rFonts w:ascii="Times New Roman" w:hAnsi="Times New Roman" w:cs="Times New Roman"/>
          <w:sz w:val="24"/>
          <w:szCs w:val="24"/>
          <w:lang w:val="es-PE"/>
        </w:rPr>
        <w:t xml:space="preserve">. </w:t>
      </w:r>
    </w:p>
    <w:p w:rsidRPr="0061360C" w:rsidR="0061360C" w:rsidP="5D5A891A" w:rsidRDefault="0061360C" w14:paraId="04EF847F" w14:textId="1C6BA315">
      <w:pPr>
        <w:tabs>
          <w:tab w:val="left" w:pos="2160"/>
        </w:tabs>
        <w:jc w:val="both"/>
        <w:rPr>
          <w:rFonts w:ascii="Times New Roman" w:hAnsi="Times New Roman" w:cs="Times New Roman"/>
          <w:sz w:val="24"/>
          <w:szCs w:val="24"/>
          <w:lang w:val="es-PE"/>
        </w:rPr>
      </w:pPr>
      <w:r w:rsidRPr="5D5A891A" w:rsidR="0061360C">
        <w:rPr>
          <w:rFonts w:ascii="Times New Roman" w:hAnsi="Times New Roman" w:cs="Times New Roman"/>
          <w:sz w:val="24"/>
          <w:szCs w:val="24"/>
          <w:lang w:val="es-PE"/>
        </w:rPr>
        <w:t xml:space="preserve">Si bien la contratación se efectuó por vía telefónica, con personal de </w:t>
      </w:r>
      <w:r w:rsidRPr="5D5A891A" w:rsidR="00A55AE9">
        <w:rPr>
          <w:rFonts w:ascii="Times New Roman" w:hAnsi="Times New Roman" w:cs="Times New Roman"/>
          <w:sz w:val="24"/>
          <w:szCs w:val="24"/>
          <w:lang w:val="es-PE"/>
        </w:rPr>
        <w:t>.....................</w:t>
      </w:r>
      <w:r w:rsidRPr="5D5A891A" w:rsidR="0061360C">
        <w:rPr>
          <w:rFonts w:ascii="Times New Roman" w:hAnsi="Times New Roman" w:cs="Times New Roman"/>
          <w:sz w:val="24"/>
          <w:szCs w:val="24"/>
          <w:lang w:val="es-PE"/>
        </w:rPr>
        <w:t xml:space="preserve"> PERÚ, dicha circunstancia no genera la existencia de contratos de seguro diferentes, uno verbal y otro escrito. </w:t>
      </w:r>
    </w:p>
    <w:p w:rsidRPr="0061360C" w:rsidR="0061360C" w:rsidP="0061360C" w:rsidRDefault="0061360C" w14:paraId="73BAAF16" w14:textId="77777777">
      <w:pPr>
        <w:tabs>
          <w:tab w:val="left" w:pos="2160"/>
        </w:tabs>
        <w:jc w:val="both"/>
        <w:rPr>
          <w:rFonts w:ascii="Times New Roman" w:hAnsi="Times New Roman" w:cs="Times New Roman"/>
          <w:bCs/>
          <w:sz w:val="24"/>
          <w:szCs w:val="24"/>
          <w:lang w:val="es-PE"/>
        </w:rPr>
      </w:pPr>
      <w:r w:rsidRPr="0061360C">
        <w:rPr>
          <w:rFonts w:ascii="Times New Roman" w:hAnsi="Times New Roman" w:cs="Times New Roman"/>
          <w:bCs/>
          <w:sz w:val="24"/>
          <w:szCs w:val="24"/>
          <w:lang w:val="es-PE"/>
        </w:rPr>
        <w:t>Conforme al respectivo audio, en el proceso de contratación con el comercializador, al asegurado se le brindó un resumen de los principales términos y condiciones del seguro contratado. Asimismo, se le informó al reclamante que mediante mensaje por correo electrónico recibiría posteriormente la póliza electrónica con el detalle de las condiciones, coberturas, beneficios y procedimientos del seguro contratado.</w:t>
      </w:r>
    </w:p>
    <w:p w:rsidRPr="0061360C" w:rsidR="0061360C" w:rsidP="0061360C" w:rsidRDefault="0061360C" w14:paraId="5BDBCC9C" w14:textId="77777777">
      <w:pPr>
        <w:tabs>
          <w:tab w:val="left" w:pos="2160"/>
        </w:tabs>
        <w:jc w:val="both"/>
        <w:rPr>
          <w:rFonts w:ascii="Times New Roman" w:hAnsi="Times New Roman" w:cs="Times New Roman"/>
          <w:bCs/>
          <w:sz w:val="24"/>
          <w:szCs w:val="24"/>
          <w:lang w:val="es-PE"/>
        </w:rPr>
      </w:pPr>
    </w:p>
    <w:p w:rsidRPr="0061360C" w:rsidR="0061360C" w:rsidP="0061360C" w:rsidRDefault="0061360C" w14:paraId="7559001D" w14:textId="0B528ADF">
      <w:pPr>
        <w:tabs>
          <w:tab w:val="left" w:pos="2160"/>
        </w:tabs>
        <w:jc w:val="both"/>
        <w:rPr>
          <w:rFonts w:ascii="Times New Roman" w:hAnsi="Times New Roman" w:cs="Times New Roman"/>
          <w:bCs/>
          <w:sz w:val="24"/>
          <w:szCs w:val="24"/>
          <w:lang w:val="es-PE"/>
        </w:rPr>
      </w:pPr>
      <w:r w:rsidRPr="0061360C">
        <w:rPr>
          <w:rFonts w:ascii="Times New Roman" w:hAnsi="Times New Roman" w:cs="Times New Roman"/>
          <w:bCs/>
          <w:sz w:val="24"/>
          <w:szCs w:val="24"/>
          <w:lang w:val="es-PE"/>
        </w:rPr>
        <w:lastRenderedPageBreak/>
        <w:t xml:space="preserve">Es cierto que en el audio de la contratación no se informó que uno de </w:t>
      </w:r>
      <w:r w:rsidRPr="0061360C">
        <w:rPr>
          <w:rFonts w:ascii="Times New Roman" w:hAnsi="Times New Roman" w:cs="Times New Roman"/>
          <w:sz w:val="24"/>
          <w:szCs w:val="24"/>
          <w:lang w:val="es-PE"/>
        </w:rPr>
        <w:t>los requisitos para acceder a la cobertura del seguro, es la antigüedad laboral</w:t>
      </w:r>
      <w:r w:rsidRPr="0061360C">
        <w:rPr>
          <w:rFonts w:ascii="Times New Roman" w:hAnsi="Times New Roman" w:cs="Times New Roman"/>
          <w:bCs/>
          <w:sz w:val="24"/>
          <w:szCs w:val="24"/>
          <w:lang w:val="es-PE"/>
        </w:rPr>
        <w:t xml:space="preserve"> el </w:t>
      </w:r>
      <w:r w:rsidRPr="0061360C">
        <w:rPr>
          <w:rFonts w:ascii="Times New Roman" w:hAnsi="Times New Roman" w:cs="Times New Roman"/>
          <w:sz w:val="24"/>
          <w:szCs w:val="24"/>
          <w:lang w:val="es-PE"/>
        </w:rPr>
        <w:t xml:space="preserve">seguro. Empero, dicha circunstancia no conlleva que existan dos contratos con </w:t>
      </w:r>
      <w:r w:rsidRPr="0061360C">
        <w:rPr>
          <w:rFonts w:ascii="Times New Roman" w:hAnsi="Times New Roman" w:cs="Times New Roman"/>
          <w:bCs/>
          <w:sz w:val="24"/>
          <w:szCs w:val="24"/>
          <w:lang w:val="es-PE"/>
        </w:rPr>
        <w:t>cláusulas distintas u opuestas a la información brindada vía telefónica al reclamante.</w:t>
      </w:r>
    </w:p>
    <w:p w:rsidRPr="0061360C" w:rsidR="0061360C" w:rsidP="0061360C" w:rsidRDefault="0061360C" w14:paraId="5C5E5149" w14:textId="78A640C9">
      <w:pPr>
        <w:tabs>
          <w:tab w:val="left" w:pos="2160"/>
        </w:tabs>
        <w:jc w:val="both"/>
        <w:rPr>
          <w:rFonts w:ascii="Times New Roman" w:hAnsi="Times New Roman" w:cs="Times New Roman"/>
          <w:sz w:val="24"/>
          <w:szCs w:val="24"/>
          <w:lang w:val="es-PE"/>
        </w:rPr>
      </w:pPr>
      <w:r w:rsidRPr="0061360C">
        <w:rPr>
          <w:rFonts w:ascii="Times New Roman" w:hAnsi="Times New Roman" w:cs="Times New Roman"/>
          <w:sz w:val="24"/>
          <w:szCs w:val="24"/>
          <w:lang w:val="es-PE"/>
        </w:rPr>
        <w:t xml:space="preserve">La información contenida en el Certificado y en la Póliza no es diferente al resumen o síntesis brindado en la llamada telefónica. No cabe duda </w:t>
      </w:r>
      <w:proofErr w:type="gramStart"/>
      <w:r w:rsidRPr="0061360C">
        <w:rPr>
          <w:rFonts w:ascii="Times New Roman" w:hAnsi="Times New Roman" w:cs="Times New Roman"/>
          <w:sz w:val="24"/>
          <w:szCs w:val="24"/>
          <w:lang w:val="es-PE"/>
        </w:rPr>
        <w:t>que</w:t>
      </w:r>
      <w:proofErr w:type="gramEnd"/>
      <w:r w:rsidRPr="0061360C">
        <w:rPr>
          <w:rFonts w:ascii="Times New Roman" w:hAnsi="Times New Roman" w:cs="Times New Roman"/>
          <w:sz w:val="24"/>
          <w:szCs w:val="24"/>
          <w:lang w:val="es-PE"/>
        </w:rPr>
        <w:t xml:space="preserve"> se trata de mayor información, que completa de manera detallada toda la información proporcionada al contratante, pero no contradice lo indicado durante la llamada.</w:t>
      </w:r>
    </w:p>
    <w:p w:rsidRPr="0061360C" w:rsidR="0061360C" w:rsidP="0061360C" w:rsidRDefault="0061360C" w14:paraId="1133DA7E" w14:textId="1D104C91">
      <w:pPr>
        <w:tabs>
          <w:tab w:val="left" w:pos="2160"/>
        </w:tabs>
        <w:jc w:val="both"/>
        <w:rPr>
          <w:rFonts w:ascii="Times New Roman" w:hAnsi="Times New Roman" w:cs="Times New Roman"/>
          <w:sz w:val="24"/>
          <w:szCs w:val="24"/>
          <w:lang w:val="es-PE"/>
        </w:rPr>
      </w:pPr>
      <w:r w:rsidRPr="0061360C">
        <w:rPr>
          <w:rFonts w:ascii="Times New Roman" w:hAnsi="Times New Roman" w:cs="Times New Roman"/>
          <w:color w:val="000000"/>
          <w:sz w:val="24"/>
          <w:szCs w:val="24"/>
          <w:lang w:val="es-PE" w:eastAsia="es-PE"/>
        </w:rPr>
        <w:t xml:space="preserve">Es en ese sentido, conforme se concluye en la resolución impugnada, </w:t>
      </w:r>
      <w:r w:rsidRPr="0061360C">
        <w:rPr>
          <w:rFonts w:ascii="Times New Roman" w:hAnsi="Times New Roman" w:cs="Times New Roman"/>
          <w:sz w:val="24"/>
          <w:szCs w:val="24"/>
          <w:lang w:val="es-PE"/>
        </w:rPr>
        <w:t>el reclamante fue advertido que el beneficio cuya cobertura reclama, está sujeto contractualmente a un requisito de antigüedad laboral. De la simple lectura del certificado de seguro, el contratante estaba informado que el seguro contratado no cubre el riesgo de desempleo cuando el trabajador no cuenta con esa antigüedad laboral mínima. Por lo tanto, si el reclamante no estaba de acuerdo con esa condición de cobertura del seguro de desempleo pudo haber dejado sin efecto el contrato haciendo valer su derecho de arrepentimiento.</w:t>
      </w:r>
    </w:p>
    <w:p w:rsidRPr="0061360C" w:rsidR="0061360C" w:rsidP="0061360C" w:rsidRDefault="0061360C" w14:paraId="19048981" w14:textId="15561FBC">
      <w:pPr>
        <w:tabs>
          <w:tab w:val="left" w:pos="2160"/>
        </w:tabs>
        <w:jc w:val="both"/>
        <w:rPr>
          <w:rFonts w:ascii="Times New Roman" w:hAnsi="Times New Roman" w:cs="Times New Roman"/>
          <w:sz w:val="24"/>
          <w:szCs w:val="24"/>
          <w:lang w:val="es-PE" w:eastAsia="es-ES"/>
        </w:rPr>
      </w:pPr>
      <w:r w:rsidRPr="0061360C">
        <w:rPr>
          <w:rFonts w:ascii="Times New Roman" w:hAnsi="Times New Roman" w:cs="Times New Roman"/>
          <w:sz w:val="24"/>
          <w:szCs w:val="24"/>
          <w:lang w:val="es-PE" w:eastAsia="es-ES"/>
        </w:rPr>
        <w:t>Consecuentemente, para esta Defensoría persiste la situación fáctica y legal que califica el rechazo de cobertura como legítimo.</w:t>
      </w:r>
    </w:p>
    <w:p w:rsidRPr="0061360C" w:rsidR="0061360C" w:rsidP="0061360C" w:rsidRDefault="0061360C" w14:paraId="6FF6E25B" w14:textId="240C2699">
      <w:pPr>
        <w:jc w:val="both"/>
        <w:rPr>
          <w:rFonts w:ascii="Times New Roman" w:hAnsi="Times New Roman" w:cs="Times New Roman"/>
          <w:sz w:val="24"/>
          <w:szCs w:val="24"/>
          <w:lang w:val="es-PE"/>
        </w:rPr>
      </w:pPr>
      <w:r w:rsidRPr="0061360C">
        <w:rPr>
          <w:rFonts w:ascii="Times New Roman" w:hAnsi="Times New Roman" w:cs="Times New Roman"/>
          <w:b/>
          <w:sz w:val="24"/>
          <w:szCs w:val="24"/>
          <w:u w:val="single"/>
          <w:lang w:val="es-PE"/>
        </w:rPr>
        <w:t>TERCERO</w:t>
      </w:r>
      <w:r w:rsidRPr="0061360C">
        <w:rPr>
          <w:rFonts w:ascii="Times New Roman" w:hAnsi="Times New Roman" w:cs="Times New Roman"/>
          <w:b/>
          <w:sz w:val="24"/>
          <w:szCs w:val="24"/>
          <w:lang w:val="es-PE"/>
        </w:rPr>
        <w:t>:</w:t>
      </w:r>
      <w:r w:rsidRPr="0061360C">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el recurrente ha aportado nueva prueba que conlleve a conclusiones distintas a las establecidas en la resolución materia de impugnación, por lo que no existe mérito ni razón objetiva para revocarla.</w:t>
      </w:r>
    </w:p>
    <w:p w:rsidRPr="0061360C" w:rsidR="0061360C" w:rsidP="0061360C" w:rsidRDefault="0061360C" w14:paraId="30EA24A5" w14:textId="01317103">
      <w:pPr>
        <w:jc w:val="both"/>
        <w:rPr>
          <w:rFonts w:ascii="Times New Roman" w:hAnsi="Times New Roman" w:cs="Times New Roman"/>
          <w:b/>
          <w:sz w:val="24"/>
          <w:szCs w:val="24"/>
          <w:lang w:val="es-PE"/>
        </w:rPr>
      </w:pPr>
      <w:r w:rsidRPr="0061360C">
        <w:rPr>
          <w:rFonts w:ascii="Times New Roman" w:hAnsi="Times New Roman" w:cs="Times New Roman"/>
          <w:b/>
          <w:sz w:val="24"/>
          <w:szCs w:val="24"/>
          <w:lang w:val="es-PE"/>
        </w:rPr>
        <w:t>RESUELVE:</w:t>
      </w:r>
    </w:p>
    <w:p w:rsidRPr="0061360C" w:rsidR="0061360C" w:rsidP="0061360C" w:rsidRDefault="0061360C" w14:paraId="28811E32" w14:textId="2B6BDE86">
      <w:pPr>
        <w:jc w:val="both"/>
        <w:rPr>
          <w:rFonts w:ascii="Times New Roman" w:hAnsi="Times New Roman" w:cs="Times New Roman"/>
          <w:sz w:val="24"/>
          <w:szCs w:val="24"/>
          <w:lang w:val="es-PE"/>
        </w:rPr>
      </w:pPr>
      <w:r w:rsidRPr="0061360C">
        <w:rPr>
          <w:rFonts w:ascii="Times New Roman" w:hAnsi="Times New Roman" w:eastAsia="Arial Unicode MS" w:cs="Times New Roman"/>
          <w:b/>
          <w:sz w:val="24"/>
          <w:szCs w:val="24"/>
          <w:lang w:val="es-PE"/>
        </w:rPr>
        <w:t>Declarar INFUNDADO el recurso de impugnación interpuesto y, por consiguiente, CONFIRMAR la Resolución Nro. 102/20</w:t>
      </w:r>
      <w:r w:rsidRPr="0061360C">
        <w:rPr>
          <w:rFonts w:ascii="Times New Roman" w:hAnsi="Times New Roman" w:cs="Times New Roman"/>
          <w:sz w:val="24"/>
          <w:szCs w:val="24"/>
          <w:lang w:val="es-PE"/>
        </w:rPr>
        <w:t>.</w:t>
      </w:r>
    </w:p>
    <w:p w:rsidRPr="0061360C" w:rsidR="00072C60" w:rsidP="00072C60" w:rsidRDefault="00072C60" w14:paraId="4E35F8B4"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61360C" w:rsidR="00077B6F" w:rsidP="00C671F5" w:rsidRDefault="0091528B" w14:paraId="78A39B5B" w14:textId="29481F1C">
      <w:pPr>
        <w:suppressAutoHyphens/>
        <w:spacing w:after="0" w:line="240" w:lineRule="auto"/>
        <w:jc w:val="right"/>
        <w:outlineLvl w:val="0"/>
        <w:rPr>
          <w:rFonts w:ascii="Times New Roman" w:hAnsi="Times New Roman" w:eastAsia="Arial Unicode MS" w:cs="Times New Roman"/>
          <w:sz w:val="24"/>
          <w:szCs w:val="24"/>
          <w:lang w:val="es-PE" w:eastAsia="ar-SA"/>
        </w:rPr>
      </w:pPr>
      <w:r w:rsidRPr="0061360C">
        <w:rPr>
          <w:rFonts w:ascii="Times New Roman" w:hAnsi="Times New Roman" w:eastAsia="Arial Unicode MS" w:cs="Times New Roman"/>
          <w:sz w:val="24"/>
          <w:szCs w:val="24"/>
          <w:lang w:val="es-PE" w:eastAsia="ar-SA"/>
        </w:rPr>
        <w:t xml:space="preserve">Lima, </w:t>
      </w:r>
      <w:r w:rsidRPr="0061360C" w:rsidR="00AF16B6">
        <w:rPr>
          <w:rFonts w:ascii="Times New Roman" w:hAnsi="Times New Roman" w:eastAsia="Arial Unicode MS" w:cs="Times New Roman"/>
          <w:sz w:val="24"/>
          <w:szCs w:val="24"/>
          <w:lang w:val="es-PE" w:eastAsia="ar-SA"/>
        </w:rPr>
        <w:t>1</w:t>
      </w:r>
      <w:r w:rsidRPr="0061360C" w:rsidR="00707C99">
        <w:rPr>
          <w:rFonts w:ascii="Times New Roman" w:hAnsi="Times New Roman" w:eastAsia="Arial Unicode MS" w:cs="Times New Roman"/>
          <w:sz w:val="24"/>
          <w:szCs w:val="24"/>
          <w:lang w:val="es-PE" w:eastAsia="ar-SA"/>
        </w:rPr>
        <w:t xml:space="preserve"> de </w:t>
      </w:r>
      <w:r w:rsidRPr="0061360C" w:rsidR="00AF16B6">
        <w:rPr>
          <w:rFonts w:ascii="Times New Roman" w:hAnsi="Times New Roman" w:eastAsia="Arial Unicode MS" w:cs="Times New Roman"/>
          <w:sz w:val="24"/>
          <w:szCs w:val="24"/>
          <w:lang w:val="es-PE" w:eastAsia="ar-SA"/>
        </w:rPr>
        <w:t>febrero</w:t>
      </w:r>
      <w:r w:rsidRPr="0061360C" w:rsidR="00F06498">
        <w:rPr>
          <w:rFonts w:ascii="Times New Roman" w:hAnsi="Times New Roman" w:eastAsia="Arial Unicode MS" w:cs="Times New Roman"/>
          <w:sz w:val="24"/>
          <w:szCs w:val="24"/>
          <w:lang w:val="es-PE" w:eastAsia="ar-SA"/>
        </w:rPr>
        <w:t xml:space="preserve"> de 202</w:t>
      </w:r>
      <w:r w:rsidRPr="0061360C" w:rsidR="00231C58">
        <w:rPr>
          <w:rFonts w:ascii="Times New Roman" w:hAnsi="Times New Roman" w:eastAsia="Arial Unicode MS" w:cs="Times New Roman"/>
          <w:sz w:val="24"/>
          <w:szCs w:val="24"/>
          <w:lang w:val="es-PE" w:eastAsia="ar-SA"/>
        </w:rPr>
        <w:t>1</w:t>
      </w:r>
      <w:r w:rsidRPr="0061360C" w:rsidR="00707C99">
        <w:rPr>
          <w:rFonts w:ascii="Times New Roman" w:hAnsi="Times New Roman" w:eastAsia="Times New Roman" w:cs="Times New Roman"/>
          <w:sz w:val="24"/>
          <w:szCs w:val="24"/>
          <w:lang w:val="es-PE" w:eastAsia="ar-SA"/>
        </w:rPr>
        <w:t xml:space="preserve"> </w:t>
      </w:r>
    </w:p>
    <w:p w:rsidRPr="0061360C"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61360C"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61360C"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61360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61360C"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61360C"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61360C">
        <w:rPr>
          <w:rFonts w:ascii="Times New Roman" w:hAnsi="Times New Roman" w:cs="Times New Roman"/>
          <w:b/>
          <w:bCs/>
          <w:sz w:val="24"/>
          <w:szCs w:val="24"/>
          <w:lang w:val="es-PE"/>
        </w:rPr>
        <w:t xml:space="preserve">María Eugenia Valdez Fernández Baca </w:t>
      </w:r>
      <w:r w:rsidRPr="0061360C" w:rsidR="00C671F5">
        <w:rPr>
          <w:rFonts w:ascii="Times New Roman" w:hAnsi="Times New Roman" w:cs="Times New Roman"/>
          <w:b/>
          <w:bCs/>
          <w:sz w:val="24"/>
          <w:szCs w:val="24"/>
          <w:lang w:val="es-PE"/>
        </w:rPr>
        <w:t xml:space="preserve">– </w:t>
      </w:r>
      <w:proofErr w:type="gramStart"/>
      <w:r w:rsidRPr="0061360C" w:rsidR="00C671F5">
        <w:rPr>
          <w:rFonts w:ascii="Times New Roman" w:hAnsi="Times New Roman" w:cs="Times New Roman"/>
          <w:b/>
          <w:bCs/>
          <w:sz w:val="24"/>
          <w:szCs w:val="24"/>
          <w:lang w:val="es-PE"/>
        </w:rPr>
        <w:t>Presidente</w:t>
      </w:r>
      <w:proofErr w:type="gramEnd"/>
    </w:p>
    <w:p w:rsidRPr="0061360C" w:rsidR="00C671F5" w:rsidP="00C671F5" w:rsidRDefault="00C671F5" w14:paraId="55E7D9D7" w14:textId="724A8615">
      <w:pPr>
        <w:spacing w:after="0" w:line="360" w:lineRule="auto"/>
        <w:jc w:val="center"/>
        <w:rPr>
          <w:rFonts w:ascii="Times New Roman" w:hAnsi="Times New Roman" w:cs="Times New Roman"/>
          <w:b/>
          <w:bCs/>
          <w:sz w:val="24"/>
          <w:szCs w:val="24"/>
          <w:lang w:val="es-PE"/>
        </w:rPr>
      </w:pPr>
      <w:r w:rsidRPr="0061360C">
        <w:rPr>
          <w:rFonts w:ascii="Times New Roman" w:hAnsi="Times New Roman" w:cs="Times New Roman"/>
          <w:b/>
          <w:bCs/>
          <w:sz w:val="24"/>
          <w:szCs w:val="24"/>
          <w:lang w:val="es-PE"/>
        </w:rPr>
        <w:t>Marco Antonio Ortega Piana – Vocal</w:t>
      </w:r>
    </w:p>
    <w:p w:rsidRPr="0061360C" w:rsidR="00292018" w:rsidP="00292018" w:rsidRDefault="00292018" w14:paraId="3006BA35" w14:textId="7871895F">
      <w:pPr>
        <w:spacing w:after="0" w:line="360" w:lineRule="auto"/>
        <w:jc w:val="center"/>
        <w:rPr>
          <w:rFonts w:ascii="Times New Roman" w:hAnsi="Times New Roman" w:cs="Times New Roman"/>
          <w:b/>
          <w:bCs/>
          <w:sz w:val="24"/>
          <w:szCs w:val="24"/>
          <w:lang w:val="es-PE"/>
        </w:rPr>
      </w:pPr>
      <w:r w:rsidRPr="0061360C">
        <w:rPr>
          <w:rFonts w:ascii="Times New Roman" w:hAnsi="Times New Roman" w:cs="Times New Roman"/>
          <w:b/>
          <w:bCs/>
          <w:sz w:val="24"/>
          <w:szCs w:val="24"/>
          <w:lang w:val="es-PE"/>
        </w:rPr>
        <w:t xml:space="preserve">Rolando Eyzaguirre </w:t>
      </w:r>
      <w:proofErr w:type="spellStart"/>
      <w:r w:rsidRPr="0061360C">
        <w:rPr>
          <w:rFonts w:ascii="Times New Roman" w:hAnsi="Times New Roman" w:cs="Times New Roman"/>
          <w:b/>
          <w:bCs/>
          <w:sz w:val="24"/>
          <w:szCs w:val="24"/>
          <w:lang w:val="es-PE"/>
        </w:rPr>
        <w:t>Maccan</w:t>
      </w:r>
      <w:proofErr w:type="spellEnd"/>
      <w:r w:rsidRPr="0061360C">
        <w:rPr>
          <w:rFonts w:ascii="Times New Roman" w:hAnsi="Times New Roman" w:cs="Times New Roman"/>
          <w:b/>
          <w:bCs/>
          <w:sz w:val="24"/>
          <w:szCs w:val="24"/>
          <w:lang w:val="es-PE"/>
        </w:rPr>
        <w:t xml:space="preserve"> – Vocal</w:t>
      </w:r>
    </w:p>
    <w:p w:rsidRPr="0061360C"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61360C">
        <w:rPr>
          <w:rFonts w:ascii="Times New Roman" w:hAnsi="Times New Roman" w:cs="Times New Roman"/>
          <w:b/>
          <w:bCs/>
          <w:sz w:val="24"/>
          <w:szCs w:val="24"/>
          <w:lang w:val="es-PE"/>
        </w:rPr>
        <w:t xml:space="preserve">Gonzalo Abad del Busto </w:t>
      </w:r>
      <w:r w:rsidRPr="0061360C" w:rsidR="00231C58">
        <w:rPr>
          <w:rFonts w:ascii="Times New Roman" w:hAnsi="Times New Roman" w:cs="Times New Roman"/>
          <w:b/>
          <w:bCs/>
          <w:sz w:val="24"/>
          <w:szCs w:val="24"/>
          <w:lang w:val="es-PE"/>
        </w:rPr>
        <w:t xml:space="preserve">– </w:t>
      </w:r>
      <w:r w:rsidRPr="0061360C">
        <w:rPr>
          <w:rFonts w:ascii="Times New Roman" w:hAnsi="Times New Roman" w:cs="Times New Roman"/>
          <w:b/>
          <w:bCs/>
          <w:sz w:val="24"/>
          <w:szCs w:val="24"/>
          <w:lang w:val="es-PE"/>
        </w:rPr>
        <w:t>Vocal</w:t>
      </w:r>
    </w:p>
    <w:p w:rsidRPr="0061360C" w:rsidR="00C671F5" w:rsidP="00C671F5" w:rsidRDefault="00C671F5" w14:paraId="33E0FAB8" w14:textId="77777777">
      <w:pPr>
        <w:suppressAutoHyphens/>
        <w:spacing w:after="0" w:line="360" w:lineRule="auto"/>
        <w:outlineLvl w:val="0"/>
        <w:rPr>
          <w:rFonts w:ascii="Times New Roman" w:hAnsi="Times New Roman" w:eastAsia="Arial Unicode MS" w:cs="Times New Roman"/>
          <w:lang w:val="es-PE" w:eastAsia="ar-SA"/>
        </w:rPr>
      </w:pPr>
    </w:p>
    <w:p w:rsidRPr="0061360C"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61360C"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61642" w:rsidP="00784355" w:rsidRDefault="00161642" w14:paraId="74FEF846" w14:textId="77777777">
      <w:pPr>
        <w:spacing w:after="0" w:line="240" w:lineRule="auto"/>
      </w:pPr>
      <w:r>
        <w:separator/>
      </w:r>
    </w:p>
  </w:endnote>
  <w:endnote w:type="continuationSeparator" w:id="0">
    <w:p w:rsidR="00161642" w:rsidP="00784355" w:rsidRDefault="00161642" w14:paraId="0DCF78D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61642" w:rsidP="00784355" w:rsidRDefault="00161642" w14:paraId="08F1EC73" w14:textId="77777777">
      <w:pPr>
        <w:spacing w:after="0" w:line="240" w:lineRule="auto"/>
      </w:pPr>
      <w:r>
        <w:separator/>
      </w:r>
    </w:p>
  </w:footnote>
  <w:footnote w:type="continuationSeparator" w:id="0">
    <w:p w:rsidR="00161642" w:rsidP="00784355" w:rsidRDefault="00161642" w14:paraId="1E1431F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70DB6"/>
    <w:rsid w:val="00071A25"/>
    <w:rsid w:val="00072C60"/>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55AE9"/>
    <w:rsid w:val="00A62BEC"/>
    <w:rsid w:val="00A658C1"/>
    <w:rsid w:val="00A734AD"/>
    <w:rsid w:val="00A837A0"/>
    <w:rsid w:val="00A90926"/>
    <w:rsid w:val="00A97287"/>
    <w:rsid w:val="00AA2DED"/>
    <w:rsid w:val="00AB1C66"/>
    <w:rsid w:val="00AC5A9E"/>
    <w:rsid w:val="00AD1FEC"/>
    <w:rsid w:val="00AD2DF1"/>
    <w:rsid w:val="00AE4125"/>
    <w:rsid w:val="00AF16B6"/>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6FFA"/>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DFF38B4"/>
    <w:rsid w:val="0F75B8BD"/>
    <w:rsid w:val="22DC87C5"/>
    <w:rsid w:val="2D659301"/>
    <w:rsid w:val="4C68B20E"/>
    <w:rsid w:val="5D5A891A"/>
    <w:rsid w:val="60CEBF22"/>
    <w:rsid w:val="67578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CDA34A2-D31B-4E3A-ADF7-8C281E6FDCBA}"/>
</file>

<file path=customXml/itemProps3.xml><?xml version="1.0" encoding="utf-8"?>
<ds:datastoreItem xmlns:ds="http://schemas.openxmlformats.org/officeDocument/2006/customXml" ds:itemID="{87A72CB4-5D75-4D39-9762-BC5A66FDC909}"/>
</file>

<file path=customXml/itemProps4.xml><?xml version="1.0" encoding="utf-8"?>
<ds:datastoreItem xmlns:ds="http://schemas.openxmlformats.org/officeDocument/2006/customXml" ds:itemID="{B52CE323-3B88-4E45-B038-85D155467F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19</cp:revision>
  <cp:lastPrinted>2021-02-01T17:03:00Z</cp:lastPrinted>
  <dcterms:created xsi:type="dcterms:W3CDTF">2020-12-18T20:17:00Z</dcterms:created>
  <dcterms:modified xsi:type="dcterms:W3CDTF">2026-01-27T20:02:30Z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