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062040" w:rsidR="00707C99" w:rsidP="00072C60" w:rsidRDefault="00201C0D" w14:paraId="19FE0E96" w14:textId="6F962C1D">
      <w:pPr>
        <w:spacing w:after="0" w:line="240" w:lineRule="auto"/>
        <w:jc w:val="center"/>
        <w:rPr>
          <w:rFonts w:ascii="Times New Roman" w:hAnsi="Times New Roman" w:cs="Times New Roman"/>
          <w:b/>
          <w:sz w:val="24"/>
          <w:szCs w:val="24"/>
          <w:lang w:val="es-PE" w:eastAsia="ar-SA"/>
        </w:rPr>
      </w:pPr>
      <w:r w:rsidRPr="00062040">
        <w:rPr>
          <w:rFonts w:ascii="Times New Roman" w:hAnsi="Times New Roman" w:cs="Times New Roman"/>
          <w:b/>
          <w:sz w:val="24"/>
          <w:szCs w:val="24"/>
          <w:lang w:val="es-PE" w:eastAsia="ar-SA"/>
        </w:rPr>
        <w:t xml:space="preserve">RESOLUCIÓN DE RECURSO IMPUGNATIVO </w:t>
      </w:r>
      <w:proofErr w:type="spellStart"/>
      <w:r w:rsidRPr="00062040" w:rsidR="00707C99">
        <w:rPr>
          <w:rFonts w:ascii="Times New Roman" w:hAnsi="Times New Roman" w:cs="Times New Roman"/>
          <w:b/>
          <w:sz w:val="24"/>
          <w:szCs w:val="24"/>
          <w:lang w:val="es-PE" w:eastAsia="ar-SA"/>
        </w:rPr>
        <w:t>N°</w:t>
      </w:r>
      <w:proofErr w:type="spellEnd"/>
      <w:r w:rsidRPr="00062040" w:rsidR="00707C99">
        <w:rPr>
          <w:rFonts w:ascii="Times New Roman" w:hAnsi="Times New Roman" w:cs="Times New Roman"/>
          <w:b/>
          <w:sz w:val="24"/>
          <w:szCs w:val="24"/>
          <w:lang w:val="es-PE" w:eastAsia="ar-SA"/>
        </w:rPr>
        <w:t xml:space="preserve"> </w:t>
      </w:r>
      <w:r w:rsidRPr="00062040" w:rsidR="00C671F5">
        <w:rPr>
          <w:rFonts w:ascii="Times New Roman" w:hAnsi="Times New Roman" w:cs="Times New Roman"/>
          <w:b/>
          <w:sz w:val="24"/>
          <w:szCs w:val="24"/>
          <w:lang w:val="es-PE" w:eastAsia="ar-SA"/>
        </w:rPr>
        <w:t>0</w:t>
      </w:r>
      <w:r w:rsidRPr="00062040" w:rsidR="00231C58">
        <w:rPr>
          <w:rFonts w:ascii="Times New Roman" w:hAnsi="Times New Roman" w:cs="Times New Roman"/>
          <w:b/>
          <w:sz w:val="24"/>
          <w:szCs w:val="24"/>
          <w:lang w:val="es-PE" w:eastAsia="ar-SA"/>
        </w:rPr>
        <w:t>0</w:t>
      </w:r>
      <w:r w:rsidRPr="00062040" w:rsidR="00062040">
        <w:rPr>
          <w:rFonts w:ascii="Times New Roman" w:hAnsi="Times New Roman" w:cs="Times New Roman"/>
          <w:b/>
          <w:sz w:val="24"/>
          <w:szCs w:val="24"/>
          <w:lang w:val="es-PE" w:eastAsia="ar-SA"/>
        </w:rPr>
        <w:t>6</w:t>
      </w:r>
      <w:r w:rsidRPr="00062040" w:rsidR="00C671F5">
        <w:rPr>
          <w:rFonts w:ascii="Times New Roman" w:hAnsi="Times New Roman" w:cs="Times New Roman"/>
          <w:b/>
          <w:sz w:val="24"/>
          <w:szCs w:val="24"/>
          <w:lang w:val="es-PE" w:eastAsia="ar-SA"/>
        </w:rPr>
        <w:t>/2</w:t>
      </w:r>
      <w:r w:rsidRPr="00062040" w:rsidR="00231C58">
        <w:rPr>
          <w:rFonts w:ascii="Times New Roman" w:hAnsi="Times New Roman" w:cs="Times New Roman"/>
          <w:b/>
          <w:sz w:val="24"/>
          <w:szCs w:val="24"/>
          <w:lang w:val="es-PE" w:eastAsia="ar-SA"/>
        </w:rPr>
        <w:t>1</w:t>
      </w:r>
    </w:p>
    <w:p w:rsidRPr="00062040"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062040" w:rsidR="00B32325" w:rsidP="00072C60" w:rsidRDefault="00B32325" w14:paraId="500397C4" w14:textId="77777777">
      <w:pPr>
        <w:suppressAutoHyphens/>
        <w:spacing w:after="0" w:line="240" w:lineRule="auto"/>
        <w:jc w:val="both"/>
        <w:rPr>
          <w:rFonts w:ascii="Times New Roman" w:hAnsi="Times New Roman" w:eastAsia="Times New Roman" w:cs="Times New Roman"/>
          <w:b/>
          <w:bCs/>
          <w:sz w:val="24"/>
          <w:szCs w:val="24"/>
          <w:lang w:val="es-PE" w:eastAsia="ar-SA"/>
        </w:rPr>
      </w:pPr>
    </w:p>
    <w:p w:rsidRPr="00062040" w:rsidR="00062040" w:rsidP="00062040" w:rsidRDefault="00062040" w14:paraId="53C51E94" w14:textId="0C98D824">
      <w:pPr>
        <w:jc w:val="both"/>
        <w:outlineLvl w:val="0"/>
        <w:rPr>
          <w:rFonts w:ascii="Times New Roman" w:hAnsi="Times New Roman" w:cs="Times New Roman"/>
          <w:b/>
          <w:bCs/>
          <w:sz w:val="24"/>
          <w:szCs w:val="24"/>
          <w:lang w:val="es-PE"/>
        </w:rPr>
      </w:pPr>
      <w:r w:rsidRPr="00062040">
        <w:rPr>
          <w:rFonts w:ascii="Times New Roman" w:hAnsi="Times New Roman" w:cs="Times New Roman"/>
          <w:b/>
          <w:bCs/>
          <w:sz w:val="24"/>
          <w:szCs w:val="24"/>
          <w:lang w:val="es-PE"/>
        </w:rPr>
        <w:t>VISTOS:</w:t>
      </w:r>
    </w:p>
    <w:p w:rsidRPr="00062040" w:rsidR="00062040" w:rsidP="00062040" w:rsidRDefault="00062040" w14:paraId="58DDA476" w14:textId="2B434561">
      <w:pPr>
        <w:jc w:val="both"/>
        <w:rPr>
          <w:rFonts w:ascii="Times New Roman" w:hAnsi="Times New Roman" w:cs="Times New Roman"/>
          <w:sz w:val="24"/>
          <w:szCs w:val="24"/>
          <w:lang w:val="es-PE"/>
        </w:rPr>
      </w:pPr>
      <w:r w:rsidRPr="21A7DDA2" w:rsidR="00062040">
        <w:rPr>
          <w:rFonts w:ascii="Times New Roman" w:hAnsi="Times New Roman" w:cs="Times New Roman"/>
          <w:sz w:val="24"/>
          <w:szCs w:val="24"/>
          <w:lang w:val="es-PE"/>
        </w:rPr>
        <w:t xml:space="preserve">El recurso de impugnación presentado por </w:t>
      </w:r>
      <w:r w:rsidRPr="21A7DDA2" w:rsidR="6DE5B55E">
        <w:rPr>
          <w:rFonts w:ascii="Times New Roman" w:hAnsi="Times New Roman" w:cs="Times New Roman"/>
          <w:sz w:val="24"/>
          <w:szCs w:val="24"/>
          <w:lang w:val="es-PE"/>
        </w:rPr>
        <w:t>.............................................</w:t>
      </w:r>
      <w:r w:rsidRPr="21A7DDA2" w:rsidR="00062040">
        <w:rPr>
          <w:rFonts w:ascii="Times New Roman" w:hAnsi="Times New Roman" w:cs="Times New Roman"/>
          <w:sz w:val="24"/>
          <w:szCs w:val="24"/>
          <w:lang w:val="es-PE"/>
        </w:rPr>
        <w:t xml:space="preserve"> respecto de la Resolución Nro. 103/20, expedida por esta Defensoría del Asegurado (DEFASEG), conforme a la cual se declaró INFUNDADA la reclamación interpuesta por el contrario </w:t>
      </w:r>
      <w:r w:rsidRPr="21A7DDA2" w:rsidR="775715E0">
        <w:rPr>
          <w:rFonts w:ascii="Times New Roman" w:hAnsi="Times New Roman" w:cs="Times New Roman"/>
          <w:sz w:val="24"/>
          <w:szCs w:val="24"/>
          <w:lang w:val="es-PE"/>
        </w:rPr>
        <w:t>................................</w:t>
      </w:r>
      <w:r w:rsidRPr="21A7DDA2" w:rsidR="00062040">
        <w:rPr>
          <w:rFonts w:ascii="Times New Roman" w:hAnsi="Times New Roman" w:cs="Times New Roman"/>
          <w:sz w:val="24"/>
          <w:szCs w:val="24"/>
          <w:lang w:val="es-PE"/>
        </w:rPr>
        <w:t>;</w:t>
      </w:r>
    </w:p>
    <w:p w:rsidRPr="00062040" w:rsidR="00062040" w:rsidP="00062040" w:rsidRDefault="00062040" w14:paraId="49FB3223" w14:textId="77777777">
      <w:pPr>
        <w:pStyle w:val="Textoindependiente"/>
        <w:rPr>
          <w:i/>
          <w:iCs/>
          <w:lang w:val="es-PE"/>
        </w:rPr>
      </w:pPr>
      <w:r w:rsidRPr="00062040">
        <w:rPr>
          <w:lang w:val="es-PE"/>
        </w:rPr>
        <w:t xml:space="preserve">Que, el indicado recurso se sustenta resumidamente en lo siguiente: (1) la Defensoría evita ejercer un control tuitivo a la parte más débil de la relación de consumo realizando una interpretación extensiva a favor del Banco, sino que para ello evita motivar fáctica y jurídicamente el supuesto actuar negligente de la asegurada, única condición que permite no dar cobertura al siniestro ante el no uso de la fuerza por parte de terceros; (2) en la resolución impugnada se reconoce que los hechos suscitados sí pueden ser cubiertos, pero igualmente desestima la pretensión bajo la aplicación de la cláusula 15 del contrato pero sin fundamentar </w:t>
      </w:r>
      <w:r w:rsidRPr="00062040">
        <w:rPr>
          <w:i/>
          <w:iCs/>
          <w:lang w:val="es-PE"/>
        </w:rPr>
        <w:t>-actuación negligente brindando datos personales y/o claves secretas-</w:t>
      </w:r>
      <w:r w:rsidRPr="00062040">
        <w:rPr>
          <w:lang w:val="es-PE"/>
        </w:rPr>
        <w:t>; (3) no se explica donde parte el supuesto acto negligente y supone que la asegurada brindó sus datos personales y/o claves secretas a la persona que le sustrajo el dinero; (4) se viola el derecho de tercero imparcial, es decir aun cuando la parte más débil de esta relación de consumo, lejos de equilibrar esta asimetría, se efectúa una interpretación pro aseguradora, bajo una cláusula leonina que por sola interpretación se excluyen coberturas que en sus publicidades orales al momento de obtener el seguro por parte del personal del Banco no lo indican.</w:t>
      </w:r>
    </w:p>
    <w:p w:rsidRPr="00062040" w:rsidR="00062040" w:rsidP="00062040" w:rsidRDefault="00062040" w14:paraId="44BF3870" w14:textId="77777777">
      <w:pPr>
        <w:pStyle w:val="Textoindependiente"/>
        <w:rPr>
          <w:lang w:val="es-PE"/>
        </w:rPr>
      </w:pPr>
    </w:p>
    <w:p w:rsidRPr="00062040" w:rsidR="00062040" w:rsidP="00062040" w:rsidRDefault="00062040" w14:paraId="76E504B7" w14:textId="77777777">
      <w:pPr>
        <w:pStyle w:val="Textoindependiente"/>
        <w:rPr>
          <w:lang w:val="es-PE"/>
        </w:rPr>
      </w:pPr>
      <w:r w:rsidRPr="00062040">
        <w:rPr>
          <w:lang w:val="es-PE"/>
        </w:rPr>
        <w:t xml:space="preserve">Que, la aseguradora absolvió el traslado del recurso interpuesto, manifestando en síntesis lo siguiente: (1) carece de sustento lo alegado por la reclamante, toda vez que la resolución impugnada se encuentra debidamente motivada, más aun cuando resulta claro que el Colegiado ha resuelto conforme a lo estipulado en las condiciones generales del seguro contratado; (2) la resolución fundamenta las razones por la cuales el siniestro acaecido no se subsume dentro de las coberturas establecidas en el contrato de seguro, que es de obligatorio cumplimiento para las partes, circunscribiéndose el rechazo dentro de los parámetros regulados en la normatividad en materia de seguros; (3) lo expresado en las condiciones generales de la póliza se encuentra sujeto al principio de literalidad, tal como lo ha recogido expresamente la nueva Ley General del Contrato de Seguro, Ley </w:t>
      </w:r>
      <w:proofErr w:type="spellStart"/>
      <w:r w:rsidRPr="00062040">
        <w:rPr>
          <w:lang w:val="es-PE"/>
        </w:rPr>
        <w:t>N°</w:t>
      </w:r>
      <w:proofErr w:type="spellEnd"/>
      <w:r w:rsidRPr="00062040">
        <w:rPr>
          <w:lang w:val="es-PE"/>
        </w:rPr>
        <w:t xml:space="preserve"> 29946, que en su artículo IV; (4) las condiciones generales de contratación son claras en señalar los supuestos que configuran los riesgos </w:t>
      </w:r>
      <w:proofErr w:type="spellStart"/>
      <w:r w:rsidRPr="00062040">
        <w:rPr>
          <w:lang w:val="es-PE"/>
        </w:rPr>
        <w:t>coberturables</w:t>
      </w:r>
      <w:proofErr w:type="spellEnd"/>
      <w:r w:rsidRPr="00062040">
        <w:rPr>
          <w:lang w:val="es-PE"/>
        </w:rPr>
        <w:t>, ningunos de los cuales se ha presentado en el caso que nos ocupa; (5) la asegurada no ha demostrado de ninguna forma la modalidad de fraude (</w:t>
      </w:r>
      <w:proofErr w:type="spellStart"/>
      <w:r w:rsidRPr="00062040">
        <w:rPr>
          <w:lang w:val="es-PE"/>
        </w:rPr>
        <w:t>smishing</w:t>
      </w:r>
      <w:proofErr w:type="spellEnd"/>
      <w:r w:rsidRPr="00062040">
        <w:rPr>
          <w:lang w:val="es-PE"/>
        </w:rPr>
        <w:t>) que vía reclamo alega y, en el supuesto que esto fuese así, queda claro que se ha presentado una causal de exclusión por su actuar negligente conforme a la cláusula 15 de exclusiones, a la Cobertura Patrimonial por Transferencias; (6) no resulta creíble la versión de la reclamante, en cuanto manifiesta que accedió al mensaje pero que no introdujo dato alguno, mucho menos que haya proporcionado sus claves o contraseñas, pues de no haber brindado alguno de estos datos, no habría sido posible que terceras personas accedieran a sus cuentas y realizaran las operaciones no reconocidas por la reclamante.</w:t>
      </w:r>
    </w:p>
    <w:p w:rsidRPr="00062040" w:rsidR="00062040" w:rsidP="00062040" w:rsidRDefault="00062040" w14:paraId="4AF2CD20" w14:textId="77777777">
      <w:pPr>
        <w:pStyle w:val="Textoindependiente"/>
        <w:rPr>
          <w:lang w:val="es-PE"/>
        </w:rPr>
      </w:pPr>
    </w:p>
    <w:p w:rsidRPr="00062040" w:rsidR="00062040" w:rsidP="00062040" w:rsidRDefault="00062040" w14:paraId="5FB42D26" w14:textId="77777777">
      <w:pPr>
        <w:pStyle w:val="Textoindependiente"/>
        <w:tabs>
          <w:tab w:val="left" w:pos="930"/>
        </w:tabs>
        <w:rPr>
          <w:lang w:val="es-PE"/>
        </w:rPr>
      </w:pPr>
      <w:r w:rsidRPr="00062040">
        <w:rPr>
          <w:lang w:val="es-PE"/>
        </w:rPr>
        <w:t>Que, atendiendo a lo expuesto, esta Defensoría resuelve finalmente lo siguiente:</w:t>
      </w:r>
    </w:p>
    <w:p w:rsidRPr="00062040" w:rsidR="00062040" w:rsidP="00062040" w:rsidRDefault="00062040" w14:paraId="1E34F38F" w14:textId="77777777">
      <w:pPr>
        <w:jc w:val="both"/>
        <w:rPr>
          <w:rFonts w:ascii="Times New Roman" w:hAnsi="Times New Roman" w:cs="Times New Roman"/>
          <w:b/>
          <w:sz w:val="24"/>
          <w:szCs w:val="24"/>
          <w:u w:val="single"/>
          <w:lang w:val="es-PE"/>
        </w:rPr>
      </w:pPr>
    </w:p>
    <w:p w:rsidRPr="00062040" w:rsidR="00062040" w:rsidP="00062040" w:rsidRDefault="00062040" w14:paraId="230133AB" w14:textId="56243E71">
      <w:pPr>
        <w:jc w:val="both"/>
        <w:rPr>
          <w:rFonts w:ascii="Times New Roman" w:hAnsi="Times New Roman" w:cs="Times New Roman"/>
          <w:sz w:val="24"/>
          <w:szCs w:val="24"/>
          <w:lang w:val="es-PE"/>
        </w:rPr>
      </w:pPr>
      <w:r w:rsidRPr="00062040">
        <w:rPr>
          <w:rFonts w:ascii="Times New Roman" w:hAnsi="Times New Roman" w:cs="Times New Roman"/>
          <w:b/>
          <w:sz w:val="24"/>
          <w:szCs w:val="24"/>
          <w:u w:val="single"/>
          <w:lang w:val="es-PE"/>
        </w:rPr>
        <w:lastRenderedPageBreak/>
        <w:t>PRIMERO</w:t>
      </w:r>
      <w:r w:rsidRPr="00062040">
        <w:rPr>
          <w:rFonts w:ascii="Times New Roman" w:hAnsi="Times New Roman" w:cs="Times New Roman"/>
          <w:b/>
          <w:sz w:val="24"/>
          <w:szCs w:val="24"/>
          <w:lang w:val="es-PE"/>
        </w:rPr>
        <w:t>:</w:t>
      </w:r>
      <w:r w:rsidRPr="00062040">
        <w:rPr>
          <w:rFonts w:ascii="Times New Roman" w:hAnsi="Times New Roman" w:cs="Times New Roman"/>
          <w:sz w:val="24"/>
          <w:szCs w:val="24"/>
          <w:lang w:val="es-PE"/>
        </w:rPr>
        <w:t xml:space="preserve"> El artículo 10 (Procedimiento) del Reglamento de la DEFASEG </w:t>
      </w:r>
      <w:r w:rsidRPr="00062040">
        <w:rPr>
          <w:rFonts w:ascii="Times New Roman" w:hAnsi="Times New Roman" w:eastAsia="Arial Unicode MS" w:cs="Times New Roman"/>
          <w:sz w:val="24"/>
          <w:szCs w:val="24"/>
          <w:lang w:val="es-PE"/>
        </w:rPr>
        <w:t>(http://www.defaseg.com.pe/reglamento)</w:t>
      </w:r>
      <w:r w:rsidRPr="00062040">
        <w:rPr>
          <w:rFonts w:ascii="Times New Roman" w:hAnsi="Times New Roman" w:cs="Times New Roman"/>
          <w:sz w:val="24"/>
          <w:szCs w:val="24"/>
          <w:lang w:val="es-PE"/>
        </w:rPr>
        <w:t xml:space="preserve"> establece que cualquiera de las partes que no se encuentre de acuerdo con la decisión adoptada sobre la materia reclamada, podrá impugnarla, interponiendo el correspondiente recurso de impugnación.  </w:t>
      </w:r>
    </w:p>
    <w:p w:rsidRPr="00062040" w:rsidR="00062040" w:rsidP="00062040" w:rsidRDefault="00062040" w14:paraId="17A8C6D6" w14:textId="477C5B7A">
      <w:pPr>
        <w:jc w:val="both"/>
        <w:rPr>
          <w:rFonts w:ascii="Times New Roman" w:hAnsi="Times New Roman" w:cs="Times New Roman"/>
          <w:sz w:val="24"/>
          <w:szCs w:val="24"/>
          <w:lang w:val="es-PE"/>
        </w:rPr>
      </w:pPr>
      <w:r w:rsidRPr="00062040">
        <w:rPr>
          <w:rFonts w:ascii="Times New Roman" w:hAnsi="Times New Roman" w:cs="Times New Roman"/>
          <w:sz w:val="24"/>
          <w:szCs w:val="24"/>
          <w:lang w:val="es-PE"/>
        </w:rPr>
        <w:t>Conforme a ello, en el caso concreto, al interponer el recurso de impugnación la reclamante ha ejercido formalmente su derecho a contradecir lo resuelto por la Defensoría.</w:t>
      </w:r>
    </w:p>
    <w:p w:rsidRPr="00062040" w:rsidR="00062040" w:rsidP="00062040" w:rsidRDefault="00062040" w14:paraId="0B9DD978" w14:textId="08CE3CC7">
      <w:pPr>
        <w:jc w:val="both"/>
        <w:rPr>
          <w:rFonts w:ascii="Times New Roman" w:hAnsi="Times New Roman" w:cs="Times New Roman"/>
          <w:sz w:val="24"/>
          <w:szCs w:val="24"/>
          <w:lang w:val="es-PE"/>
        </w:rPr>
      </w:pPr>
      <w:r w:rsidRPr="00062040">
        <w:rPr>
          <w:rFonts w:ascii="Times New Roman" w:hAnsi="Times New Roman" w:cs="Times New Roman"/>
          <w:b/>
          <w:bCs/>
          <w:sz w:val="24"/>
          <w:szCs w:val="24"/>
          <w:u w:val="single"/>
          <w:lang w:val="es-PE"/>
        </w:rPr>
        <w:t>SEGUNDO</w:t>
      </w:r>
      <w:r w:rsidRPr="00062040">
        <w:rPr>
          <w:rFonts w:ascii="Times New Roman" w:hAnsi="Times New Roman" w:cs="Times New Roman"/>
          <w:b/>
          <w:bCs/>
          <w:sz w:val="24"/>
          <w:szCs w:val="24"/>
          <w:lang w:val="es-PE"/>
        </w:rPr>
        <w:t>:</w:t>
      </w:r>
      <w:r w:rsidRPr="00062040">
        <w:rPr>
          <w:rFonts w:ascii="Times New Roman" w:hAnsi="Times New Roman" w:cs="Times New Roman"/>
          <w:bCs/>
          <w:sz w:val="24"/>
          <w:szCs w:val="24"/>
          <w:lang w:val="es-PE"/>
        </w:rPr>
        <w:t xml:space="preserve"> Que el recurso de impugnación presentado por la asegurada no se sustenta en nueva prueba sino en discrepar </w:t>
      </w:r>
      <w:proofErr w:type="gramStart"/>
      <w:r w:rsidRPr="00062040">
        <w:rPr>
          <w:rFonts w:ascii="Times New Roman" w:hAnsi="Times New Roman" w:cs="Times New Roman"/>
          <w:bCs/>
          <w:sz w:val="24"/>
          <w:szCs w:val="24"/>
          <w:lang w:val="es-PE"/>
        </w:rPr>
        <w:t>con</w:t>
      </w:r>
      <w:proofErr w:type="gramEnd"/>
      <w:r w:rsidRPr="00062040">
        <w:rPr>
          <w:rFonts w:ascii="Times New Roman" w:hAnsi="Times New Roman" w:cs="Times New Roman"/>
          <w:sz w:val="24"/>
          <w:szCs w:val="24"/>
          <w:lang w:val="es-PE"/>
        </w:rPr>
        <w:t xml:space="preserve"> la interpretación de la exclusión prevista en el numeral 9) de la cláusula 15 exclusiones.</w:t>
      </w:r>
    </w:p>
    <w:p w:rsidRPr="00062040" w:rsidR="00062040" w:rsidP="00062040" w:rsidRDefault="00062040" w14:paraId="100BF278" w14:textId="089BC8D5">
      <w:pPr>
        <w:tabs>
          <w:tab w:val="left" w:pos="2160"/>
        </w:tabs>
        <w:jc w:val="both"/>
        <w:rPr>
          <w:rFonts w:ascii="Times New Roman" w:hAnsi="Times New Roman" w:cs="Times New Roman"/>
          <w:color w:val="000000"/>
          <w:sz w:val="24"/>
          <w:szCs w:val="24"/>
          <w:lang w:val="es-PE" w:eastAsia="es-PE"/>
        </w:rPr>
      </w:pPr>
      <w:r w:rsidRPr="00062040">
        <w:rPr>
          <w:rFonts w:ascii="Times New Roman" w:hAnsi="Times New Roman" w:cs="Times New Roman"/>
          <w:sz w:val="24"/>
          <w:szCs w:val="24"/>
          <w:lang w:val="es-PE"/>
        </w:rPr>
        <w:t>Sobre el particular, este Colegiado advierte que, tal como se precisa en el considerando octavo de la resolución impugnada,</w:t>
      </w:r>
      <w:r w:rsidRPr="00062040">
        <w:rPr>
          <w:rFonts w:ascii="Times New Roman" w:hAnsi="Times New Roman" w:cs="Times New Roman"/>
          <w:sz w:val="24"/>
          <w:szCs w:val="24"/>
          <w:lang w:val="es-PE" w:eastAsia="es-ES"/>
        </w:rPr>
        <w:t xml:space="preserve"> </w:t>
      </w:r>
      <w:r w:rsidRPr="00062040">
        <w:rPr>
          <w:rFonts w:ascii="Times New Roman" w:hAnsi="Times New Roman" w:cs="Times New Roman"/>
          <w:color w:val="000000"/>
          <w:sz w:val="24"/>
          <w:szCs w:val="24"/>
          <w:lang w:val="es-PE" w:eastAsia="es-PE"/>
        </w:rPr>
        <w:t>la Cobertura Patrimonial por Transferencias que es la sujeta a la reclamación interpuesta, sólo se activa cuando ha mediado la utilización de la fuerza por parte de terceros contra la asegurada. Dicha utilización de la fuerza por parte de terceros no ha sido probada en el presente caso:</w:t>
      </w:r>
    </w:p>
    <w:p w:rsidRPr="00062040" w:rsidR="00062040" w:rsidP="00062040" w:rsidRDefault="00062040" w14:paraId="35619134" w14:textId="77777777">
      <w:pPr>
        <w:tabs>
          <w:tab w:val="left" w:pos="2160"/>
        </w:tabs>
        <w:ind w:left="708"/>
        <w:jc w:val="both"/>
        <w:rPr>
          <w:rFonts w:ascii="Times New Roman" w:hAnsi="Times New Roman" w:cs="Times New Roman"/>
          <w:i/>
          <w:iCs/>
          <w:sz w:val="24"/>
          <w:szCs w:val="24"/>
          <w:lang w:val="es-PE"/>
        </w:rPr>
      </w:pPr>
      <w:r w:rsidRPr="00062040">
        <w:rPr>
          <w:rFonts w:ascii="Times New Roman" w:hAnsi="Times New Roman" w:cs="Times New Roman"/>
          <w:color w:val="000000"/>
          <w:sz w:val="24"/>
          <w:szCs w:val="24"/>
          <w:lang w:val="es-PE" w:eastAsia="es-PE"/>
        </w:rPr>
        <w:t xml:space="preserve"> </w:t>
      </w:r>
      <w:r w:rsidRPr="00062040">
        <w:rPr>
          <w:rFonts w:ascii="Times New Roman" w:hAnsi="Times New Roman" w:cs="Times New Roman"/>
          <w:i/>
          <w:iCs/>
          <w:sz w:val="24"/>
          <w:szCs w:val="24"/>
          <w:lang w:val="es-PE"/>
        </w:rPr>
        <w:t>“(…)</w:t>
      </w:r>
    </w:p>
    <w:p w:rsidRPr="00062040" w:rsidR="00062040" w:rsidP="00062040" w:rsidRDefault="00062040" w14:paraId="2104977D" w14:textId="6D4E439A">
      <w:pPr>
        <w:ind w:left="708"/>
        <w:jc w:val="both"/>
        <w:rPr>
          <w:rFonts w:ascii="Times New Roman" w:hAnsi="Times New Roman" w:cs="Times New Roman"/>
          <w:i/>
          <w:iCs/>
          <w:sz w:val="24"/>
          <w:szCs w:val="24"/>
          <w:lang w:val="es-PE"/>
        </w:rPr>
      </w:pPr>
      <w:r w:rsidRPr="00062040">
        <w:rPr>
          <w:rFonts w:ascii="Times New Roman" w:hAnsi="Times New Roman" w:cs="Times New Roman"/>
          <w:i/>
          <w:iCs/>
          <w:sz w:val="24"/>
          <w:szCs w:val="24"/>
          <w:lang w:val="es-PE"/>
        </w:rPr>
        <w:t xml:space="preserve">En el referido Certificado se detallan las coberturas contratadas, así como las condiciones y/o deducibles, como las Suma Asegurada. </w:t>
      </w:r>
    </w:p>
    <w:p w:rsidRPr="00062040" w:rsidR="00062040" w:rsidP="00062040" w:rsidRDefault="00062040" w14:paraId="1CE02EA7" w14:textId="3A947B62">
      <w:pPr>
        <w:ind w:left="708"/>
        <w:jc w:val="both"/>
        <w:rPr>
          <w:rFonts w:ascii="Times New Roman" w:hAnsi="Times New Roman" w:cs="Times New Roman"/>
          <w:b/>
          <w:bCs/>
          <w:i/>
          <w:iCs/>
          <w:color w:val="000000"/>
          <w:sz w:val="24"/>
          <w:szCs w:val="24"/>
          <w:lang w:val="es-PE" w:eastAsia="es-PE"/>
        </w:rPr>
      </w:pPr>
      <w:r w:rsidRPr="00062040">
        <w:rPr>
          <w:rFonts w:ascii="Times New Roman" w:hAnsi="Times New Roman" w:cs="Times New Roman"/>
          <w:i/>
          <w:iCs/>
          <w:sz w:val="24"/>
          <w:szCs w:val="24"/>
          <w:lang w:val="es-PE"/>
        </w:rPr>
        <w:t xml:space="preserve">Si bien en la relación de coberturas no se incluye el fraude electrónico, ni en la modalidad de </w:t>
      </w:r>
      <w:r w:rsidRPr="00062040">
        <w:rPr>
          <w:rFonts w:ascii="Times New Roman" w:hAnsi="Times New Roman" w:cs="Times New Roman"/>
          <w:i/>
          <w:iCs/>
          <w:sz w:val="24"/>
          <w:szCs w:val="24"/>
          <w:lang w:val="es-PE" w:eastAsia="es-ES"/>
        </w:rPr>
        <w:t xml:space="preserve">Phishing ni de </w:t>
      </w:r>
      <w:proofErr w:type="spellStart"/>
      <w:r w:rsidRPr="00062040">
        <w:rPr>
          <w:rFonts w:ascii="Times New Roman" w:hAnsi="Times New Roman" w:cs="Times New Roman"/>
          <w:i/>
          <w:iCs/>
          <w:sz w:val="24"/>
          <w:szCs w:val="24"/>
          <w:lang w:val="es-PE" w:eastAsia="es-ES"/>
        </w:rPr>
        <w:t>S</w:t>
      </w:r>
      <w:r w:rsidRPr="00062040">
        <w:rPr>
          <w:rFonts w:ascii="Times New Roman" w:hAnsi="Times New Roman" w:cs="Times New Roman"/>
          <w:i/>
          <w:iCs/>
          <w:color w:val="000000"/>
          <w:sz w:val="24"/>
          <w:szCs w:val="24"/>
          <w:lang w:val="es-PE" w:eastAsia="es-PE"/>
        </w:rPr>
        <w:t>mishing</w:t>
      </w:r>
      <w:proofErr w:type="spellEnd"/>
      <w:r w:rsidRPr="00062040">
        <w:rPr>
          <w:rFonts w:ascii="Times New Roman" w:hAnsi="Times New Roman" w:cs="Times New Roman"/>
          <w:i/>
          <w:iCs/>
          <w:color w:val="000000"/>
          <w:sz w:val="24"/>
          <w:szCs w:val="24"/>
          <w:lang w:val="es-PE" w:eastAsia="es-PE"/>
        </w:rPr>
        <w:t>; empero, en la indicada relación sí se contempla como riesgo asegurado la “</w:t>
      </w:r>
      <w:r w:rsidRPr="00062040">
        <w:rPr>
          <w:rFonts w:ascii="Times New Roman" w:hAnsi="Times New Roman" w:cs="Times New Roman"/>
          <w:b/>
          <w:bCs/>
          <w:i/>
          <w:iCs/>
          <w:color w:val="000000"/>
          <w:sz w:val="24"/>
          <w:szCs w:val="24"/>
          <w:lang w:val="es-PE" w:eastAsia="es-PE"/>
        </w:rPr>
        <w:t>Cobertura Patrimonial por Transferencias”:</w:t>
      </w:r>
    </w:p>
    <w:p w:rsidRPr="00062040" w:rsidR="00062040" w:rsidP="00062040" w:rsidRDefault="00062040" w14:paraId="1190CACA" w14:textId="3FB269E0">
      <w:pPr>
        <w:ind w:left="1416"/>
        <w:jc w:val="both"/>
        <w:rPr>
          <w:rFonts w:ascii="Times New Roman" w:hAnsi="Times New Roman" w:cs="Times New Roman"/>
          <w:b/>
          <w:bCs/>
          <w:i/>
          <w:iCs/>
          <w:color w:val="000000"/>
          <w:sz w:val="24"/>
          <w:szCs w:val="24"/>
          <w:lang w:val="es-PE" w:eastAsia="es-PE"/>
        </w:rPr>
      </w:pPr>
      <w:r w:rsidRPr="00062040">
        <w:rPr>
          <w:rFonts w:ascii="Times New Roman" w:hAnsi="Times New Roman" w:cs="Times New Roman"/>
          <w:b/>
          <w:bCs/>
          <w:i/>
          <w:iCs/>
          <w:color w:val="000000"/>
          <w:sz w:val="24"/>
          <w:szCs w:val="24"/>
          <w:lang w:val="es-PE" w:eastAsia="es-PE"/>
        </w:rPr>
        <w:t>“Cubre el dinero propiedad del asegurado que sea transferido desde su Cuenta Corriente y/o de Ahorros, mediante el uso indebido por parte de terceros de claves y/o contraseñas las cuales el asegurado NO ha autorizado a realizar transferencias dentro o fuera del Perú”</w:t>
      </w:r>
    </w:p>
    <w:p w:rsidRPr="00062040" w:rsidR="00062040" w:rsidP="21A7DDA2" w:rsidRDefault="00062040" w14:paraId="40BAF7F9" w14:textId="4DFE2EBA">
      <w:pPr>
        <w:ind w:left="708"/>
        <w:jc w:val="both"/>
        <w:rPr>
          <w:rFonts w:ascii="Times New Roman" w:hAnsi="Times New Roman" w:cs="Times New Roman"/>
          <w:i w:val="1"/>
          <w:iCs w:val="1"/>
          <w:color w:val="000000"/>
          <w:sz w:val="24"/>
          <w:szCs w:val="24"/>
          <w:lang w:val="es-PE" w:eastAsia="es-PE"/>
        </w:rPr>
      </w:pPr>
      <w:r w:rsidRPr="21A7DDA2" w:rsidR="00062040">
        <w:rPr>
          <w:rFonts w:ascii="Times New Roman" w:hAnsi="Times New Roman" w:cs="Times New Roman"/>
          <w:i w:val="1"/>
          <w:iCs w:val="1"/>
          <w:color w:val="000000" w:themeColor="text1" w:themeTint="FF" w:themeShade="FF"/>
          <w:sz w:val="24"/>
          <w:szCs w:val="24"/>
          <w:lang w:val="es-PE" w:eastAsia="es-PE"/>
        </w:rPr>
        <w:t xml:space="preserve">Dicha cobertura es sólo respecto de las Tarjetas </w:t>
      </w:r>
      <w:r w:rsidRPr="21A7DDA2" w:rsidR="7E528350">
        <w:rPr>
          <w:rFonts w:ascii="Times New Roman" w:hAnsi="Times New Roman" w:cs="Times New Roman"/>
          <w:i w:val="1"/>
          <w:iCs w:val="1"/>
          <w:color w:val="000000" w:themeColor="text1" w:themeTint="FF" w:themeShade="FF"/>
          <w:sz w:val="24"/>
          <w:szCs w:val="24"/>
          <w:lang w:val="es-PE" w:eastAsia="es-PE"/>
        </w:rPr>
        <w:t>.................</w:t>
      </w:r>
      <w:r w:rsidRPr="21A7DDA2" w:rsidR="00062040">
        <w:rPr>
          <w:rFonts w:ascii="Times New Roman" w:hAnsi="Times New Roman" w:cs="Times New Roman"/>
          <w:i w:val="1"/>
          <w:iCs w:val="1"/>
          <w:color w:val="000000" w:themeColor="text1" w:themeTint="FF" w:themeShade="FF"/>
          <w:sz w:val="24"/>
          <w:szCs w:val="24"/>
          <w:lang w:val="es-PE" w:eastAsia="es-PE"/>
        </w:rPr>
        <w:t xml:space="preserve"> y con un límite asegurado de US$450 al año máximo dos eventos.</w:t>
      </w:r>
    </w:p>
    <w:p w:rsidRPr="00062040" w:rsidR="00062040" w:rsidP="00062040" w:rsidRDefault="00062040" w14:paraId="129D6752" w14:textId="4BC47D31">
      <w:pPr>
        <w:ind w:left="708"/>
        <w:jc w:val="both"/>
        <w:rPr>
          <w:rFonts w:ascii="Times New Roman" w:hAnsi="Times New Roman" w:cs="Times New Roman"/>
          <w:i/>
          <w:iCs/>
          <w:color w:val="000000"/>
          <w:sz w:val="24"/>
          <w:szCs w:val="24"/>
          <w:lang w:val="es-PE" w:eastAsia="es-PE"/>
        </w:rPr>
      </w:pPr>
      <w:r w:rsidRPr="00062040">
        <w:rPr>
          <w:rFonts w:ascii="Times New Roman" w:hAnsi="Times New Roman" w:cs="Times New Roman"/>
          <w:i/>
          <w:iCs/>
          <w:color w:val="000000"/>
          <w:sz w:val="24"/>
          <w:szCs w:val="24"/>
          <w:lang w:val="es-PE" w:eastAsia="es-PE"/>
        </w:rPr>
        <w:t xml:space="preserve">Ahora bien, conforme a la cláusula 15 de exclusiones, a la Cobertura Patrimonial por Transferencias se le aplica la exclusión general establecida en el numeral (9) </w:t>
      </w:r>
    </w:p>
    <w:p w:rsidRPr="00062040" w:rsidR="00062040" w:rsidP="00062040" w:rsidRDefault="00062040" w14:paraId="53799476" w14:textId="19221676">
      <w:pPr>
        <w:autoSpaceDE w:val="0"/>
        <w:autoSpaceDN w:val="0"/>
        <w:adjustRightInd w:val="0"/>
        <w:ind w:left="1416"/>
        <w:jc w:val="both"/>
        <w:rPr>
          <w:rFonts w:ascii="Times New Roman" w:hAnsi="Times New Roman" w:cs="Times New Roman"/>
          <w:i/>
          <w:iCs/>
          <w:color w:val="000000"/>
          <w:sz w:val="24"/>
          <w:szCs w:val="24"/>
          <w:lang w:val="es-PE" w:eastAsia="es-PE"/>
        </w:rPr>
      </w:pPr>
      <w:r w:rsidRPr="00062040">
        <w:rPr>
          <w:rFonts w:ascii="Times New Roman" w:hAnsi="Times New Roman" w:cs="Times New Roman"/>
          <w:b/>
          <w:bCs/>
          <w:i/>
          <w:iCs/>
          <w:sz w:val="24"/>
          <w:szCs w:val="24"/>
          <w:lang w:val="es-PE" w:eastAsia="es-PE"/>
        </w:rPr>
        <w:t>“Excluye casos en los que el ASEGURADO actúa negligentemente brindando sus datos personales y/o claves secretas y/o contraseñas y/o códigos SMS por cualquier medio (digital, telefónico, escrito), sin haber existido la utilización de la fuerza por parte de terceros”</w:t>
      </w:r>
      <w:r w:rsidRPr="00062040">
        <w:rPr>
          <w:rFonts w:ascii="Times New Roman" w:hAnsi="Times New Roman" w:cs="Times New Roman"/>
          <w:i/>
          <w:iCs/>
          <w:sz w:val="24"/>
          <w:szCs w:val="24"/>
          <w:lang w:val="es-PE" w:eastAsia="es-PE"/>
        </w:rPr>
        <w:t>.</w:t>
      </w:r>
    </w:p>
    <w:p w:rsidRPr="00062040" w:rsidR="00062040" w:rsidP="00062040" w:rsidRDefault="00062040" w14:paraId="3844F51D" w14:textId="5B74565D">
      <w:pPr>
        <w:ind w:left="708"/>
        <w:jc w:val="both"/>
        <w:rPr>
          <w:rFonts w:ascii="Times New Roman" w:hAnsi="Times New Roman" w:cs="Times New Roman"/>
          <w:i/>
          <w:iCs/>
          <w:color w:val="000000"/>
          <w:sz w:val="24"/>
          <w:szCs w:val="24"/>
          <w:lang w:val="es-PE" w:eastAsia="es-PE"/>
        </w:rPr>
      </w:pPr>
      <w:r w:rsidRPr="00062040">
        <w:rPr>
          <w:rFonts w:ascii="Times New Roman" w:hAnsi="Times New Roman" w:cs="Times New Roman"/>
          <w:i/>
          <w:iCs/>
          <w:color w:val="000000"/>
          <w:sz w:val="24"/>
          <w:szCs w:val="24"/>
          <w:lang w:val="es-PE" w:eastAsia="es-PE"/>
        </w:rPr>
        <w:t>Como puede apreciarse, de una lectura sistemática de la definición de la cobertura con la exclusión en cuestión, para que se active la Cobertura Patrimonial por Transferencia debe mediar la utilización de la fuerza por parte de terceros contra el asegurado que cause el acceso de éstos a los datos personales y/o claves secretas y/o contraseñas y/o códigos SMS que permitan las transferencias no autorizadas.</w:t>
      </w:r>
    </w:p>
    <w:p w:rsidRPr="00062040" w:rsidR="00062040" w:rsidP="00062040" w:rsidRDefault="00062040" w14:paraId="5EA0C8FF" w14:textId="6E846573">
      <w:pPr>
        <w:ind w:left="708"/>
        <w:jc w:val="both"/>
        <w:rPr>
          <w:rFonts w:ascii="Times New Roman" w:hAnsi="Times New Roman" w:cs="Times New Roman"/>
          <w:bCs/>
          <w:i/>
          <w:iCs/>
          <w:sz w:val="24"/>
          <w:szCs w:val="24"/>
          <w:lang w:val="es-PE"/>
        </w:rPr>
      </w:pPr>
      <w:r w:rsidRPr="00062040">
        <w:rPr>
          <w:rFonts w:ascii="Times New Roman" w:hAnsi="Times New Roman" w:cs="Times New Roman"/>
          <w:i/>
          <w:iCs/>
          <w:sz w:val="24"/>
          <w:szCs w:val="24"/>
          <w:lang w:val="es-PE"/>
        </w:rPr>
        <w:lastRenderedPageBreak/>
        <w:t>Esta Defensoría verifica que en el presente caso no se ha acreditado la utilización de la fuerza por parte de terceros, de manera que no se presenta un presupuesto fáctico para que se active la Cobertura Patrimonial por Transferencia.  Por lo tanto,</w:t>
      </w:r>
      <w:r w:rsidRPr="00062040">
        <w:rPr>
          <w:rStyle w:val="Textoennegrita"/>
          <w:rFonts w:ascii="Times New Roman" w:hAnsi="Times New Roman" w:cs="Times New Roman"/>
          <w:b w:val="0"/>
          <w:i/>
          <w:iCs/>
          <w:sz w:val="24"/>
          <w:szCs w:val="24"/>
          <w:lang w:val="es-PE"/>
        </w:rPr>
        <w:t xml:space="preserve"> no se ha demostrado la existencia de un siniestro que deba ser indemnizado bajo el Seguro contratado”.</w:t>
      </w:r>
    </w:p>
    <w:p w:rsidRPr="00062040" w:rsidR="00062040" w:rsidP="00062040" w:rsidRDefault="00062040" w14:paraId="49DCA763" w14:textId="6834EC61">
      <w:pPr>
        <w:tabs>
          <w:tab w:val="left" w:pos="2160"/>
        </w:tabs>
        <w:jc w:val="both"/>
        <w:rPr>
          <w:rFonts w:ascii="Times New Roman" w:hAnsi="Times New Roman" w:cs="Times New Roman"/>
          <w:sz w:val="24"/>
          <w:szCs w:val="24"/>
          <w:lang w:val="es-PE" w:eastAsia="es-ES"/>
        </w:rPr>
      </w:pPr>
      <w:r w:rsidRPr="00062040">
        <w:rPr>
          <w:rFonts w:ascii="Times New Roman" w:hAnsi="Times New Roman" w:cs="Times New Roman"/>
          <w:sz w:val="24"/>
          <w:szCs w:val="24"/>
          <w:lang w:val="es-PE" w:eastAsia="es-ES"/>
        </w:rPr>
        <w:t>En tal sentido, persiste la situación fáctica y legal que califica el rechazo de cobertura como legítimo.</w:t>
      </w:r>
    </w:p>
    <w:p w:rsidRPr="00062040" w:rsidR="00062040" w:rsidP="00062040" w:rsidRDefault="00062040" w14:paraId="0FC6D69D" w14:textId="7E6C7DB1">
      <w:pPr>
        <w:jc w:val="both"/>
        <w:rPr>
          <w:rFonts w:ascii="Times New Roman" w:hAnsi="Times New Roman" w:cs="Times New Roman"/>
          <w:sz w:val="24"/>
          <w:szCs w:val="24"/>
          <w:lang w:val="es-PE"/>
        </w:rPr>
      </w:pPr>
      <w:r w:rsidRPr="00062040">
        <w:rPr>
          <w:rFonts w:ascii="Times New Roman" w:hAnsi="Times New Roman" w:cs="Times New Roman"/>
          <w:b/>
          <w:sz w:val="24"/>
          <w:szCs w:val="24"/>
          <w:u w:val="single"/>
          <w:lang w:val="es-PE"/>
        </w:rPr>
        <w:t>TERCERO</w:t>
      </w:r>
      <w:r w:rsidRPr="00062040">
        <w:rPr>
          <w:rFonts w:ascii="Times New Roman" w:hAnsi="Times New Roman" w:cs="Times New Roman"/>
          <w:b/>
          <w:sz w:val="24"/>
          <w:szCs w:val="24"/>
          <w:lang w:val="es-PE"/>
        </w:rPr>
        <w:t>:</w:t>
      </w:r>
      <w:r w:rsidRPr="00062040">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062040" w:rsidR="00062040" w:rsidP="00062040" w:rsidRDefault="00062040" w14:paraId="319CC447" w14:textId="515D2BF7">
      <w:pPr>
        <w:jc w:val="both"/>
        <w:rPr>
          <w:rFonts w:ascii="Times New Roman" w:hAnsi="Times New Roman" w:cs="Times New Roman"/>
          <w:b/>
          <w:sz w:val="24"/>
          <w:szCs w:val="24"/>
          <w:lang w:val="es-PE"/>
        </w:rPr>
      </w:pPr>
      <w:r w:rsidRPr="00062040">
        <w:rPr>
          <w:rFonts w:ascii="Times New Roman" w:hAnsi="Times New Roman" w:cs="Times New Roman"/>
          <w:b/>
          <w:sz w:val="24"/>
          <w:szCs w:val="24"/>
          <w:lang w:val="es-PE"/>
        </w:rPr>
        <w:t>RESUELVE:</w:t>
      </w:r>
    </w:p>
    <w:p w:rsidRPr="00062040" w:rsidR="00062040" w:rsidP="00062040" w:rsidRDefault="00062040" w14:paraId="6622B8D3" w14:textId="77777777">
      <w:pPr>
        <w:jc w:val="both"/>
        <w:rPr>
          <w:rFonts w:ascii="Times New Roman" w:hAnsi="Times New Roman" w:cs="Times New Roman"/>
          <w:sz w:val="24"/>
          <w:szCs w:val="24"/>
          <w:lang w:val="es-PE"/>
        </w:rPr>
      </w:pPr>
      <w:r w:rsidRPr="00062040">
        <w:rPr>
          <w:rFonts w:ascii="Times New Roman" w:hAnsi="Times New Roman" w:eastAsia="Arial Unicode MS" w:cs="Times New Roman"/>
          <w:b/>
          <w:sz w:val="24"/>
          <w:szCs w:val="24"/>
          <w:lang w:val="es-PE"/>
        </w:rPr>
        <w:t>Declarar INFUNDADO el recurso de impugnación interpuesto y, por consiguiente, CONFIRMAR la Resolución Nro. 103/20</w:t>
      </w:r>
      <w:r w:rsidRPr="00062040">
        <w:rPr>
          <w:rFonts w:ascii="Times New Roman" w:hAnsi="Times New Roman" w:cs="Times New Roman"/>
          <w:sz w:val="24"/>
          <w:szCs w:val="24"/>
          <w:lang w:val="es-PE"/>
        </w:rPr>
        <w:t>.</w:t>
      </w:r>
    </w:p>
    <w:p w:rsidRPr="00062040" w:rsidR="00072C60" w:rsidP="00072C60" w:rsidRDefault="00072C60" w14:paraId="4E35F8B4"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062040" w:rsidR="00077B6F" w:rsidP="00C671F5" w:rsidRDefault="0091528B" w14:paraId="78A39B5B" w14:textId="29481F1C">
      <w:pPr>
        <w:suppressAutoHyphens/>
        <w:spacing w:after="0" w:line="240" w:lineRule="auto"/>
        <w:jc w:val="right"/>
        <w:outlineLvl w:val="0"/>
        <w:rPr>
          <w:rFonts w:ascii="Times New Roman" w:hAnsi="Times New Roman" w:eastAsia="Arial Unicode MS" w:cs="Times New Roman"/>
          <w:sz w:val="24"/>
          <w:szCs w:val="24"/>
          <w:lang w:val="es-PE" w:eastAsia="ar-SA"/>
        </w:rPr>
      </w:pPr>
      <w:r w:rsidRPr="00062040">
        <w:rPr>
          <w:rFonts w:ascii="Times New Roman" w:hAnsi="Times New Roman" w:eastAsia="Arial Unicode MS" w:cs="Times New Roman"/>
          <w:sz w:val="24"/>
          <w:szCs w:val="24"/>
          <w:lang w:val="es-PE" w:eastAsia="ar-SA"/>
        </w:rPr>
        <w:t xml:space="preserve">Lima, </w:t>
      </w:r>
      <w:r w:rsidRPr="00062040" w:rsidR="00AF16B6">
        <w:rPr>
          <w:rFonts w:ascii="Times New Roman" w:hAnsi="Times New Roman" w:eastAsia="Arial Unicode MS" w:cs="Times New Roman"/>
          <w:sz w:val="24"/>
          <w:szCs w:val="24"/>
          <w:lang w:val="es-PE" w:eastAsia="ar-SA"/>
        </w:rPr>
        <w:t>1</w:t>
      </w:r>
      <w:r w:rsidRPr="00062040" w:rsidR="00707C99">
        <w:rPr>
          <w:rFonts w:ascii="Times New Roman" w:hAnsi="Times New Roman" w:eastAsia="Arial Unicode MS" w:cs="Times New Roman"/>
          <w:sz w:val="24"/>
          <w:szCs w:val="24"/>
          <w:lang w:val="es-PE" w:eastAsia="ar-SA"/>
        </w:rPr>
        <w:t xml:space="preserve"> de </w:t>
      </w:r>
      <w:r w:rsidRPr="00062040" w:rsidR="00AF16B6">
        <w:rPr>
          <w:rFonts w:ascii="Times New Roman" w:hAnsi="Times New Roman" w:eastAsia="Arial Unicode MS" w:cs="Times New Roman"/>
          <w:sz w:val="24"/>
          <w:szCs w:val="24"/>
          <w:lang w:val="es-PE" w:eastAsia="ar-SA"/>
        </w:rPr>
        <w:t>febrero</w:t>
      </w:r>
      <w:r w:rsidRPr="00062040" w:rsidR="00F06498">
        <w:rPr>
          <w:rFonts w:ascii="Times New Roman" w:hAnsi="Times New Roman" w:eastAsia="Arial Unicode MS" w:cs="Times New Roman"/>
          <w:sz w:val="24"/>
          <w:szCs w:val="24"/>
          <w:lang w:val="es-PE" w:eastAsia="ar-SA"/>
        </w:rPr>
        <w:t xml:space="preserve"> de 202</w:t>
      </w:r>
      <w:r w:rsidRPr="00062040" w:rsidR="00231C58">
        <w:rPr>
          <w:rFonts w:ascii="Times New Roman" w:hAnsi="Times New Roman" w:eastAsia="Arial Unicode MS" w:cs="Times New Roman"/>
          <w:sz w:val="24"/>
          <w:szCs w:val="24"/>
          <w:lang w:val="es-PE" w:eastAsia="ar-SA"/>
        </w:rPr>
        <w:t>1</w:t>
      </w:r>
      <w:r w:rsidRPr="00062040" w:rsidR="00707C99">
        <w:rPr>
          <w:rFonts w:ascii="Times New Roman" w:hAnsi="Times New Roman" w:eastAsia="Times New Roman" w:cs="Times New Roman"/>
          <w:sz w:val="24"/>
          <w:szCs w:val="24"/>
          <w:lang w:val="es-PE" w:eastAsia="ar-SA"/>
        </w:rPr>
        <w:t xml:space="preserve"> </w:t>
      </w:r>
    </w:p>
    <w:p w:rsidRPr="0061360C"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61360C"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61360C"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61360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61360C"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61360C"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61360C">
        <w:rPr>
          <w:rFonts w:ascii="Times New Roman" w:hAnsi="Times New Roman" w:cs="Times New Roman"/>
          <w:b/>
          <w:bCs/>
          <w:sz w:val="24"/>
          <w:szCs w:val="24"/>
          <w:lang w:val="es-PE"/>
        </w:rPr>
        <w:t xml:space="preserve">María Eugenia Valdez Fernández Baca </w:t>
      </w:r>
      <w:r w:rsidRPr="0061360C" w:rsidR="00C671F5">
        <w:rPr>
          <w:rFonts w:ascii="Times New Roman" w:hAnsi="Times New Roman" w:cs="Times New Roman"/>
          <w:b/>
          <w:bCs/>
          <w:sz w:val="24"/>
          <w:szCs w:val="24"/>
          <w:lang w:val="es-PE"/>
        </w:rPr>
        <w:t xml:space="preserve">– </w:t>
      </w:r>
      <w:proofErr w:type="gramStart"/>
      <w:r w:rsidRPr="0061360C" w:rsidR="00C671F5">
        <w:rPr>
          <w:rFonts w:ascii="Times New Roman" w:hAnsi="Times New Roman" w:cs="Times New Roman"/>
          <w:b/>
          <w:bCs/>
          <w:sz w:val="24"/>
          <w:szCs w:val="24"/>
          <w:lang w:val="es-PE"/>
        </w:rPr>
        <w:t>Presidente</w:t>
      </w:r>
      <w:proofErr w:type="gramEnd"/>
    </w:p>
    <w:p w:rsidRPr="0061360C"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61360C">
        <w:rPr>
          <w:rFonts w:ascii="Times New Roman" w:hAnsi="Times New Roman" w:cs="Times New Roman"/>
          <w:b/>
          <w:bCs/>
          <w:sz w:val="24"/>
          <w:szCs w:val="24"/>
          <w:lang w:val="es-PE"/>
        </w:rPr>
        <w:t>Marco Antonio Ortega Piana – Vocal</w:t>
      </w:r>
    </w:p>
    <w:p w:rsidRPr="0061360C"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61360C">
        <w:rPr>
          <w:rFonts w:ascii="Times New Roman" w:hAnsi="Times New Roman" w:cs="Times New Roman"/>
          <w:b/>
          <w:bCs/>
          <w:sz w:val="24"/>
          <w:szCs w:val="24"/>
          <w:lang w:val="es-PE"/>
        </w:rPr>
        <w:t xml:space="preserve">Rolando Eyzaguirre </w:t>
      </w:r>
      <w:proofErr w:type="spellStart"/>
      <w:r w:rsidRPr="0061360C">
        <w:rPr>
          <w:rFonts w:ascii="Times New Roman" w:hAnsi="Times New Roman" w:cs="Times New Roman"/>
          <w:b/>
          <w:bCs/>
          <w:sz w:val="24"/>
          <w:szCs w:val="24"/>
          <w:lang w:val="es-PE"/>
        </w:rPr>
        <w:t>Maccan</w:t>
      </w:r>
      <w:proofErr w:type="spellEnd"/>
      <w:r w:rsidRPr="0061360C">
        <w:rPr>
          <w:rFonts w:ascii="Times New Roman" w:hAnsi="Times New Roman" w:cs="Times New Roman"/>
          <w:b/>
          <w:bCs/>
          <w:sz w:val="24"/>
          <w:szCs w:val="24"/>
          <w:lang w:val="es-PE"/>
        </w:rPr>
        <w:t xml:space="preserve"> – Vocal</w:t>
      </w:r>
    </w:p>
    <w:p w:rsidRPr="0061360C"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61360C">
        <w:rPr>
          <w:rFonts w:ascii="Times New Roman" w:hAnsi="Times New Roman" w:cs="Times New Roman"/>
          <w:b/>
          <w:bCs/>
          <w:sz w:val="24"/>
          <w:szCs w:val="24"/>
          <w:lang w:val="es-PE"/>
        </w:rPr>
        <w:t xml:space="preserve">Gonzalo Abad del Busto </w:t>
      </w:r>
      <w:r w:rsidRPr="0061360C" w:rsidR="00231C58">
        <w:rPr>
          <w:rFonts w:ascii="Times New Roman" w:hAnsi="Times New Roman" w:cs="Times New Roman"/>
          <w:b/>
          <w:bCs/>
          <w:sz w:val="24"/>
          <w:szCs w:val="24"/>
          <w:lang w:val="es-PE"/>
        </w:rPr>
        <w:t xml:space="preserve">– </w:t>
      </w:r>
      <w:r w:rsidRPr="0061360C">
        <w:rPr>
          <w:rFonts w:ascii="Times New Roman" w:hAnsi="Times New Roman" w:cs="Times New Roman"/>
          <w:b/>
          <w:bCs/>
          <w:sz w:val="24"/>
          <w:szCs w:val="24"/>
          <w:lang w:val="es-PE"/>
        </w:rPr>
        <w:t>Vocal</w:t>
      </w:r>
    </w:p>
    <w:p w:rsidRPr="0061360C" w:rsidR="00C671F5" w:rsidP="00C671F5" w:rsidRDefault="00C671F5" w14:paraId="33E0FAB8" w14:textId="77777777">
      <w:pPr>
        <w:suppressAutoHyphens/>
        <w:spacing w:after="0" w:line="360" w:lineRule="auto"/>
        <w:outlineLvl w:val="0"/>
        <w:rPr>
          <w:rFonts w:ascii="Times New Roman" w:hAnsi="Times New Roman" w:eastAsia="Arial Unicode MS" w:cs="Times New Roman"/>
          <w:lang w:val="es-PE" w:eastAsia="ar-SA"/>
        </w:rPr>
      </w:pPr>
    </w:p>
    <w:p w:rsidRPr="0061360C"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61360C"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2C5E" w:rsidP="00784355" w:rsidRDefault="00002C5E" w14:paraId="6499B25E" w14:textId="77777777">
      <w:pPr>
        <w:spacing w:after="0" w:line="240" w:lineRule="auto"/>
      </w:pPr>
      <w:r>
        <w:separator/>
      </w:r>
    </w:p>
  </w:endnote>
  <w:endnote w:type="continuationSeparator" w:id="0">
    <w:p w:rsidR="00002C5E" w:rsidP="00784355" w:rsidRDefault="00002C5E" w14:paraId="3C1290F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2C5E" w:rsidP="00784355" w:rsidRDefault="00002C5E" w14:paraId="5F288FED" w14:textId="77777777">
      <w:pPr>
        <w:spacing w:after="0" w:line="240" w:lineRule="auto"/>
      </w:pPr>
      <w:r>
        <w:separator/>
      </w:r>
    </w:p>
  </w:footnote>
  <w:footnote w:type="continuationSeparator" w:id="0">
    <w:p w:rsidR="00002C5E" w:rsidP="00784355" w:rsidRDefault="00002C5E" w14:paraId="05C1D8E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90926"/>
    <w:rsid w:val="00A97287"/>
    <w:rsid w:val="00AA2DED"/>
    <w:rsid w:val="00AB1C66"/>
    <w:rsid w:val="00AC5A9E"/>
    <w:rsid w:val="00AD1FEC"/>
    <w:rsid w:val="00AD2DF1"/>
    <w:rsid w:val="00AE4125"/>
    <w:rsid w:val="00AF16B6"/>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21A7DDA2"/>
    <w:rsid w:val="31554489"/>
    <w:rsid w:val="6DE5B55E"/>
    <w:rsid w:val="775715E0"/>
    <w:rsid w:val="7E528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9BF8D6B-BEEB-4B5B-BD9D-5845FC064E2D}"/>
</file>

<file path=customXml/itemProps3.xml><?xml version="1.0" encoding="utf-8"?>
<ds:datastoreItem xmlns:ds="http://schemas.openxmlformats.org/officeDocument/2006/customXml" ds:itemID="{7FEE31B9-578E-4A9B-8664-84DD955D1468}"/>
</file>

<file path=customXml/itemProps4.xml><?xml version="1.0" encoding="utf-8"?>
<ds:datastoreItem xmlns:ds="http://schemas.openxmlformats.org/officeDocument/2006/customXml" ds:itemID="{BB16DC72-5DF8-422C-849E-3A00AB4A15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21</cp:revision>
  <cp:lastPrinted>2021-02-01T20:49:00Z</cp:lastPrinted>
  <dcterms:created xsi:type="dcterms:W3CDTF">2020-12-18T20:17:00Z</dcterms:created>
  <dcterms:modified xsi:type="dcterms:W3CDTF">2026-01-27T20:14:14Z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