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41626C" w:rsidR="00707C99" w:rsidP="00072C60" w:rsidRDefault="00201C0D" w14:paraId="19FE0E96" w14:textId="435DE6B9">
      <w:pPr>
        <w:spacing w:after="0" w:line="240" w:lineRule="auto"/>
        <w:jc w:val="center"/>
        <w:rPr>
          <w:rFonts w:ascii="Times New Roman" w:hAnsi="Times New Roman" w:cs="Times New Roman"/>
          <w:b/>
          <w:sz w:val="24"/>
          <w:szCs w:val="24"/>
          <w:lang w:val="es-PE" w:eastAsia="ar-SA"/>
        </w:rPr>
      </w:pPr>
      <w:r w:rsidRPr="0041626C">
        <w:rPr>
          <w:rFonts w:ascii="Times New Roman" w:hAnsi="Times New Roman" w:cs="Times New Roman"/>
          <w:b/>
          <w:sz w:val="24"/>
          <w:szCs w:val="24"/>
          <w:lang w:val="es-PE" w:eastAsia="ar-SA"/>
        </w:rPr>
        <w:t xml:space="preserve">RESOLUCIÓN DE RECURSO IMPUGNATIVO </w:t>
      </w:r>
      <w:proofErr w:type="spellStart"/>
      <w:r w:rsidRPr="0041626C" w:rsidR="00707C99">
        <w:rPr>
          <w:rFonts w:ascii="Times New Roman" w:hAnsi="Times New Roman" w:cs="Times New Roman"/>
          <w:b/>
          <w:sz w:val="24"/>
          <w:szCs w:val="24"/>
          <w:lang w:val="es-PE" w:eastAsia="ar-SA"/>
        </w:rPr>
        <w:t>N°</w:t>
      </w:r>
      <w:proofErr w:type="spellEnd"/>
      <w:r w:rsidRPr="0041626C" w:rsidR="00707C99">
        <w:rPr>
          <w:rFonts w:ascii="Times New Roman" w:hAnsi="Times New Roman" w:cs="Times New Roman"/>
          <w:b/>
          <w:sz w:val="24"/>
          <w:szCs w:val="24"/>
          <w:lang w:val="es-PE" w:eastAsia="ar-SA"/>
        </w:rPr>
        <w:t xml:space="preserve"> </w:t>
      </w:r>
      <w:r w:rsidRPr="0041626C" w:rsidR="00C671F5">
        <w:rPr>
          <w:rFonts w:ascii="Times New Roman" w:hAnsi="Times New Roman" w:cs="Times New Roman"/>
          <w:b/>
          <w:sz w:val="24"/>
          <w:szCs w:val="24"/>
          <w:lang w:val="es-PE" w:eastAsia="ar-SA"/>
        </w:rPr>
        <w:t>0</w:t>
      </w:r>
      <w:r w:rsidRPr="0041626C" w:rsidR="00231C58">
        <w:rPr>
          <w:rFonts w:ascii="Times New Roman" w:hAnsi="Times New Roman" w:cs="Times New Roman"/>
          <w:b/>
          <w:sz w:val="24"/>
          <w:szCs w:val="24"/>
          <w:lang w:val="es-PE" w:eastAsia="ar-SA"/>
        </w:rPr>
        <w:t>0</w:t>
      </w:r>
      <w:r w:rsidRPr="0041626C" w:rsidR="0041626C">
        <w:rPr>
          <w:rFonts w:ascii="Times New Roman" w:hAnsi="Times New Roman" w:cs="Times New Roman"/>
          <w:b/>
          <w:sz w:val="24"/>
          <w:szCs w:val="24"/>
          <w:lang w:val="es-PE" w:eastAsia="ar-SA"/>
        </w:rPr>
        <w:t>8</w:t>
      </w:r>
      <w:r w:rsidRPr="0041626C" w:rsidR="00C671F5">
        <w:rPr>
          <w:rFonts w:ascii="Times New Roman" w:hAnsi="Times New Roman" w:cs="Times New Roman"/>
          <w:b/>
          <w:sz w:val="24"/>
          <w:szCs w:val="24"/>
          <w:lang w:val="es-PE" w:eastAsia="ar-SA"/>
        </w:rPr>
        <w:t>/2</w:t>
      </w:r>
      <w:r w:rsidRPr="0041626C" w:rsidR="00231C58">
        <w:rPr>
          <w:rFonts w:ascii="Times New Roman" w:hAnsi="Times New Roman" w:cs="Times New Roman"/>
          <w:b/>
          <w:sz w:val="24"/>
          <w:szCs w:val="24"/>
          <w:lang w:val="es-PE" w:eastAsia="ar-SA"/>
        </w:rPr>
        <w:t>1</w:t>
      </w:r>
    </w:p>
    <w:p w:rsidRPr="0041626C" w:rsidR="00707C99" w:rsidP="00072C60" w:rsidRDefault="00707C99" w14:paraId="428240E5" w14:textId="06F06948">
      <w:pPr>
        <w:suppressAutoHyphens/>
        <w:spacing w:after="0" w:line="240" w:lineRule="auto"/>
        <w:jc w:val="both"/>
        <w:rPr>
          <w:rFonts w:ascii="Times New Roman" w:hAnsi="Times New Roman" w:eastAsia="Times New Roman" w:cs="Times New Roman"/>
          <w:b/>
          <w:bCs/>
          <w:sz w:val="24"/>
          <w:szCs w:val="24"/>
          <w:lang w:val="es-PE" w:eastAsia="ar-SA"/>
        </w:rPr>
      </w:pPr>
    </w:p>
    <w:p w:rsidRPr="0041626C" w:rsidR="00B32325" w:rsidP="00072C60" w:rsidRDefault="00B32325" w14:paraId="500397C4" w14:textId="77777777">
      <w:pPr>
        <w:suppressAutoHyphens/>
        <w:spacing w:after="0" w:line="240" w:lineRule="auto"/>
        <w:jc w:val="both"/>
        <w:rPr>
          <w:rFonts w:ascii="Times New Roman" w:hAnsi="Times New Roman" w:eastAsia="Times New Roman" w:cs="Times New Roman"/>
          <w:b/>
          <w:bCs/>
          <w:sz w:val="24"/>
          <w:szCs w:val="24"/>
          <w:lang w:val="es-PE" w:eastAsia="ar-SA"/>
        </w:rPr>
      </w:pPr>
    </w:p>
    <w:p w:rsidRPr="0041626C" w:rsidR="0041626C" w:rsidP="0041626C" w:rsidRDefault="0041626C" w14:paraId="21190139"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41626C">
        <w:rPr>
          <w:rFonts w:ascii="Times New Roman" w:hAnsi="Times New Roman" w:eastAsia="Times New Roman" w:cs="Times New Roman"/>
          <w:b/>
          <w:bCs/>
          <w:sz w:val="24"/>
          <w:szCs w:val="24"/>
          <w:lang w:val="es-MX" w:eastAsia="ar-SA"/>
        </w:rPr>
        <w:t>Vistos:</w:t>
      </w:r>
    </w:p>
    <w:p w:rsidRPr="0041626C" w:rsidR="0041626C" w:rsidP="0041626C" w:rsidRDefault="0041626C" w14:paraId="5750BB67"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41626C">
        <w:rPr>
          <w:rFonts w:ascii="Times New Roman" w:hAnsi="Times New Roman" w:eastAsia="Times New Roman" w:cs="Times New Roman"/>
          <w:b/>
          <w:bCs/>
          <w:sz w:val="24"/>
          <w:szCs w:val="24"/>
          <w:lang w:val="es-MX" w:eastAsia="ar-SA"/>
        </w:rPr>
        <w:t xml:space="preserve">   </w:t>
      </w:r>
    </w:p>
    <w:p w:rsidRPr="0041626C" w:rsidR="0041626C" w:rsidP="0041626C" w:rsidRDefault="0041626C" w14:paraId="4F323423" w14:textId="4D5B0FAC">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34028521" w:rsidR="0041626C">
        <w:rPr>
          <w:rFonts w:ascii="Times New Roman" w:hAnsi="Times New Roman" w:eastAsia="Times New Roman" w:cs="Times New Roman"/>
          <w:sz w:val="24"/>
          <w:szCs w:val="24"/>
          <w:lang w:val="es-ES" w:eastAsia="ar-SA"/>
        </w:rPr>
        <w:t>El recurso de impugnación presentado el 16 de diciembre de 2020 por don</w:t>
      </w:r>
      <w:r w:rsidRPr="34028521" w:rsidR="0041626C">
        <w:rPr>
          <w:rFonts w:ascii="Times New Roman" w:hAnsi="Times New Roman" w:cs="Times New Roman"/>
          <w:sz w:val="24"/>
          <w:szCs w:val="24"/>
          <w:lang w:val="es-ES"/>
        </w:rPr>
        <w:t xml:space="preserve"> </w:t>
      </w:r>
      <w:r w:rsidRPr="34028521" w:rsidR="4C4E51F3">
        <w:rPr>
          <w:rFonts w:ascii="Times New Roman" w:hAnsi="Times New Roman" w:cs="Times New Roman"/>
          <w:sz w:val="24"/>
          <w:szCs w:val="24"/>
          <w:lang w:val="es-ES"/>
        </w:rPr>
        <w:t>...................................</w:t>
      </w:r>
      <w:r w:rsidRPr="34028521" w:rsidR="0041626C">
        <w:rPr>
          <w:rFonts w:ascii="Times New Roman" w:hAnsi="Times New Roman" w:eastAsia="Times New Roman" w:cs="Times New Roman"/>
          <w:sz w:val="24"/>
          <w:szCs w:val="24"/>
          <w:lang w:val="es-ES" w:eastAsia="ar-SA"/>
        </w:rPr>
        <w:t xml:space="preserve"> respecto de la Resolución Nro. 116/20, del 14 de diciembre de 2020, emitida por esta Defensoría del Asegurado (DEFASEG), que declaró IMPROCEDENTE</w:t>
      </w:r>
      <w:r w:rsidRPr="34028521" w:rsidR="0041626C">
        <w:rPr>
          <w:rFonts w:ascii="Times New Roman" w:hAnsi="Times New Roman" w:cs="Times New Roman"/>
          <w:sz w:val="24"/>
          <w:szCs w:val="24"/>
          <w:lang w:val="es-PE"/>
        </w:rPr>
        <w:t xml:space="preserve"> </w:t>
      </w:r>
      <w:r w:rsidRPr="34028521" w:rsidR="0041626C">
        <w:rPr>
          <w:rFonts w:ascii="Times New Roman" w:hAnsi="Times New Roman" w:eastAsia="Arial Unicode MS" w:cs="Times New Roman"/>
          <w:sz w:val="24"/>
          <w:szCs w:val="24"/>
          <w:lang w:val="es-PE"/>
        </w:rPr>
        <w:t xml:space="preserve">su reclamación interpuesta contra </w:t>
      </w:r>
      <w:r w:rsidRPr="34028521" w:rsidR="2B0A535C">
        <w:rPr>
          <w:rFonts w:ascii="Times New Roman" w:hAnsi="Times New Roman" w:eastAsia="Times New Roman" w:cs="Times New Roman"/>
          <w:sz w:val="24"/>
          <w:szCs w:val="24"/>
          <w:lang w:val="es-PE" w:eastAsia="es-ES"/>
        </w:rPr>
        <w:t>...................................</w:t>
      </w:r>
      <w:r w:rsidRPr="34028521" w:rsidR="0041626C">
        <w:rPr>
          <w:rFonts w:ascii="Times New Roman" w:hAnsi="Times New Roman" w:eastAsia="Times New Roman" w:cs="Times New Roman"/>
          <w:sz w:val="24"/>
          <w:szCs w:val="24"/>
          <w:lang w:val="es-PE" w:eastAsia="es-ES"/>
        </w:rPr>
        <w:t xml:space="preserve">, sobre otorgamiento de cobertura al siniestro correspondiente al uso indebido de su tarjeta de crédito como consecuencia de un hurto ocurrido el 12 de julio de 2020, </w:t>
      </w:r>
      <w:r w:rsidRPr="34028521" w:rsidR="0041626C">
        <w:rPr>
          <w:rFonts w:ascii="Times New Roman" w:hAnsi="Times New Roman" w:eastAsia="Times New Roman" w:cs="Times New Roman"/>
          <w:sz w:val="24"/>
          <w:szCs w:val="24"/>
          <w:lang w:val="es-PE" w:eastAsia="es-ES"/>
        </w:rPr>
        <w:t>de acuerdo a</w:t>
      </w:r>
      <w:r w:rsidRPr="34028521" w:rsidR="0041626C">
        <w:rPr>
          <w:rFonts w:ascii="Times New Roman" w:hAnsi="Times New Roman" w:eastAsia="Times New Roman" w:cs="Times New Roman"/>
          <w:sz w:val="24"/>
          <w:szCs w:val="24"/>
          <w:lang w:val="es-PE" w:eastAsia="es-ES"/>
        </w:rPr>
        <w:t xml:space="preserve"> los términos y condiciones del </w:t>
      </w:r>
      <w:r w:rsidRPr="34028521" w:rsidR="0041626C">
        <w:rPr>
          <w:rFonts w:ascii="Times New Roman" w:hAnsi="Times New Roman" w:cs="Times New Roman"/>
          <w:sz w:val="24"/>
          <w:szCs w:val="24"/>
          <w:lang w:val="es-ES"/>
        </w:rPr>
        <w:t xml:space="preserve">Seguro de Protección de Tarjeta, póliza Nro. </w:t>
      </w:r>
      <w:r w:rsidRPr="34028521" w:rsidR="5D2B2353">
        <w:rPr>
          <w:rFonts w:ascii="Times New Roman" w:hAnsi="Times New Roman" w:cs="Times New Roman"/>
          <w:sz w:val="24"/>
          <w:szCs w:val="24"/>
          <w:lang w:val="es-ES"/>
        </w:rPr>
        <w:t>...................................</w:t>
      </w:r>
      <w:bookmarkStart w:name="OLE_LINK2" w:id="0"/>
      <w:r w:rsidRPr="34028521" w:rsidR="0041626C">
        <w:rPr>
          <w:rFonts w:ascii="Times New Roman" w:hAnsi="Times New Roman" w:eastAsia="Times New Roman" w:cs="Times New Roman"/>
          <w:sz w:val="24"/>
          <w:szCs w:val="24"/>
          <w:lang w:val="es-PE" w:eastAsia="es-ES"/>
        </w:rPr>
        <w:t>;</w:t>
      </w:r>
    </w:p>
    <w:bookmarkEnd w:id="0"/>
    <w:p w:rsidRPr="0041626C" w:rsidR="0041626C" w:rsidP="0041626C" w:rsidRDefault="0041626C" w14:paraId="5406F4C3"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p>
    <w:p w:rsidRPr="0041626C" w:rsidR="0041626C" w:rsidP="0041626C" w:rsidRDefault="0041626C" w14:paraId="29E8B2B6" w14:textId="2EADAC1F">
      <w:pPr>
        <w:suppressAutoHyphens/>
        <w:spacing w:after="0" w:line="240" w:lineRule="auto"/>
        <w:jc w:val="both"/>
        <w:rPr>
          <w:rFonts w:ascii="Times New Roman" w:hAnsi="Times New Roman" w:eastAsia="Times New Roman" w:cs="Times New Roman"/>
          <w:sz w:val="24"/>
          <w:szCs w:val="24"/>
          <w:lang w:val="es-ES"/>
        </w:rPr>
      </w:pPr>
      <w:r w:rsidRPr="34028521" w:rsidR="0041626C">
        <w:rPr>
          <w:rFonts w:ascii="Times New Roman" w:hAnsi="Times New Roman" w:eastAsia="Times New Roman" w:cs="Times New Roman"/>
          <w:sz w:val="24"/>
          <w:szCs w:val="24"/>
          <w:lang w:val="es-MX" w:eastAsia="ar-SA"/>
        </w:rPr>
        <w:t>Que, a través del señalado recurso, el asegurado cuestiona lo resuelto por la DEFASEG, infiriéndose que solicita que se revoque la resolución recurrida y se declare fundada la reclamación, atendiendo principal y resumidamente a lo siguiente: a) Destaca que desconoce</w:t>
      </w:r>
      <w:r w:rsidRPr="34028521" w:rsidR="0041626C">
        <w:rPr>
          <w:rFonts w:ascii="Times New Roman" w:hAnsi="Times New Roman" w:eastAsia="Times New Roman" w:cs="Times New Roman"/>
          <w:sz w:val="24"/>
          <w:szCs w:val="24"/>
          <w:lang w:val="es-ES"/>
        </w:rPr>
        <w:t xml:space="preserve"> totalmente la póliza Nro. Nro.  </w:t>
      </w:r>
      <w:r w:rsidRPr="34028521" w:rsidR="5D2B2353">
        <w:rPr>
          <w:rFonts w:ascii="Times New Roman" w:hAnsi="Times New Roman" w:eastAsia="Times New Roman" w:cs="Times New Roman"/>
          <w:sz w:val="24"/>
          <w:szCs w:val="24"/>
          <w:lang w:val="es-ES"/>
        </w:rPr>
        <w:t>...................................</w:t>
      </w:r>
      <w:r w:rsidRPr="34028521" w:rsidR="0041626C">
        <w:rPr>
          <w:rFonts w:ascii="Times New Roman" w:hAnsi="Times New Roman" w:eastAsia="Times New Roman" w:cs="Times New Roman"/>
          <w:sz w:val="24"/>
          <w:szCs w:val="24"/>
          <w:lang w:val="es-ES"/>
        </w:rPr>
        <w:t xml:space="preserve">, siendo que él hace mención, en todo momento, al Certificado Nro.  </w:t>
      </w:r>
      <w:r w:rsidRPr="34028521" w:rsidR="303EF67E">
        <w:rPr>
          <w:rFonts w:ascii="Times New Roman" w:hAnsi="Times New Roman" w:eastAsia="Times New Roman" w:cs="Times New Roman"/>
          <w:sz w:val="24"/>
          <w:szCs w:val="24"/>
          <w:lang w:val="es-ES"/>
        </w:rPr>
        <w:t>...................................</w:t>
      </w:r>
      <w:r w:rsidRPr="34028521" w:rsidR="0041626C">
        <w:rPr>
          <w:rFonts w:ascii="Times New Roman" w:hAnsi="Times New Roman" w:eastAsia="Times New Roman" w:cs="Times New Roman"/>
          <w:sz w:val="24"/>
          <w:szCs w:val="24"/>
          <w:lang w:val="es-ES"/>
        </w:rPr>
        <w:t>, de fecha 30 de abril 2013, protección de tarjeta</w:t>
      </w:r>
      <w:r w:rsidRPr="34028521" w:rsidR="1A86F624">
        <w:rPr>
          <w:rFonts w:ascii="Times New Roman" w:hAnsi="Times New Roman" w:eastAsia="Times New Roman" w:cs="Times New Roman"/>
          <w:sz w:val="24"/>
          <w:szCs w:val="24"/>
          <w:lang w:val="es-ES"/>
        </w:rPr>
        <w:t>...................................</w:t>
      </w:r>
      <w:r w:rsidRPr="34028521" w:rsidR="0041626C">
        <w:rPr>
          <w:rFonts w:ascii="Times New Roman" w:hAnsi="Times New Roman" w:eastAsia="Times New Roman" w:cs="Times New Roman"/>
          <w:sz w:val="24"/>
          <w:szCs w:val="24"/>
          <w:lang w:val="es-ES"/>
        </w:rPr>
        <w:t>, el cual considera una cobertura aplicable a las tarjeta(s) de crédito y/o débito financieras, uso indebido de la tarjeta de crédito y/o débito por robo/o asalto, etc.,  por un monto asegurable de hasta un límite agregado anual US$ 6,500, con un máximo de tres eventos por año, siendo que no se considera las cinco horas para realizar la denuncia policial, b)</w:t>
      </w:r>
      <w:r w:rsidRPr="34028521" w:rsidR="0041626C">
        <w:rPr>
          <w:rFonts w:ascii="Times New Roman" w:hAnsi="Times New Roman" w:eastAsia="Times New Roman" w:cs="Times New Roman"/>
          <w:sz w:val="24"/>
          <w:szCs w:val="24"/>
          <w:lang w:val="es-ES" w:eastAsia="ar-SA"/>
        </w:rPr>
        <w:t xml:space="preserve"> E</w:t>
      </w:r>
      <w:r w:rsidRPr="34028521" w:rsidR="0041626C">
        <w:rPr>
          <w:rFonts w:ascii="Times New Roman" w:hAnsi="Times New Roman" w:eastAsia="Times New Roman" w:cs="Times New Roman"/>
          <w:sz w:val="24"/>
          <w:szCs w:val="24"/>
          <w:lang w:val="es-ES"/>
        </w:rPr>
        <w:t xml:space="preserve">n todo el extenso período de tiempo por la pandemia, fue prácticamente imposible comunicarse con ningún banco, entidad, seguro, etc. al estar en trabajo de casa virtual, no cumpliendo en contestar anexos, ni otros.  Siendo que reitera que tuvo la suerte de contactar a un eficiente ejecutivo de </w:t>
      </w:r>
      <w:r w:rsidRPr="34028521" w:rsidR="39F181C0">
        <w:rPr>
          <w:rFonts w:ascii="Times New Roman" w:hAnsi="Times New Roman" w:eastAsia="Times New Roman" w:cs="Times New Roman"/>
          <w:sz w:val="24"/>
          <w:szCs w:val="24"/>
          <w:lang w:val="es-ES"/>
        </w:rPr>
        <w:t>...................................</w:t>
      </w:r>
      <w:r w:rsidRPr="34028521" w:rsidR="0041626C">
        <w:rPr>
          <w:rFonts w:ascii="Times New Roman" w:hAnsi="Times New Roman" w:eastAsia="Times New Roman" w:cs="Times New Roman"/>
          <w:sz w:val="24"/>
          <w:szCs w:val="24"/>
          <w:lang w:val="es-ES"/>
        </w:rPr>
        <w:t xml:space="preserve"> (por una sola oportunidad y sin tomarle el nombre), quien le confirmó la cobertura para la tarjeta de débito de </w:t>
      </w:r>
      <w:r w:rsidRPr="34028521" w:rsidR="34682D26">
        <w:rPr>
          <w:rFonts w:ascii="Times New Roman" w:hAnsi="Times New Roman" w:eastAsia="Times New Roman" w:cs="Times New Roman"/>
          <w:sz w:val="24"/>
          <w:szCs w:val="24"/>
          <w:lang w:val="es-ES"/>
        </w:rPr>
        <w:t>...................................</w:t>
      </w:r>
      <w:r w:rsidRPr="34028521" w:rsidR="0041626C">
        <w:rPr>
          <w:rFonts w:ascii="Times New Roman" w:hAnsi="Times New Roman" w:eastAsia="Times New Roman" w:cs="Times New Roman"/>
          <w:sz w:val="24"/>
          <w:szCs w:val="24"/>
          <w:lang w:val="es-ES"/>
        </w:rPr>
        <w:t xml:space="preserve"> y otros, como lo detalla el certificado mencionado.  Por tanto, no reconoce los descargos y la documentación presentada por </w:t>
      </w:r>
      <w:r w:rsidRPr="34028521" w:rsidR="1D1CA59F">
        <w:rPr>
          <w:rFonts w:ascii="Times New Roman" w:hAnsi="Times New Roman" w:eastAsia="Times New Roman" w:cs="Times New Roman"/>
          <w:sz w:val="24"/>
          <w:szCs w:val="24"/>
          <w:lang w:val="es-ES"/>
        </w:rPr>
        <w:t>...................................</w:t>
      </w:r>
      <w:r w:rsidRPr="34028521" w:rsidR="0041626C">
        <w:rPr>
          <w:rFonts w:ascii="Times New Roman" w:hAnsi="Times New Roman" w:eastAsia="Times New Roman" w:cs="Times New Roman"/>
          <w:sz w:val="24"/>
          <w:szCs w:val="24"/>
          <w:lang w:val="es-ES"/>
        </w:rPr>
        <w:t xml:space="preserve"> el 9 de noviembre de 2020, c) Al recibir de la señorita </w:t>
      </w:r>
      <w:r w:rsidRPr="34028521" w:rsidR="28DC3D59">
        <w:rPr>
          <w:rFonts w:ascii="Times New Roman" w:hAnsi="Times New Roman" w:eastAsia="Times New Roman" w:cs="Times New Roman"/>
          <w:sz w:val="24"/>
          <w:szCs w:val="24"/>
          <w:lang w:val="es-ES"/>
        </w:rPr>
        <w:t>...................................</w:t>
      </w:r>
      <w:r w:rsidRPr="34028521" w:rsidR="0041626C">
        <w:rPr>
          <w:rFonts w:ascii="Times New Roman" w:hAnsi="Times New Roman" w:eastAsia="Times New Roman" w:cs="Times New Roman"/>
          <w:sz w:val="24"/>
          <w:szCs w:val="24"/>
          <w:lang w:val="es-ES"/>
        </w:rPr>
        <w:t xml:space="preserve"> el formato de protección de tarjeta, le informó sobre la imposibilidad inmediata de realizar la denuncia policial -por las razones ya ampliamente expuestas-, siendo que le manifestó que mencionara ello, lo que ha hecho en las diversas comunicaciones y hasta en la hoja de reclamo respectiva, aunque reitera que esa denuncia no es un requisito o condición parala cobertura, conforme al certificado adquirido a</w:t>
      </w:r>
      <w:r w:rsidRPr="34028521" w:rsidR="1A86F624">
        <w:rPr>
          <w:rFonts w:ascii="Times New Roman" w:hAnsi="Times New Roman" w:eastAsia="Times New Roman" w:cs="Times New Roman"/>
          <w:sz w:val="24"/>
          <w:szCs w:val="24"/>
          <w:lang w:val="es-ES"/>
        </w:rPr>
        <w:t>...................................</w:t>
      </w:r>
      <w:r w:rsidRPr="34028521" w:rsidR="0041626C">
        <w:rPr>
          <w:rFonts w:ascii="Times New Roman" w:hAnsi="Times New Roman" w:eastAsia="Times New Roman" w:cs="Times New Roman"/>
          <w:sz w:val="24"/>
          <w:szCs w:val="24"/>
          <w:lang w:val="es-ES"/>
        </w:rPr>
        <w:t xml:space="preserve"> en el año 2013, d) Tratándose del párrafo 6.3 de la resolución recurrida, si bien la DEFASEG puede haber laborado en el tiempo de pandemia, no ha sido lo mismo con bancos, compañías de seguro y muchas otras entidades públicas y privadas, que acogiéndose al trabajo virtual de casa lo tomaron como vacaciones, y ni siquiera contestaban los anexos interconectados a sus sistemas troncales, e) Tratándose del  párrafo 6.2 de la resolución, en el que menciona dolo o culpa inexcusable del asegurado, lo considera indignante hacia su persona y pulcritud de imagen y nombre, siendo que ello alienta más bien su fuerza en solicitar la justicia correspondiente por el servicio contratado; cuyos detalles y montos por retiro encontrarán en los adjuntos que ha enviado, f) Expresa que no le resulta comprensible el párrafo 6.4, siendo que no maneja el número de su cuenta CTA, ni se le proporciona estados de cuenta de la misma, siendo que al proporcionar los estados de cuenta y la nota del </w:t>
      </w:r>
      <w:r w:rsidRPr="34028521" w:rsidR="34682D26">
        <w:rPr>
          <w:rFonts w:ascii="Times New Roman" w:hAnsi="Times New Roman" w:eastAsia="Times New Roman" w:cs="Times New Roman"/>
          <w:sz w:val="24"/>
          <w:szCs w:val="24"/>
          <w:lang w:val="es-ES"/>
        </w:rPr>
        <w:t>...................................</w:t>
      </w:r>
      <w:r w:rsidRPr="34028521" w:rsidR="0041626C">
        <w:rPr>
          <w:rFonts w:ascii="Times New Roman" w:hAnsi="Times New Roman" w:eastAsia="Times New Roman" w:cs="Times New Roman"/>
          <w:sz w:val="24"/>
          <w:szCs w:val="24"/>
          <w:lang w:val="es-ES"/>
        </w:rPr>
        <w:t xml:space="preserve"> donde se </w:t>
      </w:r>
      <w:r w:rsidRPr="34028521" w:rsidR="0041626C">
        <w:rPr>
          <w:rFonts w:ascii="Times New Roman" w:hAnsi="Times New Roman" w:eastAsia="Times New Roman" w:cs="Times New Roman"/>
          <w:sz w:val="24"/>
          <w:szCs w:val="24"/>
          <w:lang w:val="es-ES"/>
        </w:rPr>
        <w:t>detalla  número</w:t>
      </w:r>
      <w:r w:rsidRPr="34028521" w:rsidR="0041626C">
        <w:rPr>
          <w:rFonts w:ascii="Times New Roman" w:hAnsi="Times New Roman" w:eastAsia="Times New Roman" w:cs="Times New Roman"/>
          <w:sz w:val="24"/>
          <w:szCs w:val="24"/>
          <w:lang w:val="es-ES"/>
        </w:rPr>
        <w:t xml:space="preserve"> de operación, cajero, día, lugar de retiro (todos a primera hora de la mañana en el cono norte), satisface lo relacionado a la cuantía de la pérdida que menciona, cabiendo señalar que mi certificado, cobertura y </w:t>
      </w:r>
      <w:r w:rsidRPr="34028521" w:rsidR="0041626C">
        <w:rPr>
          <w:rFonts w:ascii="Times New Roman" w:hAnsi="Times New Roman" w:eastAsia="Times New Roman" w:cs="Times New Roman"/>
          <w:sz w:val="24"/>
          <w:szCs w:val="24"/>
          <w:lang w:val="es-ES"/>
        </w:rPr>
        <w:t xml:space="preserve">montos, corresponden efectivamente a un riesgo que debe aceptar la aseguradora, g) La DEFASEG comprenderá su malestar sobre todo lo referido, percatándose que todos cometemos errores, algunas veces involuntarios y otros voluntarios.  Así, tratándose de la conferencia virtual, donde el moderador y/o interlocutor inicial no dio su nombre ni puesto antes de la exposición del caso a su cargo, ello terminó sorprendiéndolo, siendo que el abogado de </w:t>
      </w:r>
      <w:r w:rsidRPr="34028521" w:rsidR="1D1CA59F">
        <w:rPr>
          <w:rFonts w:ascii="Times New Roman" w:hAnsi="Times New Roman" w:eastAsia="Times New Roman" w:cs="Times New Roman"/>
          <w:sz w:val="24"/>
          <w:szCs w:val="24"/>
          <w:lang w:val="es-ES"/>
        </w:rPr>
        <w:t>...................................</w:t>
      </w:r>
      <w:r w:rsidRPr="34028521" w:rsidR="0041626C">
        <w:rPr>
          <w:rFonts w:ascii="Times New Roman" w:hAnsi="Times New Roman" w:eastAsia="Times New Roman" w:cs="Times New Roman"/>
          <w:sz w:val="24"/>
          <w:szCs w:val="24"/>
          <w:lang w:val="es-ES"/>
        </w:rPr>
        <w:t xml:space="preserve"> partió con excesiva ventaja, lo cual lo ofuscó con justa razón;</w:t>
      </w:r>
    </w:p>
    <w:p w:rsidRPr="0041626C" w:rsidR="0041626C" w:rsidP="0041626C" w:rsidRDefault="0041626C" w14:paraId="5F1CA9BC" w14:textId="77777777">
      <w:pPr>
        <w:suppressAutoHyphens/>
        <w:spacing w:after="0" w:line="240" w:lineRule="auto"/>
        <w:jc w:val="both"/>
        <w:rPr>
          <w:rFonts w:ascii="Times New Roman" w:hAnsi="Times New Roman" w:eastAsia="Times New Roman" w:cs="Times New Roman"/>
          <w:sz w:val="24"/>
          <w:szCs w:val="24"/>
          <w:lang w:val="es-ES"/>
        </w:rPr>
      </w:pPr>
    </w:p>
    <w:p w:rsidRPr="0041626C" w:rsidR="0041626C" w:rsidP="34028521" w:rsidRDefault="0041626C" w14:paraId="69A88549" w14:textId="358AD16F">
      <w:pPr>
        <w:tabs>
          <w:tab w:val="left" w:pos="2160"/>
        </w:tabs>
        <w:spacing w:after="0" w:line="240" w:lineRule="auto"/>
        <w:jc w:val="both"/>
        <w:rPr>
          <w:rFonts w:ascii="Times New Roman" w:hAnsi="Times New Roman" w:eastAsia="Times New Roman" w:cs="Times New Roman"/>
          <w:sz w:val="24"/>
          <w:szCs w:val="24"/>
          <w:lang w:val="es-MX" w:eastAsia="ar-SA"/>
        </w:rPr>
      </w:pPr>
      <w:r w:rsidRPr="34028521" w:rsidR="0041626C">
        <w:rPr>
          <w:rFonts w:ascii="Times New Roman" w:hAnsi="Times New Roman" w:eastAsia="Times New Roman" w:cs="Times New Roman"/>
          <w:sz w:val="24"/>
          <w:szCs w:val="24"/>
          <w:lang w:val="es-MX" w:eastAsia="ar-SA"/>
        </w:rPr>
        <w:t>Que, atendiendo a</w:t>
      </w:r>
      <w:r w:rsidRPr="34028521" w:rsidR="0041626C">
        <w:rPr>
          <w:rFonts w:ascii="Times New Roman" w:hAnsi="Times New Roman" w:cs="Times New Roman"/>
          <w:sz w:val="24"/>
          <w:szCs w:val="24"/>
          <w:lang w:val="es-MX"/>
        </w:rPr>
        <w:t xml:space="preserve"> que</w:t>
      </w:r>
      <w:r w:rsidRPr="34028521" w:rsidR="0041626C">
        <w:rPr>
          <w:rFonts w:ascii="Times New Roman" w:hAnsi="Times New Roman" w:cs="Times New Roman"/>
          <w:sz w:val="24"/>
          <w:szCs w:val="24"/>
          <w:lang w:val="es-PE"/>
        </w:rPr>
        <w:t xml:space="preserve"> la DEFASEG suspendió sus actividades del 21 de diciembre de 2020 al 10 de enero de 2021,</w:t>
      </w:r>
      <w:r w:rsidRPr="34028521" w:rsidR="0041626C">
        <w:rPr>
          <w:rFonts w:ascii="Times New Roman" w:hAnsi="Times New Roman" w:eastAsia="Times New Roman" w:cs="Times New Roman"/>
          <w:sz w:val="24"/>
          <w:szCs w:val="24"/>
          <w:lang w:val="es-MX" w:eastAsia="ar-SA"/>
        </w:rPr>
        <w:t xml:space="preserve"> la aseguradora absolvió con fecha 22 de enero de 2021 el trámite del traslado del recurso de impugnación, destacando principal y resumidamente lo siguiente: a) La señalada impugnación corresponde a un mero pedido de revisión de la resolución recurrida, sin aportar ningún medio probatorio o fundamento adicionales para desvirtuarlo ya resuelto, por lo que corresponde desestimar dicha reclamación y confirmar lo ya resuelto en su oportunidad, b) Sin perjuicio de ello, no se desvirtúa el fundamento de lo resuelto por la DEFASEG, en el sentido que la sustracción de los fondos retirados de la tarjeta de débito del </w:t>
      </w:r>
      <w:r w:rsidRPr="34028521" w:rsidR="7EDF0011">
        <w:rPr>
          <w:rFonts w:ascii="Times New Roman" w:hAnsi="Times New Roman" w:eastAsia="Times New Roman" w:cs="Times New Roman"/>
          <w:sz w:val="24"/>
          <w:szCs w:val="24"/>
          <w:lang w:val="es-MX" w:eastAsia="ar-SA"/>
        </w:rPr>
        <w:t>.............................</w:t>
      </w:r>
      <w:r w:rsidRPr="34028521" w:rsidR="0041626C">
        <w:rPr>
          <w:rFonts w:ascii="Times New Roman" w:hAnsi="Times New Roman" w:eastAsia="Times New Roman" w:cs="Times New Roman"/>
          <w:sz w:val="24"/>
          <w:szCs w:val="24"/>
          <w:lang w:val="es-MX" w:eastAsia="ar-SA"/>
        </w:rPr>
        <w:t xml:space="preserve"> no corresponde a un riesgo aceptado por la aseguradora, c) Ha sido demostrado que la tarjeta de débito del </w:t>
      </w:r>
      <w:r w:rsidRPr="34028521" w:rsidR="34682D26">
        <w:rPr>
          <w:rFonts w:ascii="Times New Roman" w:hAnsi="Times New Roman" w:eastAsia="Times New Roman" w:cs="Times New Roman"/>
          <w:sz w:val="24"/>
          <w:szCs w:val="24"/>
          <w:lang w:val="es-MX" w:eastAsia="ar-SA"/>
        </w:rPr>
        <w:t>...................................</w:t>
      </w:r>
      <w:r w:rsidRPr="34028521" w:rsidR="0041626C">
        <w:rPr>
          <w:rFonts w:ascii="Times New Roman" w:hAnsi="Times New Roman" w:eastAsia="Times New Roman" w:cs="Times New Roman"/>
          <w:sz w:val="24"/>
          <w:szCs w:val="24"/>
          <w:lang w:val="es-MX" w:eastAsia="ar-SA"/>
        </w:rPr>
        <w:t xml:space="preserve"> no estaba asegurada, a diferencia de las tarjetas de crédito bancarias, o de las tarjetas de débito y/o de crédito del </w:t>
      </w:r>
      <w:r w:rsidRPr="34028521" w:rsidR="39F181C0">
        <w:rPr>
          <w:rFonts w:ascii="Times New Roman" w:hAnsi="Times New Roman" w:eastAsia="Times New Roman" w:cs="Times New Roman"/>
          <w:sz w:val="24"/>
          <w:szCs w:val="24"/>
          <w:lang w:val="es-MX" w:eastAsia="ar-SA"/>
        </w:rPr>
        <w:t>...................................</w:t>
      </w:r>
      <w:r w:rsidRPr="34028521" w:rsidR="0041626C">
        <w:rPr>
          <w:rFonts w:ascii="Times New Roman" w:hAnsi="Times New Roman" w:eastAsia="Times New Roman" w:cs="Times New Roman"/>
          <w:sz w:val="24"/>
          <w:szCs w:val="24"/>
          <w:lang w:val="es-MX" w:eastAsia="ar-SA"/>
        </w:rPr>
        <w:t xml:space="preserve">, d) Y en el supuesto negado que no fuesa así, el asegurado no formuló la correspondiente denuncia policial dentro del plazo de 5 horas, sino que lo hizo a los 12 días, inobservando la correspondiente carga contractual, sin perjuicio que lo sucedido corresponde a lo que se conoce como un “cambiazo” de tarjeta, y no a un hurto de la misma, por lo que bajo ninguna perspectiva lo sucedido corresponde a un riesgo asegurado, y </w:t>
      </w:r>
      <w:r w:rsidRPr="34028521" w:rsidR="0041626C">
        <w:rPr>
          <w:rFonts w:ascii="Times New Roman" w:hAnsi="Times New Roman" w:eastAsia="Times New Roman" w:cs="Times New Roman"/>
          <w:sz w:val="24"/>
          <w:szCs w:val="24"/>
          <w:lang w:val="es-MX" w:eastAsia="ar-SA"/>
        </w:rPr>
        <w:t>e</w:t>
      </w:r>
      <w:r w:rsidRPr="34028521" w:rsidR="0041626C">
        <w:rPr>
          <w:rFonts w:ascii="Times New Roman" w:hAnsi="Times New Roman" w:eastAsia="Times New Roman" w:cs="Times New Roman"/>
          <w:sz w:val="24"/>
          <w:szCs w:val="24"/>
          <w:lang w:val="es-MX" w:eastAsia="ar-SA"/>
        </w:rPr>
        <w:t>) Se destaca que, el cumplimiento de las cargas en momento alguno ha sido suspendido tratándose de la emergencia nacional relativa a la pandemia por el COVID-19;</w:t>
      </w:r>
    </w:p>
    <w:p w:rsidRPr="0041626C" w:rsidR="0041626C" w:rsidP="0041626C" w:rsidRDefault="0041626C" w14:paraId="010E224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41626C" w:rsidR="0041626C" w:rsidP="0041626C" w:rsidRDefault="0041626C" w14:paraId="1644DE33"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41626C">
        <w:rPr>
          <w:rFonts w:ascii="Times New Roman" w:hAnsi="Times New Roman" w:eastAsia="Times New Roman" w:cs="Times New Roman"/>
          <w:bCs/>
          <w:sz w:val="24"/>
          <w:szCs w:val="24"/>
          <w:lang w:val="es-MX" w:eastAsia="ar-SA"/>
        </w:rPr>
        <w:t>Que, con fecha 29 de enero de 2021, el asegurado presentó un escrito complementario, en línea a lo ya expresado tanto en su reclamación como en el recurso de impugnación interpuesto;</w:t>
      </w:r>
    </w:p>
    <w:p w:rsidRPr="0041626C" w:rsidR="0041626C" w:rsidP="0041626C" w:rsidRDefault="0041626C" w14:paraId="6B0D020C"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41626C" w:rsidR="0041626C" w:rsidP="0041626C" w:rsidRDefault="0041626C" w14:paraId="6D14828D" w14:textId="77777777">
      <w:pPr>
        <w:suppressAutoHyphens/>
        <w:spacing w:after="0" w:line="240" w:lineRule="auto"/>
        <w:jc w:val="both"/>
        <w:rPr>
          <w:rFonts w:ascii="Times New Roman" w:hAnsi="Times New Roman" w:cs="Times New Roman"/>
          <w:bCs/>
          <w:sz w:val="24"/>
          <w:szCs w:val="24"/>
          <w:lang w:val="es-ES"/>
        </w:rPr>
      </w:pPr>
      <w:r w:rsidRPr="0041626C">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está suficientemente informado para resolver de manera definitiva;</w:t>
      </w:r>
    </w:p>
    <w:p w:rsidRPr="0041626C" w:rsidR="0041626C" w:rsidP="0041626C" w:rsidRDefault="0041626C" w14:paraId="46E14AF1"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41626C" w:rsidR="0041626C" w:rsidP="0041626C" w:rsidRDefault="0041626C" w14:paraId="4C04D2CC"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41626C">
        <w:rPr>
          <w:rFonts w:ascii="Times New Roman" w:hAnsi="Times New Roman" w:eastAsia="Times New Roman" w:cs="Times New Roman"/>
          <w:b/>
          <w:bCs/>
          <w:sz w:val="24"/>
          <w:szCs w:val="24"/>
          <w:lang w:val="es-MX" w:eastAsia="ar-SA"/>
        </w:rPr>
        <w:t>Considerando:</w:t>
      </w:r>
    </w:p>
    <w:p w:rsidRPr="0041626C" w:rsidR="0041626C" w:rsidP="0041626C" w:rsidRDefault="0041626C" w14:paraId="7017AE61" w14:textId="77777777">
      <w:pPr>
        <w:suppressAutoHyphens/>
        <w:spacing w:after="0" w:line="240" w:lineRule="auto"/>
        <w:jc w:val="both"/>
        <w:rPr>
          <w:rFonts w:ascii="Times New Roman" w:hAnsi="Times New Roman" w:eastAsia="Times New Roman" w:cs="Times New Roman"/>
          <w:sz w:val="24"/>
          <w:szCs w:val="24"/>
          <w:lang w:val="es-ES" w:eastAsia="ar-SA"/>
        </w:rPr>
      </w:pPr>
    </w:p>
    <w:p w:rsidRPr="0041626C" w:rsidR="0041626C" w:rsidP="0041626C" w:rsidRDefault="0041626C" w14:paraId="5789AA03" w14:textId="77777777">
      <w:pPr>
        <w:spacing w:after="0" w:line="240" w:lineRule="auto"/>
        <w:jc w:val="both"/>
        <w:rPr>
          <w:rFonts w:ascii="Times New Roman" w:hAnsi="Times New Roman" w:cs="Times New Roman"/>
          <w:sz w:val="24"/>
          <w:szCs w:val="24"/>
          <w:lang w:val="es-PE"/>
        </w:rPr>
      </w:pPr>
      <w:r w:rsidRPr="0041626C">
        <w:rPr>
          <w:rFonts w:ascii="Times New Roman" w:hAnsi="Times New Roman" w:cs="Times New Roman"/>
          <w:b/>
          <w:sz w:val="24"/>
          <w:szCs w:val="24"/>
          <w:u w:val="single"/>
          <w:lang w:val="es-PE"/>
        </w:rPr>
        <w:t>Primero</w:t>
      </w:r>
      <w:r w:rsidRPr="0041626C">
        <w:rPr>
          <w:rFonts w:ascii="Times New Roman" w:hAnsi="Times New Roman" w:cs="Times New Roman"/>
          <w:b/>
          <w:sz w:val="24"/>
          <w:szCs w:val="24"/>
          <w:lang w:val="es-PE"/>
        </w:rPr>
        <w:t>:</w:t>
      </w:r>
      <w:r w:rsidRPr="0041626C">
        <w:rPr>
          <w:rFonts w:ascii="Times New Roman" w:hAnsi="Times New Roman" w:cs="Times New Roman"/>
          <w:sz w:val="24"/>
          <w:szCs w:val="24"/>
          <w:lang w:val="es-PE"/>
        </w:rPr>
        <w:t xml:space="preserve"> El Reglamento de la DEFASEG </w:t>
      </w:r>
      <w:r w:rsidRPr="0041626C">
        <w:rPr>
          <w:rFonts w:ascii="Times New Roman" w:hAnsi="Times New Roman" w:eastAsia="Arial Unicode MS" w:cs="Times New Roman"/>
          <w:sz w:val="24"/>
          <w:szCs w:val="24"/>
          <w:lang w:val="es-PE"/>
        </w:rPr>
        <w:t xml:space="preserve">(http://www.defaseg.com.pe/reglamento), en su artículo 10, </w:t>
      </w:r>
      <w:r w:rsidRPr="0041626C">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41626C">
        <w:rPr>
          <w:rFonts w:ascii="Times New Roman" w:hAnsi="Times New Roman" w:cs="Times New Roman"/>
          <w:sz w:val="24"/>
          <w:szCs w:val="24"/>
          <w:lang w:val="es-ES"/>
        </w:rPr>
        <w:t>usuario de seguro recurre en forma voluntaria a la Defensoría, siendo que la presentación de una reclamación n</w:t>
      </w:r>
      <w:r w:rsidRPr="0041626C">
        <w:rPr>
          <w:rFonts w:ascii="Times New Roman" w:hAnsi="Times New Roman" w:cs="Times New Roman"/>
          <w:sz w:val="24"/>
          <w:szCs w:val="24"/>
          <w:lang w:val="es-PE"/>
        </w:rPr>
        <w:t>o limita su derecho a recurrir posteriormente ante el órgano administrativo o jurisdiccional que considere pertinente.  Conforme a lo anterior, si el asegurado no se encuentra conforme con lo que sea finalmente resuelto, la respectiva resolución no lo compromete ni le restringe la posibilidad de poder recurrir a las instancias correspondientes, a diferencia de la aseguradora que sí queda comprometida con lo resuelto por la DEFASEG.</w:t>
      </w:r>
    </w:p>
    <w:p w:rsidRPr="0041626C" w:rsidR="0041626C" w:rsidP="0041626C" w:rsidRDefault="0041626C" w14:paraId="574C08C9" w14:textId="77777777">
      <w:pPr>
        <w:spacing w:after="0" w:line="240" w:lineRule="auto"/>
        <w:jc w:val="both"/>
        <w:rPr>
          <w:rFonts w:ascii="Times New Roman" w:hAnsi="Times New Roman" w:cs="Times New Roman"/>
          <w:sz w:val="24"/>
          <w:szCs w:val="24"/>
          <w:lang w:val="es-PE"/>
        </w:rPr>
      </w:pPr>
    </w:p>
    <w:p w:rsidRPr="0041626C" w:rsidR="0041626C" w:rsidP="34028521" w:rsidRDefault="0041626C" w14:paraId="1AF9DCBD" w14:textId="734A09A6">
      <w:pPr>
        <w:tabs>
          <w:tab w:val="left" w:pos="0"/>
          <w:tab w:val="left" w:pos="2160"/>
        </w:tabs>
        <w:spacing w:after="0" w:line="240" w:lineRule="auto"/>
        <w:jc w:val="both"/>
        <w:rPr>
          <w:rFonts w:ascii="Times New Roman" w:hAnsi="Times New Roman" w:cs="Times New Roman"/>
          <w:sz w:val="24"/>
          <w:szCs w:val="24"/>
          <w:lang w:val="es-ES"/>
        </w:rPr>
      </w:pPr>
      <w:r w:rsidRPr="34028521" w:rsidR="0041626C">
        <w:rPr>
          <w:rFonts w:ascii="Times New Roman" w:hAnsi="Times New Roman" w:cs="Times New Roman"/>
          <w:b w:val="1"/>
          <w:bCs w:val="1"/>
          <w:sz w:val="24"/>
          <w:szCs w:val="24"/>
          <w:u w:val="single"/>
          <w:lang w:val="es-PE"/>
        </w:rPr>
        <w:t>Segundo</w:t>
      </w:r>
      <w:r w:rsidRPr="34028521" w:rsidR="0041626C">
        <w:rPr>
          <w:rFonts w:ascii="Times New Roman" w:hAnsi="Times New Roman" w:cs="Times New Roman"/>
          <w:b w:val="1"/>
          <w:bCs w:val="1"/>
          <w:sz w:val="24"/>
          <w:szCs w:val="24"/>
          <w:lang w:val="es-PE"/>
        </w:rPr>
        <w:t>:</w:t>
      </w:r>
      <w:r w:rsidRPr="34028521" w:rsidR="0041626C">
        <w:rPr>
          <w:rFonts w:ascii="Times New Roman" w:hAnsi="Times New Roman" w:cs="Times New Roman"/>
          <w:sz w:val="24"/>
          <w:szCs w:val="24"/>
          <w:lang w:val="es-PE"/>
        </w:rPr>
        <w:t xml:space="preserve"> Según fue analizado al expedirse la resolución recurrida, el rechazo de cobertura se encuentra final y legítimamente sustentado porque t</w:t>
      </w:r>
      <w:r w:rsidRPr="34028521" w:rsidR="0041626C">
        <w:rPr>
          <w:rFonts w:ascii="Times New Roman" w:hAnsi="Times New Roman" w:cs="Times New Roman"/>
          <w:sz w:val="24"/>
          <w:szCs w:val="24"/>
          <w:lang w:val="es-ES"/>
        </w:rPr>
        <w:t>ratándose</w:t>
      </w:r>
      <w:r w:rsidRPr="34028521" w:rsidR="0041626C">
        <w:rPr>
          <w:rFonts w:ascii="Times New Roman" w:hAnsi="Times New Roman" w:cs="Times New Roman"/>
          <w:sz w:val="24"/>
          <w:szCs w:val="24"/>
          <w:lang w:val="es-ES"/>
        </w:rPr>
        <w:t xml:space="preserve"> de un “cambiazo” (que fue el hecho ocurrido según lo declarado por el propio reclamante en su oportunidad), el mismo sólo </w:t>
      </w:r>
      <w:r w:rsidRPr="34028521" w:rsidR="0041626C">
        <w:rPr>
          <w:rFonts w:ascii="Times New Roman" w:hAnsi="Times New Roman" w:cs="Times New Roman"/>
          <w:sz w:val="24"/>
          <w:szCs w:val="24"/>
          <w:lang w:val="es-ES"/>
        </w:rPr>
        <w:t xml:space="preserve">aplica tratándose de la tarjeta de débito del </w:t>
      </w:r>
      <w:r w:rsidRPr="34028521" w:rsidR="39F181C0">
        <w:rPr>
          <w:rFonts w:ascii="Times New Roman" w:hAnsi="Times New Roman" w:cs="Times New Roman"/>
          <w:sz w:val="24"/>
          <w:szCs w:val="24"/>
          <w:lang w:val="es-ES"/>
        </w:rPr>
        <w:t>...................................</w:t>
      </w:r>
      <w:r w:rsidRPr="34028521" w:rsidR="0041626C">
        <w:rPr>
          <w:rFonts w:ascii="Times New Roman" w:hAnsi="Times New Roman" w:cs="Times New Roman"/>
          <w:sz w:val="24"/>
          <w:szCs w:val="24"/>
          <w:lang w:val="es-ES"/>
        </w:rPr>
        <w:t xml:space="preserve"> y de tarjetas de crédito del asegurado en todos los bancos, no de débito.  En consecuencia, siendo que el retiro indebido de fondos generado por el “cambiazo” fue mediante el uso de la tarjeta de débito del </w:t>
      </w:r>
      <w:r w:rsidRPr="34028521" w:rsidR="34682D26">
        <w:rPr>
          <w:rFonts w:ascii="Times New Roman" w:hAnsi="Times New Roman" w:cs="Times New Roman"/>
          <w:sz w:val="24"/>
          <w:szCs w:val="24"/>
          <w:lang w:val="es-ES"/>
        </w:rPr>
        <w:t>...................................</w:t>
      </w:r>
      <w:r w:rsidRPr="34028521" w:rsidR="0041626C">
        <w:rPr>
          <w:rFonts w:ascii="Times New Roman" w:hAnsi="Times New Roman" w:cs="Times New Roman"/>
          <w:sz w:val="24"/>
          <w:szCs w:val="24"/>
          <w:lang w:val="es-ES"/>
        </w:rPr>
        <w:t xml:space="preserve"> del asegurado, tarjeta respecto de la cual no se contrató la cobertura reclamada, la reclamación es improcedente, porque el siniestro soportado no corresponde a un riesgo aceptado por la aseguradora.  El reclamante no ha enervado dicho argumento, ni ha probado cosa distinta a través de su recurso de impugnación que, de hecho, se limita a ser un simple pedido de revisión general, reiterándose alegaciones ya invocadas, correspondiendo al juicio que el asegurado tiene sobre lo sucedido y sobre lo contratado, juicio que este colegiado respeta pero que de manera alguna comparte.</w:t>
      </w:r>
    </w:p>
    <w:p w:rsidRPr="0041626C" w:rsidR="0041626C" w:rsidP="0041626C" w:rsidRDefault="0041626C" w14:paraId="7E9610B4" w14:textId="77777777">
      <w:pPr>
        <w:tabs>
          <w:tab w:val="left" w:pos="2160"/>
        </w:tabs>
        <w:spacing w:after="0" w:line="240" w:lineRule="auto"/>
        <w:jc w:val="both"/>
        <w:rPr>
          <w:rFonts w:ascii="Times New Roman" w:hAnsi="Times New Roman" w:cs="Times New Roman"/>
          <w:sz w:val="24"/>
          <w:szCs w:val="24"/>
          <w:lang w:val="es-ES"/>
        </w:rPr>
      </w:pPr>
    </w:p>
    <w:p w:rsidRPr="0041626C" w:rsidR="0041626C" w:rsidP="0041626C" w:rsidRDefault="0041626C" w14:paraId="5E0BC59F" w14:textId="77777777">
      <w:pPr>
        <w:tabs>
          <w:tab w:val="left" w:pos="2160"/>
        </w:tabs>
        <w:spacing w:after="0" w:line="240" w:lineRule="auto"/>
        <w:jc w:val="both"/>
        <w:rPr>
          <w:rFonts w:ascii="Times New Roman" w:hAnsi="Times New Roman" w:cs="Times New Roman"/>
          <w:sz w:val="24"/>
          <w:szCs w:val="24"/>
          <w:lang w:val="es-PE"/>
        </w:rPr>
      </w:pPr>
      <w:r w:rsidRPr="0041626C">
        <w:rPr>
          <w:rFonts w:ascii="Times New Roman" w:hAnsi="Times New Roman" w:cs="Times New Roman"/>
          <w:sz w:val="24"/>
          <w:szCs w:val="24"/>
          <w:lang w:val="es-PE"/>
        </w:rPr>
        <w:t>Conforme a lo anterior, se deja expresa constancia que la descalificación de la reclamación no radica en una inobservancia de una carga contractual sobre realizar una denuncia policial en determinado plazo (5 horas), dado que la aseguradora no ha demostrado que era de conocimiento del asegurado dicha carga de manera previa, adecuada y suficiente, sino que lo sucedido carece de cobertura, no se trata de un riesgo contratado o aceptado por la aseguradora, de allí la improcedencia de lo reclamado (numeral es 6.3, 6.5 y 6.6 de la resolución impugnada, respecto a los cuales se invoca a una serena lectura).</w:t>
      </w:r>
    </w:p>
    <w:p w:rsidRPr="0041626C" w:rsidR="0041626C" w:rsidP="0041626C" w:rsidRDefault="0041626C" w14:paraId="04A944E6" w14:textId="77777777">
      <w:pPr>
        <w:tabs>
          <w:tab w:val="left" w:pos="2160"/>
        </w:tabs>
        <w:spacing w:after="0" w:line="240" w:lineRule="auto"/>
        <w:jc w:val="both"/>
        <w:rPr>
          <w:rFonts w:ascii="Times New Roman" w:hAnsi="Times New Roman" w:cs="Times New Roman"/>
          <w:sz w:val="24"/>
          <w:szCs w:val="24"/>
          <w:lang w:val="es-PE"/>
        </w:rPr>
      </w:pPr>
    </w:p>
    <w:p w:rsidRPr="0041626C" w:rsidR="0041626C" w:rsidP="0041626C" w:rsidRDefault="0041626C" w14:paraId="6CC4E0C0" w14:textId="77777777">
      <w:pPr>
        <w:tabs>
          <w:tab w:val="left" w:pos="2160"/>
        </w:tabs>
        <w:spacing w:after="0" w:line="240" w:lineRule="auto"/>
        <w:jc w:val="both"/>
        <w:rPr>
          <w:rFonts w:ascii="Times New Roman" w:hAnsi="Times New Roman" w:cs="Times New Roman"/>
          <w:sz w:val="24"/>
          <w:szCs w:val="24"/>
          <w:lang w:val="es-ES"/>
        </w:rPr>
      </w:pPr>
      <w:r w:rsidRPr="0041626C">
        <w:rPr>
          <w:rFonts w:ascii="Times New Roman" w:hAnsi="Times New Roman" w:cs="Times New Roman"/>
          <w:sz w:val="24"/>
          <w:szCs w:val="24"/>
          <w:lang w:val="es-ES"/>
        </w:rPr>
        <w:t>En atención a las consideraciones precedentes, este colegiado aprecia que no existe definitivamente mérito ni razón objetiva para revocar la resolución recurrida; por lo tanto,</w:t>
      </w:r>
    </w:p>
    <w:p w:rsidRPr="0041626C" w:rsidR="0041626C" w:rsidP="0041626C" w:rsidRDefault="0041626C" w14:paraId="57EF249A" w14:textId="77777777">
      <w:pPr>
        <w:spacing w:after="0" w:line="240" w:lineRule="auto"/>
        <w:jc w:val="both"/>
        <w:rPr>
          <w:rFonts w:ascii="Times New Roman" w:hAnsi="Times New Roman" w:eastAsia="Times New Roman" w:cs="Times New Roman"/>
          <w:bCs/>
          <w:sz w:val="24"/>
          <w:szCs w:val="24"/>
          <w:lang w:val="es-ES" w:eastAsia="ar-SA"/>
        </w:rPr>
      </w:pPr>
    </w:p>
    <w:p w:rsidRPr="0041626C" w:rsidR="0041626C" w:rsidP="0041626C" w:rsidRDefault="0041626C" w14:paraId="0C5C15B8" w14:textId="77777777">
      <w:pPr>
        <w:spacing w:after="0" w:line="240" w:lineRule="auto"/>
        <w:jc w:val="both"/>
        <w:rPr>
          <w:rFonts w:ascii="Times New Roman" w:hAnsi="Times New Roman" w:cs="Times New Roman"/>
          <w:b/>
          <w:sz w:val="24"/>
          <w:szCs w:val="24"/>
          <w:lang w:val="es-PE"/>
        </w:rPr>
      </w:pPr>
      <w:r w:rsidRPr="0041626C">
        <w:rPr>
          <w:rFonts w:ascii="Times New Roman" w:hAnsi="Times New Roman" w:cs="Times New Roman"/>
          <w:b/>
          <w:sz w:val="24"/>
          <w:szCs w:val="24"/>
          <w:lang w:val="es-PE"/>
        </w:rPr>
        <w:t>Atendiendo a lo expresado, conforme a su reglamento, este colegiado resuelve:</w:t>
      </w:r>
    </w:p>
    <w:p w:rsidRPr="0041626C" w:rsidR="0041626C" w:rsidP="0041626C" w:rsidRDefault="0041626C" w14:paraId="43B9EB4A" w14:textId="77777777">
      <w:pPr>
        <w:spacing w:after="0" w:line="240" w:lineRule="auto"/>
        <w:jc w:val="both"/>
        <w:rPr>
          <w:rFonts w:ascii="Times New Roman" w:hAnsi="Times New Roman" w:eastAsia="Arial Unicode MS" w:cs="Times New Roman"/>
          <w:b/>
          <w:sz w:val="24"/>
          <w:szCs w:val="24"/>
          <w:lang w:val="es-PE"/>
        </w:rPr>
      </w:pPr>
    </w:p>
    <w:p w:rsidRPr="0041626C" w:rsidR="0041626C" w:rsidP="0041626C" w:rsidRDefault="0041626C" w14:paraId="4E845F9B" w14:textId="77B99918">
      <w:pPr>
        <w:spacing w:after="0" w:line="240" w:lineRule="auto"/>
        <w:jc w:val="both"/>
        <w:rPr>
          <w:rFonts w:ascii="Times New Roman" w:hAnsi="Times New Roman" w:eastAsia="Arial Unicode MS" w:cs="Times New Roman"/>
          <w:sz w:val="24"/>
          <w:szCs w:val="24"/>
          <w:lang w:val="es-PE"/>
        </w:rPr>
      </w:pPr>
      <w:r w:rsidRPr="34028521" w:rsidR="0041626C">
        <w:rPr>
          <w:rFonts w:ascii="Times New Roman" w:hAnsi="Times New Roman" w:eastAsia="Arial Unicode MS" w:cs="Times New Roman"/>
          <w:b w:val="1"/>
          <w:bCs w:val="1"/>
          <w:sz w:val="24"/>
          <w:szCs w:val="24"/>
          <w:lang w:val="es-PE"/>
        </w:rPr>
        <w:t xml:space="preserve">Declarar INFUNDADO el recurso impugnativo </w:t>
      </w:r>
      <w:r w:rsidRPr="34028521" w:rsidR="0041626C">
        <w:rPr>
          <w:rFonts w:ascii="Times New Roman" w:hAnsi="Times New Roman" w:eastAsia="Arial Unicode MS" w:cs="Times New Roman"/>
          <w:sz w:val="24"/>
          <w:szCs w:val="24"/>
          <w:lang w:val="es-PE"/>
        </w:rPr>
        <w:t xml:space="preserve">interpuesto por </w:t>
      </w:r>
      <w:r w:rsidRPr="34028521" w:rsidR="0041626C">
        <w:rPr>
          <w:rFonts w:ascii="Times New Roman" w:hAnsi="Times New Roman" w:eastAsia="Times New Roman" w:cs="Times New Roman"/>
          <w:sz w:val="24"/>
          <w:szCs w:val="24"/>
          <w:lang w:val="es-ES" w:eastAsia="ar-SA"/>
        </w:rPr>
        <w:t>don</w:t>
      </w:r>
      <w:r w:rsidRPr="34028521" w:rsidR="0041626C">
        <w:rPr>
          <w:rFonts w:ascii="Times New Roman" w:hAnsi="Times New Roman" w:cs="Times New Roman"/>
          <w:sz w:val="24"/>
          <w:szCs w:val="24"/>
          <w:lang w:val="es-ES"/>
        </w:rPr>
        <w:t xml:space="preserve"> </w:t>
      </w:r>
      <w:r w:rsidRPr="34028521" w:rsidR="4C4E51F3">
        <w:rPr>
          <w:rFonts w:ascii="Times New Roman" w:hAnsi="Times New Roman" w:cs="Times New Roman"/>
          <w:sz w:val="24"/>
          <w:szCs w:val="24"/>
          <w:lang w:val="es-ES"/>
        </w:rPr>
        <w:t>...................................</w:t>
      </w:r>
      <w:r w:rsidRPr="34028521" w:rsidR="0041626C">
        <w:rPr>
          <w:rFonts w:ascii="Times New Roman" w:hAnsi="Times New Roman" w:eastAsia="Times New Roman" w:cs="Times New Roman"/>
          <w:sz w:val="24"/>
          <w:szCs w:val="24"/>
          <w:lang w:val="es-ES" w:eastAsia="ar-SA"/>
        </w:rPr>
        <w:t xml:space="preserve"> </w:t>
      </w:r>
      <w:r w:rsidRPr="34028521" w:rsidR="0041626C">
        <w:rPr>
          <w:rFonts w:ascii="Times New Roman" w:hAnsi="Times New Roman" w:cs="Times New Roman"/>
          <w:sz w:val="24"/>
          <w:szCs w:val="24"/>
          <w:lang w:val="es-ES"/>
        </w:rPr>
        <w:t>y, por consiguiente,</w:t>
      </w:r>
      <w:r w:rsidRPr="34028521" w:rsidR="0041626C">
        <w:rPr>
          <w:rFonts w:ascii="Times New Roman" w:hAnsi="Times New Roman" w:cs="Times New Roman"/>
          <w:sz w:val="24"/>
          <w:szCs w:val="24"/>
          <w:lang w:val="es-PE"/>
        </w:rPr>
        <w:t xml:space="preserve"> ratificar la</w:t>
      </w:r>
      <w:r w:rsidRPr="34028521" w:rsidR="0041626C">
        <w:rPr>
          <w:rFonts w:ascii="Times New Roman" w:hAnsi="Times New Roman" w:eastAsia="Times New Roman" w:cs="Times New Roman"/>
          <w:sz w:val="24"/>
          <w:szCs w:val="24"/>
          <w:lang w:val="es-ES" w:eastAsia="ar-SA"/>
        </w:rPr>
        <w:t xml:space="preserve"> Resolución Nro. 116/20, del 14 de diciembre de 2020</w:t>
      </w:r>
      <w:r w:rsidRPr="34028521" w:rsidR="0041626C">
        <w:rPr>
          <w:rFonts w:ascii="Times New Roman" w:hAnsi="Times New Roman" w:cs="Times New Roman"/>
          <w:sz w:val="24"/>
          <w:szCs w:val="24"/>
          <w:lang w:val="es-PE"/>
        </w:rPr>
        <w:t>.</w:t>
      </w:r>
    </w:p>
    <w:p w:rsidRPr="00B115C4" w:rsidR="00072C60" w:rsidP="00072C60" w:rsidRDefault="00072C60" w14:paraId="4E35F8B4"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B115C4" w:rsidR="00077B6F" w:rsidP="00C671F5" w:rsidRDefault="0091528B" w14:paraId="78A39B5B" w14:textId="1F3F2DF6">
      <w:pPr>
        <w:suppressAutoHyphens/>
        <w:spacing w:after="0" w:line="240" w:lineRule="auto"/>
        <w:jc w:val="right"/>
        <w:outlineLvl w:val="0"/>
        <w:rPr>
          <w:rFonts w:ascii="Times New Roman" w:hAnsi="Times New Roman" w:eastAsia="Arial Unicode MS" w:cs="Times New Roman"/>
          <w:sz w:val="24"/>
          <w:szCs w:val="24"/>
          <w:lang w:val="es-PE" w:eastAsia="ar-SA"/>
        </w:rPr>
      </w:pPr>
      <w:r w:rsidRPr="00B115C4">
        <w:rPr>
          <w:rFonts w:ascii="Times New Roman" w:hAnsi="Times New Roman" w:eastAsia="Arial Unicode MS" w:cs="Times New Roman"/>
          <w:sz w:val="24"/>
          <w:szCs w:val="24"/>
          <w:lang w:val="es-PE" w:eastAsia="ar-SA"/>
        </w:rPr>
        <w:t xml:space="preserve">Lima, </w:t>
      </w:r>
      <w:r w:rsidR="0041626C">
        <w:rPr>
          <w:rFonts w:ascii="Times New Roman" w:hAnsi="Times New Roman" w:eastAsia="Arial Unicode MS" w:cs="Times New Roman"/>
          <w:sz w:val="24"/>
          <w:szCs w:val="24"/>
          <w:lang w:val="es-PE" w:eastAsia="ar-SA"/>
        </w:rPr>
        <w:t>2</w:t>
      </w:r>
      <w:r w:rsidRPr="00B115C4" w:rsidR="00707C99">
        <w:rPr>
          <w:rFonts w:ascii="Times New Roman" w:hAnsi="Times New Roman" w:eastAsia="Arial Unicode MS" w:cs="Times New Roman"/>
          <w:sz w:val="24"/>
          <w:szCs w:val="24"/>
          <w:lang w:val="es-PE" w:eastAsia="ar-SA"/>
        </w:rPr>
        <w:t xml:space="preserve"> de </w:t>
      </w:r>
      <w:r w:rsidRPr="00B115C4" w:rsidR="00AF16B6">
        <w:rPr>
          <w:rFonts w:ascii="Times New Roman" w:hAnsi="Times New Roman" w:eastAsia="Arial Unicode MS" w:cs="Times New Roman"/>
          <w:sz w:val="24"/>
          <w:szCs w:val="24"/>
          <w:lang w:val="es-PE" w:eastAsia="ar-SA"/>
        </w:rPr>
        <w:t>febrero</w:t>
      </w:r>
      <w:r w:rsidRPr="00B115C4" w:rsidR="00F06498">
        <w:rPr>
          <w:rFonts w:ascii="Times New Roman" w:hAnsi="Times New Roman" w:eastAsia="Arial Unicode MS" w:cs="Times New Roman"/>
          <w:sz w:val="24"/>
          <w:szCs w:val="24"/>
          <w:lang w:val="es-PE" w:eastAsia="ar-SA"/>
        </w:rPr>
        <w:t xml:space="preserve"> de 202</w:t>
      </w:r>
      <w:r w:rsidRPr="00B115C4" w:rsidR="00231C58">
        <w:rPr>
          <w:rFonts w:ascii="Times New Roman" w:hAnsi="Times New Roman" w:eastAsia="Arial Unicode MS" w:cs="Times New Roman"/>
          <w:sz w:val="24"/>
          <w:szCs w:val="24"/>
          <w:lang w:val="es-PE" w:eastAsia="ar-SA"/>
        </w:rPr>
        <w:t>1</w:t>
      </w:r>
      <w:r w:rsidRPr="00B115C4" w:rsidR="00707C99">
        <w:rPr>
          <w:rFonts w:ascii="Times New Roman" w:hAnsi="Times New Roman" w:eastAsia="Times New Roman" w:cs="Times New Roman"/>
          <w:sz w:val="24"/>
          <w:szCs w:val="24"/>
          <w:lang w:val="es-PE" w:eastAsia="ar-SA"/>
        </w:rPr>
        <w:t xml:space="preserve"> </w:t>
      </w:r>
    </w:p>
    <w:p w:rsidRPr="00B115C4"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B115C4"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B115C4"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B115C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115C4"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B115C4"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B115C4">
        <w:rPr>
          <w:rFonts w:ascii="Times New Roman" w:hAnsi="Times New Roman" w:cs="Times New Roman"/>
          <w:b/>
          <w:bCs/>
          <w:sz w:val="24"/>
          <w:szCs w:val="24"/>
          <w:lang w:val="es-PE"/>
        </w:rPr>
        <w:t xml:space="preserve">María Eugenia Valdez Fernández Baca </w:t>
      </w:r>
      <w:r w:rsidRPr="00B115C4" w:rsidR="00C671F5">
        <w:rPr>
          <w:rFonts w:ascii="Times New Roman" w:hAnsi="Times New Roman" w:cs="Times New Roman"/>
          <w:b/>
          <w:bCs/>
          <w:sz w:val="24"/>
          <w:szCs w:val="24"/>
          <w:lang w:val="es-PE"/>
        </w:rPr>
        <w:t xml:space="preserve">– </w:t>
      </w:r>
      <w:proofErr w:type="gramStart"/>
      <w:r w:rsidRPr="00B115C4" w:rsidR="00C671F5">
        <w:rPr>
          <w:rFonts w:ascii="Times New Roman" w:hAnsi="Times New Roman" w:cs="Times New Roman"/>
          <w:b/>
          <w:bCs/>
          <w:sz w:val="24"/>
          <w:szCs w:val="24"/>
          <w:lang w:val="es-PE"/>
        </w:rPr>
        <w:t>Presidente</w:t>
      </w:r>
      <w:proofErr w:type="gramEnd"/>
    </w:p>
    <w:p w:rsidRPr="00B115C4" w:rsidR="00C671F5" w:rsidP="00C671F5" w:rsidRDefault="00C671F5" w14:paraId="55E7D9D7" w14:textId="724A8615">
      <w:pPr>
        <w:spacing w:after="0" w:line="360" w:lineRule="auto"/>
        <w:jc w:val="center"/>
        <w:rPr>
          <w:rFonts w:ascii="Times New Roman" w:hAnsi="Times New Roman" w:cs="Times New Roman"/>
          <w:b/>
          <w:bCs/>
          <w:sz w:val="24"/>
          <w:szCs w:val="24"/>
          <w:lang w:val="es-PE"/>
        </w:rPr>
      </w:pPr>
      <w:r w:rsidRPr="00B115C4">
        <w:rPr>
          <w:rFonts w:ascii="Times New Roman" w:hAnsi="Times New Roman" w:cs="Times New Roman"/>
          <w:b/>
          <w:bCs/>
          <w:sz w:val="24"/>
          <w:szCs w:val="24"/>
          <w:lang w:val="es-PE"/>
        </w:rPr>
        <w:t>Marco Antonio Ortega Piana – Vocal</w:t>
      </w:r>
    </w:p>
    <w:p w:rsidRPr="00B115C4"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B115C4">
        <w:rPr>
          <w:rFonts w:ascii="Times New Roman" w:hAnsi="Times New Roman" w:cs="Times New Roman"/>
          <w:b/>
          <w:bCs/>
          <w:sz w:val="24"/>
          <w:szCs w:val="24"/>
          <w:lang w:val="es-PE"/>
        </w:rPr>
        <w:t xml:space="preserve">Rolando Eyzaguirre </w:t>
      </w:r>
      <w:proofErr w:type="spellStart"/>
      <w:r w:rsidRPr="00B115C4">
        <w:rPr>
          <w:rFonts w:ascii="Times New Roman" w:hAnsi="Times New Roman" w:cs="Times New Roman"/>
          <w:b/>
          <w:bCs/>
          <w:sz w:val="24"/>
          <w:szCs w:val="24"/>
          <w:lang w:val="es-PE"/>
        </w:rPr>
        <w:t>Maccan</w:t>
      </w:r>
      <w:proofErr w:type="spellEnd"/>
      <w:r w:rsidRPr="00B115C4">
        <w:rPr>
          <w:rFonts w:ascii="Times New Roman" w:hAnsi="Times New Roman" w:cs="Times New Roman"/>
          <w:b/>
          <w:bCs/>
          <w:sz w:val="24"/>
          <w:szCs w:val="24"/>
          <w:lang w:val="es-PE"/>
        </w:rPr>
        <w:t xml:space="preserve"> – Vocal</w:t>
      </w:r>
    </w:p>
    <w:p w:rsidRPr="00B115C4"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B115C4">
        <w:rPr>
          <w:rFonts w:ascii="Times New Roman" w:hAnsi="Times New Roman" w:cs="Times New Roman"/>
          <w:b/>
          <w:bCs/>
          <w:sz w:val="24"/>
          <w:szCs w:val="24"/>
          <w:lang w:val="es-PE"/>
        </w:rPr>
        <w:t xml:space="preserve">Gonzalo Abad del Busto </w:t>
      </w:r>
      <w:r w:rsidRPr="00B115C4" w:rsidR="00231C58">
        <w:rPr>
          <w:rFonts w:ascii="Times New Roman" w:hAnsi="Times New Roman" w:cs="Times New Roman"/>
          <w:b/>
          <w:bCs/>
          <w:sz w:val="24"/>
          <w:szCs w:val="24"/>
          <w:lang w:val="es-PE"/>
        </w:rPr>
        <w:t xml:space="preserve">– </w:t>
      </w:r>
      <w:r w:rsidRPr="00B115C4">
        <w:rPr>
          <w:rFonts w:ascii="Times New Roman" w:hAnsi="Times New Roman" w:cs="Times New Roman"/>
          <w:b/>
          <w:bCs/>
          <w:sz w:val="24"/>
          <w:szCs w:val="24"/>
          <w:lang w:val="es-PE"/>
        </w:rPr>
        <w:t>Vocal</w:t>
      </w:r>
    </w:p>
    <w:p w:rsidRPr="0061360C" w:rsidR="00C671F5" w:rsidP="00C671F5" w:rsidRDefault="00C671F5" w14:paraId="33E0FAB8" w14:textId="77777777">
      <w:pPr>
        <w:suppressAutoHyphens/>
        <w:spacing w:after="0" w:line="360" w:lineRule="auto"/>
        <w:outlineLvl w:val="0"/>
        <w:rPr>
          <w:rFonts w:ascii="Times New Roman" w:hAnsi="Times New Roman" w:eastAsia="Arial Unicode MS" w:cs="Times New Roman"/>
          <w:lang w:val="es-PE" w:eastAsia="ar-SA"/>
        </w:rPr>
      </w:pPr>
    </w:p>
    <w:p w:rsidRPr="0061360C"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61360C"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865E7" w:rsidP="00784355" w:rsidRDefault="00E865E7" w14:paraId="11402C1F" w14:textId="77777777">
      <w:pPr>
        <w:spacing w:after="0" w:line="240" w:lineRule="auto"/>
      </w:pPr>
      <w:r>
        <w:separator/>
      </w:r>
    </w:p>
  </w:endnote>
  <w:endnote w:type="continuationSeparator" w:id="0">
    <w:p w:rsidR="00E865E7" w:rsidP="00784355" w:rsidRDefault="00E865E7" w14:paraId="439E25B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865E7" w:rsidP="00784355" w:rsidRDefault="00E865E7" w14:paraId="0BF98308" w14:textId="77777777">
      <w:pPr>
        <w:spacing w:after="0" w:line="240" w:lineRule="auto"/>
      </w:pPr>
      <w:r>
        <w:separator/>
      </w:r>
    </w:p>
  </w:footnote>
  <w:footnote w:type="continuationSeparator" w:id="0">
    <w:p w:rsidR="00E865E7" w:rsidP="00784355" w:rsidRDefault="00E865E7" w14:paraId="5705202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1A86F624"/>
    <w:rsid w:val="1D1CA59F"/>
    <w:rsid w:val="28DC3D59"/>
    <w:rsid w:val="2B0A535C"/>
    <w:rsid w:val="2E80C685"/>
    <w:rsid w:val="303EF67E"/>
    <w:rsid w:val="34028521"/>
    <w:rsid w:val="34682D26"/>
    <w:rsid w:val="39F181C0"/>
    <w:rsid w:val="4C4E51F3"/>
    <w:rsid w:val="5D2B2353"/>
    <w:rsid w:val="6D143659"/>
    <w:rsid w:val="7EDF0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4156E98-B26F-4032-A8CD-69D0B2E09753}"/>
</file>

<file path=customXml/itemProps3.xml><?xml version="1.0" encoding="utf-8"?>
<ds:datastoreItem xmlns:ds="http://schemas.openxmlformats.org/officeDocument/2006/customXml" ds:itemID="{2320A8E6-4908-4115-8421-DED953A72518}"/>
</file>

<file path=customXml/itemProps4.xml><?xml version="1.0" encoding="utf-8"?>
<ds:datastoreItem xmlns:ds="http://schemas.openxmlformats.org/officeDocument/2006/customXml" ds:itemID="{E8143F26-E872-4B60-A163-300480F76A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24</cp:revision>
  <cp:lastPrinted>2021-02-02T16:06:00Z</cp:lastPrinted>
  <dcterms:created xsi:type="dcterms:W3CDTF">2020-12-18T20:17:00Z</dcterms:created>
  <dcterms:modified xsi:type="dcterms:W3CDTF">2026-01-27T20:25:08Z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