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0ED23E14" w:rsidR="00707C99" w:rsidRPr="000752E4" w:rsidRDefault="00201C0D" w:rsidP="00072C60">
      <w:pPr>
        <w:spacing w:after="0" w:line="240" w:lineRule="auto"/>
        <w:jc w:val="center"/>
        <w:rPr>
          <w:rFonts w:ascii="Times New Roman" w:hAnsi="Times New Roman" w:cs="Times New Roman"/>
          <w:b/>
          <w:sz w:val="24"/>
          <w:szCs w:val="24"/>
          <w:lang w:val="es-PE" w:eastAsia="ar-SA"/>
        </w:rPr>
      </w:pPr>
      <w:r w:rsidRPr="000752E4">
        <w:rPr>
          <w:rFonts w:ascii="Times New Roman" w:hAnsi="Times New Roman" w:cs="Times New Roman"/>
          <w:b/>
          <w:sz w:val="24"/>
          <w:szCs w:val="24"/>
          <w:lang w:val="es-PE" w:eastAsia="ar-SA"/>
        </w:rPr>
        <w:t xml:space="preserve">RESOLUCIÓN DE RECURSO IMPUGNATIVO </w:t>
      </w:r>
      <w:r w:rsidR="00707C99" w:rsidRPr="000752E4">
        <w:rPr>
          <w:rFonts w:ascii="Times New Roman" w:hAnsi="Times New Roman" w:cs="Times New Roman"/>
          <w:b/>
          <w:sz w:val="24"/>
          <w:szCs w:val="24"/>
          <w:lang w:val="es-PE" w:eastAsia="ar-SA"/>
        </w:rPr>
        <w:t xml:space="preserve">N° </w:t>
      </w:r>
      <w:r w:rsidR="00C671F5" w:rsidRPr="000752E4">
        <w:rPr>
          <w:rFonts w:ascii="Times New Roman" w:hAnsi="Times New Roman" w:cs="Times New Roman"/>
          <w:b/>
          <w:sz w:val="24"/>
          <w:szCs w:val="24"/>
          <w:lang w:val="es-PE" w:eastAsia="ar-SA"/>
        </w:rPr>
        <w:t>0</w:t>
      </w:r>
      <w:r w:rsidR="000752E4" w:rsidRPr="000752E4">
        <w:rPr>
          <w:rFonts w:ascii="Times New Roman" w:hAnsi="Times New Roman" w:cs="Times New Roman"/>
          <w:b/>
          <w:sz w:val="24"/>
          <w:szCs w:val="24"/>
          <w:lang w:val="es-PE" w:eastAsia="ar-SA"/>
        </w:rPr>
        <w:t>10</w:t>
      </w:r>
      <w:r w:rsidR="00C671F5" w:rsidRPr="000752E4">
        <w:rPr>
          <w:rFonts w:ascii="Times New Roman" w:hAnsi="Times New Roman" w:cs="Times New Roman"/>
          <w:b/>
          <w:sz w:val="24"/>
          <w:szCs w:val="24"/>
          <w:lang w:val="es-PE" w:eastAsia="ar-SA"/>
        </w:rPr>
        <w:t>/2</w:t>
      </w:r>
      <w:r w:rsidR="00231C58" w:rsidRPr="000752E4">
        <w:rPr>
          <w:rFonts w:ascii="Times New Roman" w:hAnsi="Times New Roman" w:cs="Times New Roman"/>
          <w:b/>
          <w:sz w:val="24"/>
          <w:szCs w:val="24"/>
          <w:lang w:val="es-PE" w:eastAsia="ar-SA"/>
        </w:rPr>
        <w:t>1</w:t>
      </w:r>
    </w:p>
    <w:p w14:paraId="428240E5" w14:textId="06F06948" w:rsidR="00707C99" w:rsidRPr="000752E4"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500397C4" w14:textId="77777777" w:rsidR="00B32325" w:rsidRPr="000752E4" w:rsidRDefault="00B32325"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64325F63" w14:textId="6F3E8234" w:rsidR="000752E4" w:rsidRPr="000752E4" w:rsidRDefault="000752E4" w:rsidP="000752E4">
      <w:pPr>
        <w:jc w:val="both"/>
        <w:outlineLvl w:val="0"/>
        <w:rPr>
          <w:rFonts w:ascii="Times New Roman" w:hAnsi="Times New Roman" w:cs="Times New Roman"/>
          <w:b/>
          <w:sz w:val="24"/>
          <w:szCs w:val="24"/>
          <w:lang w:val="es-MX"/>
        </w:rPr>
      </w:pPr>
      <w:r w:rsidRPr="000752E4">
        <w:rPr>
          <w:rFonts w:ascii="Times New Roman" w:hAnsi="Times New Roman" w:cs="Times New Roman"/>
          <w:b/>
          <w:sz w:val="24"/>
          <w:szCs w:val="24"/>
          <w:lang w:val="es-MX"/>
        </w:rPr>
        <w:t>VISTOS:</w:t>
      </w:r>
    </w:p>
    <w:p w14:paraId="50B24EAA" w14:textId="38FC7EB0" w:rsidR="000752E4" w:rsidRPr="000752E4" w:rsidRDefault="000752E4" w:rsidP="000752E4">
      <w:pPr>
        <w:jc w:val="both"/>
        <w:rPr>
          <w:rFonts w:ascii="Times New Roman" w:hAnsi="Times New Roman" w:cs="Times New Roman"/>
          <w:bCs/>
          <w:sz w:val="24"/>
          <w:szCs w:val="24"/>
          <w:lang w:val="es-PE"/>
        </w:rPr>
      </w:pPr>
      <w:r w:rsidRPr="000752E4">
        <w:rPr>
          <w:rFonts w:ascii="Times New Roman" w:hAnsi="Times New Roman" w:cs="Times New Roman"/>
          <w:bCs/>
          <w:sz w:val="24"/>
          <w:szCs w:val="24"/>
          <w:lang w:val="es-PE"/>
        </w:rPr>
        <w:t xml:space="preserve">El recurso de impugnación presentado el 27 de enero de 2021 por doña </w:t>
      </w:r>
      <w:r w:rsidR="00D906DD" w:rsidRPr="00D906DD">
        <w:rPr>
          <w:rFonts w:ascii="Arial" w:hAnsi="Arial" w:cs="Arial"/>
          <w:lang w:val="es-PE"/>
        </w:rPr>
        <w:t>...................</w:t>
      </w:r>
      <w:r w:rsidRPr="000752E4">
        <w:rPr>
          <w:rFonts w:ascii="Times New Roman" w:hAnsi="Times New Roman" w:cs="Times New Roman"/>
          <w:bCs/>
          <w:sz w:val="24"/>
          <w:szCs w:val="24"/>
          <w:lang w:val="es-PE"/>
        </w:rPr>
        <w:t xml:space="preserve"> respecto de la Resolución Nro. 006/21 de fecha 21 de enero de 2021, expedida por esta Defensoría del Asegurado (DEFASEG), conforme a la cual se declaró INFUNDADA la reclamación interpuesta contra </w:t>
      </w:r>
      <w:r w:rsidR="00D906DD" w:rsidRPr="00D906DD">
        <w:rPr>
          <w:rFonts w:ascii="Arial" w:hAnsi="Arial" w:cs="Arial"/>
          <w:lang w:val="es-PE"/>
        </w:rPr>
        <w:t>...................</w:t>
      </w:r>
      <w:r w:rsidR="00D906DD" w:rsidRPr="00D906DD">
        <w:rPr>
          <w:rFonts w:ascii="Arial" w:hAnsi="Arial" w:cs="Arial"/>
          <w:lang w:val="es-PE"/>
        </w:rPr>
        <w:t xml:space="preserve"> </w:t>
      </w:r>
      <w:r w:rsidRPr="000752E4">
        <w:rPr>
          <w:rFonts w:ascii="Times New Roman" w:hAnsi="Times New Roman" w:cs="Times New Roman"/>
          <w:bCs/>
          <w:sz w:val="24"/>
          <w:szCs w:val="24"/>
          <w:lang w:val="es-PE"/>
        </w:rPr>
        <w:t xml:space="preserve">respecto al Seguro de Desgravamen contratada a través de CMAC SULLANA S.A.;  </w:t>
      </w:r>
    </w:p>
    <w:p w14:paraId="6380BFA0" w14:textId="77777777" w:rsidR="000752E4" w:rsidRPr="000752E4" w:rsidRDefault="000752E4" w:rsidP="000752E4">
      <w:pPr>
        <w:pStyle w:val="Textoindependiente"/>
        <w:rPr>
          <w:lang w:val="es-PE"/>
        </w:rPr>
      </w:pPr>
      <w:r w:rsidRPr="000752E4">
        <w:rPr>
          <w:lang w:val="es-PE"/>
        </w:rPr>
        <w:t xml:space="preserve">Que, el indicado recurso se sustenta resumidamente en lo siguiente: a) considera que la exclusión de epidemia es una cláusula abusiva por cuanto fue redactada de manera unilateral por la aseguradora; b) que lo que se excluye son las epidemias y no las pandemias, que se ha realizado una interpretación extensiva y por analogía lo cual no corresponde pues de acuerdo a lo establecido en el título preliminar del código civil la ley que establece excepciones o restringe derechos no se aplica por analogía; c)  que las aseguradoras en general sí vienen realizando pago de siniestros por Covid-19, tal y como ha sido reconocido en una nota publicada en la página web de la APESEG, donde incluso se señala que se registra un mayor número de casos atendidos por el seguro de desgravamen, sepelio entre otros. </w:t>
      </w:r>
    </w:p>
    <w:p w14:paraId="5D443E3B" w14:textId="77777777" w:rsidR="000752E4" w:rsidRPr="000752E4" w:rsidRDefault="000752E4" w:rsidP="000752E4">
      <w:pPr>
        <w:pStyle w:val="Textoindependiente"/>
        <w:rPr>
          <w:lang w:val="es-PE"/>
        </w:rPr>
      </w:pPr>
    </w:p>
    <w:p w14:paraId="1E1446DC" w14:textId="77777777" w:rsidR="000752E4" w:rsidRPr="000752E4" w:rsidRDefault="000752E4" w:rsidP="000752E4">
      <w:pPr>
        <w:pStyle w:val="Default"/>
        <w:jc w:val="both"/>
        <w:rPr>
          <w:rFonts w:ascii="Times New Roman" w:hAnsi="Times New Roman" w:cs="Times New Roman"/>
          <w:bCs/>
        </w:rPr>
      </w:pPr>
      <w:r w:rsidRPr="000752E4">
        <w:rPr>
          <w:rFonts w:ascii="Times New Roman" w:hAnsi="Times New Roman" w:cs="Times New Roman"/>
          <w:bCs/>
        </w:rPr>
        <w:t>Que, habiéndose corrido traslado de la respectiva impugnación a la empresa aseguradora, esta absolvió el 1ro de febrero de 2021, señalando resumidamente lo siguiente: a) que la DEFASEG es competente únicamente para resolver reclamos referidos al rechazo o liquidación de siniestro analizando si la decisión de la Compañía es conforme a derecho, no siendo competente para conocer reclamos sobre cláusulas abusivas; sin perjuicio de ello, las compañías de seguros operan en todo el mundo con cláusulas preimpresas, por lo que dicha circunstancia no constituye un supuesto de cláusulas abusivas; b) que de otro lado, las pólizas de seguros no contienen condiciones idénticas, pudiendo tener estipulaciones distintas no solo entre compañías de seguros, sino también entre productos´; c) que no se ha realizado una interpretación extensiva, que es absurdo sostener que la Covid-19 pueda tener una categoría de pandemia sin ser una epidemia, debido a que no son categorías excluyentes, sino que una pandemia constituye una epidemia que ha extendido sus efectos a otros países e incluso continentes por lo que dicho argumento debe desestimarse de plano; d) finalmente señalan que no pude sustentarse una impugnación en notas informativas de APESEG debido a que corresponde a información genérica y de otro tipo de productos de desgravamen.</w:t>
      </w:r>
    </w:p>
    <w:p w14:paraId="0AEF2F35" w14:textId="77777777" w:rsidR="000752E4" w:rsidRPr="000752E4" w:rsidRDefault="000752E4" w:rsidP="000752E4">
      <w:pPr>
        <w:pStyle w:val="Default"/>
        <w:jc w:val="both"/>
        <w:rPr>
          <w:rFonts w:ascii="Times New Roman" w:hAnsi="Times New Roman" w:cs="Times New Roman"/>
          <w:bCs/>
        </w:rPr>
      </w:pPr>
    </w:p>
    <w:p w14:paraId="14F2AA18" w14:textId="77777777" w:rsidR="000752E4" w:rsidRPr="000752E4" w:rsidRDefault="000752E4" w:rsidP="000752E4">
      <w:pPr>
        <w:pStyle w:val="Textoindependiente"/>
        <w:tabs>
          <w:tab w:val="left" w:pos="930"/>
        </w:tabs>
        <w:rPr>
          <w:lang w:val="es-PE"/>
        </w:rPr>
      </w:pPr>
      <w:r w:rsidRPr="000752E4">
        <w:rPr>
          <w:lang w:val="es-PE"/>
        </w:rPr>
        <w:t>Atendiendo a lo expuesto, esta Defensoría resuelve finalmente lo siguiente:</w:t>
      </w:r>
    </w:p>
    <w:p w14:paraId="3C742A25" w14:textId="77777777" w:rsidR="000752E4" w:rsidRPr="000752E4" w:rsidRDefault="000752E4" w:rsidP="000752E4">
      <w:pPr>
        <w:pStyle w:val="Default"/>
        <w:jc w:val="both"/>
        <w:rPr>
          <w:rFonts w:ascii="Times New Roman" w:hAnsi="Times New Roman" w:cs="Times New Roman"/>
          <w:bCs/>
        </w:rPr>
      </w:pPr>
    </w:p>
    <w:p w14:paraId="4F819599" w14:textId="77777777" w:rsidR="000752E4" w:rsidRPr="000752E4" w:rsidRDefault="000752E4" w:rsidP="000752E4">
      <w:pPr>
        <w:jc w:val="both"/>
        <w:rPr>
          <w:rFonts w:ascii="Times New Roman" w:hAnsi="Times New Roman" w:cs="Times New Roman"/>
          <w:bCs/>
          <w:sz w:val="24"/>
          <w:szCs w:val="24"/>
          <w:lang w:val="es-PE"/>
        </w:rPr>
      </w:pPr>
      <w:r w:rsidRPr="000752E4">
        <w:rPr>
          <w:rFonts w:ascii="Times New Roman" w:hAnsi="Times New Roman" w:cs="Times New Roman"/>
          <w:b/>
          <w:sz w:val="24"/>
          <w:szCs w:val="24"/>
          <w:u w:val="single"/>
          <w:lang w:val="es-PE"/>
        </w:rPr>
        <w:t>PRIMERO</w:t>
      </w:r>
      <w:r w:rsidRPr="000752E4">
        <w:rPr>
          <w:rFonts w:ascii="Times New Roman" w:hAnsi="Times New Roman" w:cs="Times New Roman"/>
          <w:b/>
          <w:sz w:val="24"/>
          <w:szCs w:val="24"/>
          <w:lang w:val="es-PE"/>
        </w:rPr>
        <w:t>:</w:t>
      </w:r>
      <w:r w:rsidRPr="000752E4">
        <w:rPr>
          <w:rFonts w:ascii="Times New Roman" w:hAnsi="Times New Roman" w:cs="Times New Roman"/>
          <w:bCs/>
          <w:sz w:val="24"/>
          <w:szCs w:val="24"/>
          <w:lang w:val="es-PE"/>
        </w:rPr>
        <w:t xml:space="preserve"> El artículo 10 (Procedimiento) del Reglamento de la DEFASEG </w:t>
      </w:r>
      <w:r w:rsidRPr="000752E4">
        <w:rPr>
          <w:rFonts w:ascii="Times New Roman" w:eastAsia="Arial Unicode MS" w:hAnsi="Times New Roman" w:cs="Times New Roman"/>
          <w:bCs/>
          <w:sz w:val="24"/>
          <w:szCs w:val="24"/>
          <w:lang w:val="es-PE"/>
        </w:rPr>
        <w:t>(http://www.defaseg.com.pe/reglamento)</w:t>
      </w:r>
      <w:r w:rsidRPr="000752E4">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08EF6E36" w14:textId="77777777" w:rsidR="000752E4" w:rsidRPr="000752E4" w:rsidRDefault="000752E4" w:rsidP="000752E4">
      <w:pPr>
        <w:jc w:val="both"/>
        <w:rPr>
          <w:rFonts w:ascii="Times New Roman" w:hAnsi="Times New Roman" w:cs="Times New Roman"/>
          <w:bCs/>
          <w:sz w:val="24"/>
          <w:szCs w:val="24"/>
          <w:lang w:val="es-PE"/>
        </w:rPr>
      </w:pPr>
      <w:r w:rsidRPr="000752E4">
        <w:rPr>
          <w:rFonts w:ascii="Times New Roman" w:hAnsi="Times New Roman" w:cs="Times New Roman"/>
          <w:bCs/>
          <w:sz w:val="24"/>
          <w:szCs w:val="24"/>
          <w:lang w:val="es-PE"/>
        </w:rPr>
        <w:t>Conforme a ello, en el caso concreto, al interponer el recurso de impugnación el reclamante ha ejercido formalmente su derecho a contradecir lo resuelto por la Defensoría.</w:t>
      </w:r>
    </w:p>
    <w:p w14:paraId="6463D027" w14:textId="77777777" w:rsidR="000752E4" w:rsidRPr="000752E4" w:rsidRDefault="000752E4" w:rsidP="000752E4">
      <w:pPr>
        <w:pStyle w:val="Textoindependiente"/>
        <w:tabs>
          <w:tab w:val="left" w:pos="0"/>
          <w:tab w:val="left" w:pos="720"/>
        </w:tabs>
        <w:rPr>
          <w:u w:val="single"/>
          <w:lang w:val="es-PE"/>
        </w:rPr>
      </w:pPr>
    </w:p>
    <w:p w14:paraId="6BE704BD" w14:textId="4C0B6D22" w:rsidR="000752E4" w:rsidRPr="000752E4" w:rsidRDefault="000752E4" w:rsidP="000752E4">
      <w:pPr>
        <w:jc w:val="both"/>
        <w:rPr>
          <w:rFonts w:ascii="Times New Roman" w:hAnsi="Times New Roman" w:cs="Times New Roman"/>
          <w:sz w:val="24"/>
          <w:szCs w:val="24"/>
          <w:lang w:val="es-PE"/>
        </w:rPr>
      </w:pPr>
      <w:r w:rsidRPr="000752E4">
        <w:rPr>
          <w:rFonts w:ascii="Times New Roman" w:hAnsi="Times New Roman" w:cs="Times New Roman"/>
          <w:b/>
          <w:sz w:val="24"/>
          <w:szCs w:val="24"/>
          <w:u w:val="single"/>
          <w:lang w:val="es-PE"/>
        </w:rPr>
        <w:lastRenderedPageBreak/>
        <w:t>SEGUNDO:</w:t>
      </w:r>
      <w:r w:rsidRPr="000752E4">
        <w:rPr>
          <w:rFonts w:ascii="Times New Roman" w:hAnsi="Times New Roman" w:cs="Times New Roman"/>
          <w:bCs/>
          <w:sz w:val="24"/>
          <w:szCs w:val="24"/>
          <w:lang w:val="es-PE"/>
        </w:rPr>
        <w:t xml:space="preserve">  </w:t>
      </w:r>
      <w:r w:rsidRPr="000752E4">
        <w:rPr>
          <w:rFonts w:ascii="Times New Roman" w:hAnsi="Times New Roman" w:cs="Times New Roman"/>
          <w:sz w:val="24"/>
          <w:szCs w:val="24"/>
          <w:lang w:val="es-PE"/>
        </w:rPr>
        <w:t>Que si bien el reclamante expresa su posición y manifiesta las razones por las cuales discrepa de lo resuelto por esta Defensoría, no desvirtúa el análisis contenido en la resolución impugnada, constituyendo por el contrario una opinión sustentado en un análisis distinto que este colegiado no comparte. Sin perjuicio de ello, a continuación nos pronunciamos sobre los siguientes aspectos en los que sustenta su reclamo.</w:t>
      </w:r>
    </w:p>
    <w:p w14:paraId="5BBEB489" w14:textId="447EB5A6" w:rsidR="000752E4" w:rsidRPr="000752E4" w:rsidRDefault="000752E4" w:rsidP="000752E4">
      <w:pPr>
        <w:jc w:val="both"/>
        <w:rPr>
          <w:rFonts w:ascii="Times New Roman" w:hAnsi="Times New Roman" w:cs="Times New Roman"/>
          <w:bCs/>
          <w:sz w:val="24"/>
          <w:szCs w:val="24"/>
          <w:lang w:val="es-PE"/>
        </w:rPr>
      </w:pPr>
      <w:r w:rsidRPr="000752E4">
        <w:rPr>
          <w:rFonts w:ascii="Times New Roman" w:hAnsi="Times New Roman" w:cs="Times New Roman"/>
          <w:bCs/>
          <w:sz w:val="24"/>
          <w:szCs w:val="24"/>
          <w:lang w:val="es-PE"/>
        </w:rPr>
        <w:t xml:space="preserve">El recurrente señala que estaríamos ante una cláusula abusiva por el hecho de estar ante cláusulas preimpresas y siendo que la lógica del seguro es cubrir al asegurado por causas naturales, las exclusiones referidas a negligencias son perfectamente entendibles, pero en este caso la enfermedad que produjo el deceso fue causa del azar; por lo que el Colegiado debió evaluar si la cláusula opuesta era abusiva  o no. Asimismo añade que la misma DEFASEG ha reconocido que sí se están cubriendo casos de COVID-19 en seguros de desgravamen, por lo que el caso debería ser cubierto. </w:t>
      </w:r>
    </w:p>
    <w:p w14:paraId="097DAC88" w14:textId="0BE0A74C" w:rsidR="000752E4" w:rsidRPr="000752E4" w:rsidRDefault="000752E4" w:rsidP="000752E4">
      <w:pPr>
        <w:jc w:val="both"/>
        <w:rPr>
          <w:rFonts w:ascii="Times New Roman" w:hAnsi="Times New Roman" w:cs="Times New Roman"/>
          <w:bCs/>
          <w:sz w:val="24"/>
          <w:szCs w:val="24"/>
          <w:lang w:val="es-PE"/>
        </w:rPr>
      </w:pPr>
      <w:r w:rsidRPr="000752E4">
        <w:rPr>
          <w:rFonts w:ascii="Times New Roman" w:hAnsi="Times New Roman" w:cs="Times New Roman"/>
          <w:bCs/>
          <w:sz w:val="24"/>
          <w:szCs w:val="24"/>
          <w:lang w:val="es-PE"/>
        </w:rPr>
        <w:t>Al respecto -y sin perjuicio de lo expuesto por la aseguradora en este extremo-, los supuestos de exclusión no solo suelen referirse a situaciones de negligencia sino en general a supuestos que pueden generar una mayor incidencia de casos; siendo que cada compañía determina los supuestos de exclusión de sus pólizas de seguro respecto de cada uno de sus productos; por lo que el hecho que algunas pólizas y/o algunas compañías de seguros no excluyan epidemias no quiere decir que todos sus productos y/o todas las compañías de seguros deban cubrir dichos supuestos. Mal puede esta Defensoría determinar que una compañía deba otorgar cobertura cuando otra aseguradora sí da cobertura por Covid-19, por cuanto, esta Defensoría resuelve de acuerdo a derecho y conforme a lo que la póliza contratada establece.</w:t>
      </w:r>
    </w:p>
    <w:p w14:paraId="6C9CB940" w14:textId="2DAE1ECF" w:rsidR="000752E4" w:rsidRPr="000752E4" w:rsidRDefault="000752E4" w:rsidP="000752E4">
      <w:pPr>
        <w:jc w:val="both"/>
        <w:rPr>
          <w:rFonts w:ascii="Times New Roman" w:hAnsi="Times New Roman" w:cs="Times New Roman"/>
          <w:bCs/>
          <w:sz w:val="24"/>
          <w:szCs w:val="24"/>
          <w:lang w:val="es-PE"/>
        </w:rPr>
      </w:pPr>
      <w:r w:rsidRPr="000752E4">
        <w:rPr>
          <w:rFonts w:ascii="Times New Roman" w:hAnsi="Times New Roman" w:cs="Times New Roman"/>
          <w:bCs/>
          <w:sz w:val="24"/>
          <w:szCs w:val="24"/>
          <w:lang w:val="es-PE"/>
        </w:rPr>
        <w:t xml:space="preserve">En efecto, esta Defensoría analiza cada caso a la luz de lo que cada póliza en particular contempla, y de lo que fue informado al asegurado, revisando que la condición de exclusión que se opone al asegurado haya sido previa y oportunamente puesta en su conocimiento, lo que se ha verificado en este caso. </w:t>
      </w:r>
    </w:p>
    <w:p w14:paraId="4A7CE812" w14:textId="1781CCB2" w:rsidR="000752E4" w:rsidRPr="000752E4" w:rsidRDefault="000752E4" w:rsidP="000752E4">
      <w:pPr>
        <w:jc w:val="both"/>
        <w:rPr>
          <w:rFonts w:ascii="Times New Roman" w:hAnsi="Times New Roman" w:cs="Times New Roman"/>
          <w:bCs/>
          <w:sz w:val="24"/>
          <w:szCs w:val="24"/>
          <w:lang w:val="es-PE"/>
        </w:rPr>
      </w:pPr>
      <w:r w:rsidRPr="000752E4">
        <w:rPr>
          <w:rFonts w:ascii="Times New Roman" w:hAnsi="Times New Roman" w:cs="Times New Roman"/>
          <w:bCs/>
          <w:sz w:val="24"/>
          <w:szCs w:val="24"/>
          <w:lang w:val="es-PE"/>
        </w:rPr>
        <w:t>En lo que respecta a que se habría realizado una interpretación extensiva y por analogía, este colegiado no considera admisible acogerse a una literalidad más allá del significado de las palabras, pues es evidente como se ha expuesto en la resolución impugnada que la</w:t>
      </w:r>
      <w:r w:rsidR="00A11FA3">
        <w:rPr>
          <w:rFonts w:ascii="Times New Roman" w:hAnsi="Times New Roman" w:cs="Times New Roman"/>
          <w:bCs/>
          <w:sz w:val="24"/>
          <w:szCs w:val="24"/>
          <w:lang w:val="es-PE"/>
        </w:rPr>
        <w:t xml:space="preserve"> </w:t>
      </w:r>
      <w:r w:rsidRPr="000752E4">
        <w:rPr>
          <w:rFonts w:ascii="Times New Roman" w:hAnsi="Times New Roman" w:cs="Times New Roman"/>
          <w:bCs/>
          <w:sz w:val="24"/>
          <w:szCs w:val="24"/>
          <w:lang w:val="es-PE"/>
        </w:rPr>
        <w:t xml:space="preserve">pandemia lleva implícita la existencia de una epidemia, siendo -valga la redundancia- una epidemia que adquiere mayores dimensiones, por lo que no estamos ante una interpretación extensiva ni por analogía. </w:t>
      </w:r>
    </w:p>
    <w:p w14:paraId="446C1689" w14:textId="5A32F06E" w:rsidR="000752E4" w:rsidRPr="000752E4" w:rsidRDefault="000752E4" w:rsidP="000752E4">
      <w:pPr>
        <w:jc w:val="both"/>
        <w:rPr>
          <w:rFonts w:ascii="Times New Roman" w:hAnsi="Times New Roman" w:cs="Times New Roman"/>
          <w:bCs/>
          <w:sz w:val="24"/>
          <w:szCs w:val="24"/>
          <w:lang w:val="es-PE"/>
        </w:rPr>
      </w:pPr>
      <w:r w:rsidRPr="000752E4">
        <w:rPr>
          <w:rFonts w:ascii="Times New Roman" w:hAnsi="Times New Roman" w:cs="Times New Roman"/>
          <w:bCs/>
          <w:sz w:val="24"/>
          <w:szCs w:val="24"/>
          <w:lang w:val="es-PE"/>
        </w:rPr>
        <w:t>Finalmente, este colegiado tiene a bien precisar que la Defensoría del Asegurado es una entidad privada y por ende no constituye una instancia administrativa regida por la ley del procedimiento administrativo general. La Defensoría se rige por su propio reglamento, de acuerdo al cual 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en tanto las resoluciones que expide esta Defensoría no son vinculantes para el asegurado o reclamante cuando éstas son desfavorables para los mismos, ya que son únicamente vinculantes para las aseguradoras cuando el fallo es favorable para el asegurado.</w:t>
      </w:r>
    </w:p>
    <w:p w14:paraId="7631BC17" w14:textId="01A96276" w:rsidR="000752E4" w:rsidRPr="000752E4" w:rsidRDefault="000752E4" w:rsidP="000752E4">
      <w:pPr>
        <w:jc w:val="both"/>
        <w:rPr>
          <w:rFonts w:ascii="Times New Roman" w:hAnsi="Times New Roman" w:cs="Times New Roman"/>
          <w:b/>
          <w:sz w:val="24"/>
          <w:szCs w:val="24"/>
          <w:lang w:val="es-PE"/>
        </w:rPr>
      </w:pPr>
      <w:r w:rsidRPr="000752E4">
        <w:rPr>
          <w:rFonts w:ascii="Times New Roman" w:hAnsi="Times New Roman" w:cs="Times New Roman"/>
          <w:b/>
          <w:sz w:val="24"/>
          <w:szCs w:val="24"/>
          <w:lang w:val="es-PE"/>
        </w:rPr>
        <w:lastRenderedPageBreak/>
        <w:t>Atendiendo a lo expresado, conforme a su Reglamento, este colegiado resuelve:</w:t>
      </w:r>
    </w:p>
    <w:p w14:paraId="6D09BC75" w14:textId="7AED3181" w:rsidR="000752E4" w:rsidRPr="000752E4" w:rsidRDefault="000752E4" w:rsidP="000752E4">
      <w:pPr>
        <w:jc w:val="both"/>
        <w:rPr>
          <w:rFonts w:ascii="Times New Roman" w:eastAsia="Arial Unicode MS" w:hAnsi="Times New Roman" w:cs="Times New Roman"/>
          <w:bCs/>
          <w:sz w:val="24"/>
          <w:szCs w:val="24"/>
          <w:lang w:val="es-PE"/>
        </w:rPr>
      </w:pPr>
      <w:r w:rsidRPr="000752E4">
        <w:rPr>
          <w:rFonts w:ascii="Times New Roman" w:eastAsia="Arial Unicode MS" w:hAnsi="Times New Roman" w:cs="Times New Roman"/>
          <w:bCs/>
          <w:sz w:val="24"/>
          <w:szCs w:val="24"/>
          <w:lang w:val="es-PE"/>
        </w:rPr>
        <w:t xml:space="preserve">Declarar </w:t>
      </w:r>
      <w:r w:rsidRPr="000752E4">
        <w:rPr>
          <w:rFonts w:ascii="Times New Roman" w:eastAsia="Arial Unicode MS" w:hAnsi="Times New Roman" w:cs="Times New Roman"/>
          <w:b/>
          <w:sz w:val="24"/>
          <w:szCs w:val="24"/>
          <w:lang w:val="es-PE"/>
        </w:rPr>
        <w:t xml:space="preserve">INFUNDADO </w:t>
      </w:r>
      <w:r w:rsidRPr="000752E4">
        <w:rPr>
          <w:rFonts w:ascii="Times New Roman" w:eastAsia="Arial Unicode MS" w:hAnsi="Times New Roman" w:cs="Times New Roman"/>
          <w:bCs/>
          <w:sz w:val="24"/>
          <w:szCs w:val="24"/>
          <w:lang w:val="es-PE"/>
        </w:rPr>
        <w:t xml:space="preserve">el recurso de impugnación interpuesto y confirmar la Resolución Nº 006/21 de fecha 21 de enero de 2021 que declaro infundado el reclamo interpuesto por doña </w:t>
      </w:r>
      <w:r w:rsidR="00D906DD" w:rsidRPr="00D906DD">
        <w:rPr>
          <w:rFonts w:ascii="Arial" w:hAnsi="Arial" w:cs="Arial"/>
          <w:lang w:val="es-PE"/>
        </w:rPr>
        <w:t>...................</w:t>
      </w:r>
      <w:r w:rsidR="00D906DD">
        <w:rPr>
          <w:rFonts w:ascii="Arial" w:hAnsi="Arial" w:cs="Arial"/>
          <w:lang w:val="es-PE"/>
        </w:rPr>
        <w:t xml:space="preserve"> </w:t>
      </w:r>
      <w:r w:rsidRPr="000752E4">
        <w:rPr>
          <w:rFonts w:ascii="Times New Roman" w:eastAsia="Arial Unicode MS" w:hAnsi="Times New Roman" w:cs="Times New Roman"/>
          <w:bCs/>
          <w:sz w:val="24"/>
          <w:szCs w:val="24"/>
          <w:lang w:val="es-PE"/>
        </w:rPr>
        <w:t xml:space="preserve">contra </w:t>
      </w:r>
      <w:r w:rsidR="00D906DD" w:rsidRPr="00D906DD">
        <w:rPr>
          <w:rFonts w:ascii="Arial" w:hAnsi="Arial" w:cs="Arial"/>
          <w:lang w:val="es-PE"/>
        </w:rPr>
        <w:t>...................</w:t>
      </w:r>
      <w:r w:rsidRPr="000752E4">
        <w:rPr>
          <w:rFonts w:ascii="Times New Roman" w:eastAsia="Arial Unicode MS" w:hAnsi="Times New Roman" w:cs="Times New Roman"/>
          <w:bCs/>
          <w:sz w:val="24"/>
          <w:szCs w:val="24"/>
          <w:lang w:val="es-PE"/>
        </w:rPr>
        <w:t>, dejando a salvo el derecho de la reclamante de recurrir ante las instancias que estime pertinentes.</w:t>
      </w:r>
    </w:p>
    <w:p w14:paraId="4E35F8B4" w14:textId="77777777" w:rsidR="00072C60" w:rsidRPr="000752E4" w:rsidRDefault="00072C60" w:rsidP="00072C60">
      <w:pPr>
        <w:suppressAutoHyphens/>
        <w:spacing w:after="0" w:line="240" w:lineRule="auto"/>
        <w:jc w:val="right"/>
        <w:outlineLvl w:val="0"/>
        <w:rPr>
          <w:rFonts w:ascii="Times New Roman" w:eastAsia="Arial Unicode MS" w:hAnsi="Times New Roman" w:cs="Times New Roman"/>
          <w:sz w:val="24"/>
          <w:szCs w:val="24"/>
          <w:lang w:val="es-PE" w:eastAsia="ar-SA"/>
        </w:rPr>
      </w:pPr>
    </w:p>
    <w:p w14:paraId="78A39B5B" w14:textId="50D1AEF4" w:rsidR="00077B6F" w:rsidRPr="000752E4"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0752E4">
        <w:rPr>
          <w:rFonts w:ascii="Times New Roman" w:eastAsia="Arial Unicode MS" w:hAnsi="Times New Roman" w:cs="Times New Roman"/>
          <w:sz w:val="24"/>
          <w:szCs w:val="24"/>
          <w:lang w:val="es-PE" w:eastAsia="ar-SA"/>
        </w:rPr>
        <w:t xml:space="preserve">Lima, </w:t>
      </w:r>
      <w:r w:rsidR="000752E4">
        <w:rPr>
          <w:rFonts w:ascii="Times New Roman" w:eastAsia="Arial Unicode MS" w:hAnsi="Times New Roman" w:cs="Times New Roman"/>
          <w:sz w:val="24"/>
          <w:szCs w:val="24"/>
          <w:lang w:val="es-PE" w:eastAsia="ar-SA"/>
        </w:rPr>
        <w:t>4</w:t>
      </w:r>
      <w:r w:rsidR="00707C99" w:rsidRPr="000752E4">
        <w:rPr>
          <w:rFonts w:ascii="Times New Roman" w:eastAsia="Arial Unicode MS" w:hAnsi="Times New Roman" w:cs="Times New Roman"/>
          <w:sz w:val="24"/>
          <w:szCs w:val="24"/>
          <w:lang w:val="es-PE" w:eastAsia="ar-SA"/>
        </w:rPr>
        <w:t xml:space="preserve"> de </w:t>
      </w:r>
      <w:r w:rsidR="00AF16B6" w:rsidRPr="000752E4">
        <w:rPr>
          <w:rFonts w:ascii="Times New Roman" w:eastAsia="Arial Unicode MS" w:hAnsi="Times New Roman" w:cs="Times New Roman"/>
          <w:sz w:val="24"/>
          <w:szCs w:val="24"/>
          <w:lang w:val="es-PE" w:eastAsia="ar-SA"/>
        </w:rPr>
        <w:t>febrero</w:t>
      </w:r>
      <w:r w:rsidR="00F06498" w:rsidRPr="000752E4">
        <w:rPr>
          <w:rFonts w:ascii="Times New Roman" w:eastAsia="Arial Unicode MS" w:hAnsi="Times New Roman" w:cs="Times New Roman"/>
          <w:sz w:val="24"/>
          <w:szCs w:val="24"/>
          <w:lang w:val="es-PE" w:eastAsia="ar-SA"/>
        </w:rPr>
        <w:t xml:space="preserve"> de 202</w:t>
      </w:r>
      <w:r w:rsidR="00231C58" w:rsidRPr="000752E4">
        <w:rPr>
          <w:rFonts w:ascii="Times New Roman" w:eastAsia="Arial Unicode MS" w:hAnsi="Times New Roman" w:cs="Times New Roman"/>
          <w:sz w:val="24"/>
          <w:szCs w:val="24"/>
          <w:lang w:val="es-PE" w:eastAsia="ar-SA"/>
        </w:rPr>
        <w:t>1</w:t>
      </w:r>
      <w:r w:rsidR="00707C99" w:rsidRPr="000752E4">
        <w:rPr>
          <w:rFonts w:ascii="Times New Roman" w:eastAsia="Times New Roman" w:hAnsi="Times New Roman" w:cs="Times New Roman"/>
          <w:sz w:val="24"/>
          <w:szCs w:val="24"/>
          <w:lang w:val="es-PE" w:eastAsia="ar-SA"/>
        </w:rPr>
        <w:t xml:space="preserve"> </w:t>
      </w:r>
    </w:p>
    <w:p w14:paraId="486C3F46" w14:textId="3443E457" w:rsidR="00C671F5" w:rsidRPr="000752E4"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0752E4"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0752E4" w:rsidRDefault="00C671F5" w:rsidP="00C671F5">
      <w:pPr>
        <w:spacing w:after="0" w:line="240" w:lineRule="auto"/>
        <w:jc w:val="both"/>
        <w:rPr>
          <w:rFonts w:ascii="Times New Roman" w:hAnsi="Times New Roman" w:cs="Times New Roman"/>
          <w:b/>
          <w:bCs/>
          <w:i/>
          <w:iCs/>
          <w:sz w:val="24"/>
          <w:szCs w:val="24"/>
          <w:lang w:val="es-PE"/>
        </w:rPr>
      </w:pPr>
      <w:r w:rsidRPr="000752E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0752E4"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0752E4" w:rsidRDefault="00231C58" w:rsidP="00C671F5">
      <w:pPr>
        <w:spacing w:after="0" w:line="360" w:lineRule="auto"/>
        <w:jc w:val="center"/>
        <w:rPr>
          <w:rFonts w:ascii="Times New Roman" w:hAnsi="Times New Roman" w:cs="Times New Roman"/>
          <w:b/>
          <w:bCs/>
          <w:sz w:val="24"/>
          <w:szCs w:val="24"/>
          <w:lang w:val="es-PE"/>
        </w:rPr>
      </w:pPr>
      <w:r w:rsidRPr="000752E4">
        <w:rPr>
          <w:rFonts w:ascii="Times New Roman" w:hAnsi="Times New Roman" w:cs="Times New Roman"/>
          <w:b/>
          <w:bCs/>
          <w:sz w:val="24"/>
          <w:szCs w:val="24"/>
          <w:lang w:val="es-PE"/>
        </w:rPr>
        <w:t xml:space="preserve">María Eugenia Valdez Fernández Baca </w:t>
      </w:r>
      <w:r w:rsidR="00C671F5" w:rsidRPr="000752E4">
        <w:rPr>
          <w:rFonts w:ascii="Times New Roman" w:hAnsi="Times New Roman" w:cs="Times New Roman"/>
          <w:b/>
          <w:bCs/>
          <w:sz w:val="24"/>
          <w:szCs w:val="24"/>
          <w:lang w:val="es-PE"/>
        </w:rPr>
        <w:t>– Presidente</w:t>
      </w:r>
    </w:p>
    <w:p w14:paraId="55E7D9D7" w14:textId="724A8615" w:rsidR="00C671F5" w:rsidRPr="000752E4" w:rsidRDefault="00C671F5" w:rsidP="00C671F5">
      <w:pPr>
        <w:spacing w:after="0" w:line="360" w:lineRule="auto"/>
        <w:jc w:val="center"/>
        <w:rPr>
          <w:rFonts w:ascii="Times New Roman" w:hAnsi="Times New Roman" w:cs="Times New Roman"/>
          <w:b/>
          <w:bCs/>
          <w:sz w:val="24"/>
          <w:szCs w:val="24"/>
          <w:lang w:val="es-PE"/>
        </w:rPr>
      </w:pPr>
      <w:r w:rsidRPr="000752E4">
        <w:rPr>
          <w:rFonts w:ascii="Times New Roman" w:hAnsi="Times New Roman" w:cs="Times New Roman"/>
          <w:b/>
          <w:bCs/>
          <w:sz w:val="24"/>
          <w:szCs w:val="24"/>
          <w:lang w:val="es-PE"/>
        </w:rPr>
        <w:t>Marco Antonio Ortega Piana – Vocal</w:t>
      </w:r>
    </w:p>
    <w:p w14:paraId="3006BA35" w14:textId="7871895F" w:rsidR="00292018" w:rsidRPr="000752E4" w:rsidRDefault="00292018" w:rsidP="00292018">
      <w:pPr>
        <w:spacing w:after="0" w:line="360" w:lineRule="auto"/>
        <w:jc w:val="center"/>
        <w:rPr>
          <w:rFonts w:ascii="Times New Roman" w:hAnsi="Times New Roman" w:cs="Times New Roman"/>
          <w:b/>
          <w:bCs/>
          <w:sz w:val="24"/>
          <w:szCs w:val="24"/>
          <w:lang w:val="es-PE"/>
        </w:rPr>
      </w:pPr>
      <w:r w:rsidRPr="000752E4">
        <w:rPr>
          <w:rFonts w:ascii="Times New Roman" w:hAnsi="Times New Roman" w:cs="Times New Roman"/>
          <w:b/>
          <w:bCs/>
          <w:sz w:val="24"/>
          <w:szCs w:val="24"/>
          <w:lang w:val="es-PE"/>
        </w:rPr>
        <w:t>Rolando Eyzaguirre Maccan – Vocal</w:t>
      </w:r>
    </w:p>
    <w:p w14:paraId="3A9CFE9F" w14:textId="4DFF4426" w:rsidR="00C671F5" w:rsidRPr="000752E4" w:rsidRDefault="00C671F5" w:rsidP="00C671F5">
      <w:pPr>
        <w:spacing w:after="0" w:line="360" w:lineRule="auto"/>
        <w:jc w:val="center"/>
        <w:rPr>
          <w:rFonts w:ascii="Times New Roman" w:hAnsi="Times New Roman" w:cs="Times New Roman"/>
          <w:sz w:val="24"/>
          <w:szCs w:val="24"/>
          <w:lang w:val="es-PE"/>
        </w:rPr>
      </w:pPr>
      <w:r w:rsidRPr="000752E4">
        <w:rPr>
          <w:rFonts w:ascii="Times New Roman" w:hAnsi="Times New Roman" w:cs="Times New Roman"/>
          <w:b/>
          <w:bCs/>
          <w:sz w:val="24"/>
          <w:szCs w:val="24"/>
          <w:lang w:val="es-PE"/>
        </w:rPr>
        <w:t xml:space="preserve">Gonzalo Abad del Busto </w:t>
      </w:r>
      <w:r w:rsidR="00231C58" w:rsidRPr="000752E4">
        <w:rPr>
          <w:rFonts w:ascii="Times New Roman" w:hAnsi="Times New Roman" w:cs="Times New Roman"/>
          <w:b/>
          <w:bCs/>
          <w:sz w:val="24"/>
          <w:szCs w:val="24"/>
          <w:lang w:val="es-PE"/>
        </w:rPr>
        <w:t xml:space="preserve">– </w:t>
      </w:r>
      <w:r w:rsidRPr="000752E4">
        <w:rPr>
          <w:rFonts w:ascii="Times New Roman" w:hAnsi="Times New Roman" w:cs="Times New Roman"/>
          <w:b/>
          <w:bCs/>
          <w:sz w:val="24"/>
          <w:szCs w:val="24"/>
          <w:lang w:val="es-PE"/>
        </w:rPr>
        <w:t>Vocal</w:t>
      </w:r>
    </w:p>
    <w:p w14:paraId="33E0FAB8" w14:textId="77777777" w:rsidR="00C671F5" w:rsidRPr="000752E4" w:rsidRDefault="00C671F5" w:rsidP="00C671F5">
      <w:pPr>
        <w:suppressAutoHyphens/>
        <w:spacing w:after="0" w:line="360" w:lineRule="auto"/>
        <w:outlineLvl w:val="0"/>
        <w:rPr>
          <w:rFonts w:ascii="Times New Roman" w:eastAsia="Arial Unicode MS" w:hAnsi="Times New Roman" w:cs="Times New Roman"/>
          <w:lang w:val="es-PE" w:eastAsia="ar-SA"/>
        </w:rPr>
      </w:pPr>
    </w:p>
    <w:p w14:paraId="2C3A0205" w14:textId="77777777" w:rsidR="00C671F5" w:rsidRPr="000752E4" w:rsidRDefault="00C671F5" w:rsidP="00C671F5">
      <w:pPr>
        <w:rPr>
          <w:rFonts w:ascii="Times New Roman" w:eastAsia="Arial Unicode MS" w:hAnsi="Times New Roman" w:cs="Times New Roman"/>
          <w:sz w:val="24"/>
          <w:szCs w:val="24"/>
          <w:lang w:val="es-PE" w:eastAsia="ar-SA"/>
        </w:rPr>
      </w:pPr>
    </w:p>
    <w:sectPr w:rsidR="00C671F5" w:rsidRPr="000752E4"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B3E62" w14:textId="77777777" w:rsidR="008F75BC" w:rsidRDefault="008F75BC" w:rsidP="00784355">
      <w:pPr>
        <w:spacing w:after="0" w:line="240" w:lineRule="auto"/>
      </w:pPr>
      <w:r>
        <w:separator/>
      </w:r>
    </w:p>
  </w:endnote>
  <w:endnote w:type="continuationSeparator" w:id="0">
    <w:p w14:paraId="788CB25B" w14:textId="77777777" w:rsidR="008F75BC" w:rsidRDefault="008F75B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E1EA7" w14:textId="77777777" w:rsidR="008F75BC" w:rsidRDefault="008F75BC" w:rsidP="00784355">
      <w:pPr>
        <w:spacing w:after="0" w:line="240" w:lineRule="auto"/>
      </w:pPr>
      <w:r>
        <w:separator/>
      </w:r>
    </w:p>
  </w:footnote>
  <w:footnote w:type="continuationSeparator" w:id="0">
    <w:p w14:paraId="358E00BC" w14:textId="77777777" w:rsidR="008F75BC" w:rsidRDefault="008F75B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75BC"/>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1FA3"/>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73109"/>
    <w:rsid w:val="00D76C43"/>
    <w:rsid w:val="00D810EC"/>
    <w:rsid w:val="00D835B6"/>
    <w:rsid w:val="00D84464"/>
    <w:rsid w:val="00D906DD"/>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2111B41-0B0D-4C76-A2C5-C5D598688131}"/>
</file>

<file path=customXml/itemProps3.xml><?xml version="1.0" encoding="utf-8"?>
<ds:datastoreItem xmlns:ds="http://schemas.openxmlformats.org/officeDocument/2006/customXml" ds:itemID="{7C198DD8-7BD6-454E-AA50-8823495EEFA5}"/>
</file>

<file path=customXml/itemProps4.xml><?xml version="1.0" encoding="utf-8"?>
<ds:datastoreItem xmlns:ds="http://schemas.openxmlformats.org/officeDocument/2006/customXml" ds:itemID="{0D6A5AC4-D8B8-4C35-8C50-4A1663DE8C85}"/>
</file>

<file path=docProps/app.xml><?xml version="1.0" encoding="utf-8"?>
<Properties xmlns="http://schemas.openxmlformats.org/officeDocument/2006/extended-properties" xmlns:vt="http://schemas.openxmlformats.org/officeDocument/2006/docPropsVTypes">
  <Template>Normal</Template>
  <TotalTime>127</TotalTime>
  <Pages>3</Pages>
  <Words>1134</Words>
  <Characters>6238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26</cp:revision>
  <cp:lastPrinted>2021-02-05T14:15:00Z</cp:lastPrinted>
  <dcterms:created xsi:type="dcterms:W3CDTF">2020-12-18T20:17:00Z</dcterms:created>
  <dcterms:modified xsi:type="dcterms:W3CDTF">2022-01-27T20:35:00Z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