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466915" w:rsidR="00707C99" w:rsidP="00072C60" w:rsidRDefault="00201C0D" w14:paraId="19FE0E96" w14:textId="34DFF8AF">
      <w:pPr>
        <w:spacing w:after="0" w:line="240" w:lineRule="auto"/>
        <w:jc w:val="center"/>
        <w:rPr>
          <w:rFonts w:ascii="Times New Roman" w:hAnsi="Times New Roman" w:cs="Times New Roman"/>
          <w:b/>
          <w:sz w:val="24"/>
          <w:szCs w:val="24"/>
          <w:lang w:val="es-PE" w:eastAsia="ar-SA"/>
        </w:rPr>
      </w:pPr>
      <w:r w:rsidRPr="00466915">
        <w:rPr>
          <w:rFonts w:ascii="Times New Roman" w:hAnsi="Times New Roman" w:cs="Times New Roman"/>
          <w:b/>
          <w:sz w:val="24"/>
          <w:szCs w:val="24"/>
          <w:lang w:val="es-PE" w:eastAsia="ar-SA"/>
        </w:rPr>
        <w:t xml:space="preserve">RESOLUCIÓN DE RECURSO IMPUGNATIVO </w:t>
      </w:r>
      <w:proofErr w:type="spellStart"/>
      <w:r w:rsidRPr="00466915" w:rsidR="00707C99">
        <w:rPr>
          <w:rFonts w:ascii="Times New Roman" w:hAnsi="Times New Roman" w:cs="Times New Roman"/>
          <w:b/>
          <w:sz w:val="24"/>
          <w:szCs w:val="24"/>
          <w:lang w:val="es-PE" w:eastAsia="ar-SA"/>
        </w:rPr>
        <w:t>N°</w:t>
      </w:r>
      <w:proofErr w:type="spellEnd"/>
      <w:r w:rsidRPr="00466915" w:rsidR="00707C99">
        <w:rPr>
          <w:rFonts w:ascii="Times New Roman" w:hAnsi="Times New Roman" w:cs="Times New Roman"/>
          <w:b/>
          <w:sz w:val="24"/>
          <w:szCs w:val="24"/>
          <w:lang w:val="es-PE" w:eastAsia="ar-SA"/>
        </w:rPr>
        <w:t xml:space="preserve"> </w:t>
      </w:r>
      <w:r w:rsidRPr="00466915" w:rsidR="00C671F5">
        <w:rPr>
          <w:rFonts w:ascii="Times New Roman" w:hAnsi="Times New Roman" w:cs="Times New Roman"/>
          <w:b/>
          <w:sz w:val="24"/>
          <w:szCs w:val="24"/>
          <w:lang w:val="es-PE" w:eastAsia="ar-SA"/>
        </w:rPr>
        <w:t>0</w:t>
      </w:r>
      <w:r w:rsidRPr="00466915" w:rsidR="000752E4">
        <w:rPr>
          <w:rFonts w:ascii="Times New Roman" w:hAnsi="Times New Roman" w:cs="Times New Roman"/>
          <w:b/>
          <w:sz w:val="24"/>
          <w:szCs w:val="24"/>
          <w:lang w:val="es-PE" w:eastAsia="ar-SA"/>
        </w:rPr>
        <w:t>1</w:t>
      </w:r>
      <w:r w:rsidRPr="00466915" w:rsidR="00466915">
        <w:rPr>
          <w:rFonts w:ascii="Times New Roman" w:hAnsi="Times New Roman" w:cs="Times New Roman"/>
          <w:b/>
          <w:sz w:val="24"/>
          <w:szCs w:val="24"/>
          <w:lang w:val="es-PE" w:eastAsia="ar-SA"/>
        </w:rPr>
        <w:t>2</w:t>
      </w:r>
      <w:r w:rsidRPr="00466915" w:rsidR="00C671F5">
        <w:rPr>
          <w:rFonts w:ascii="Times New Roman" w:hAnsi="Times New Roman" w:cs="Times New Roman"/>
          <w:b/>
          <w:sz w:val="24"/>
          <w:szCs w:val="24"/>
          <w:lang w:val="es-PE" w:eastAsia="ar-SA"/>
        </w:rPr>
        <w:t>/2</w:t>
      </w:r>
      <w:r w:rsidRPr="00466915" w:rsidR="00231C58">
        <w:rPr>
          <w:rFonts w:ascii="Times New Roman" w:hAnsi="Times New Roman" w:cs="Times New Roman"/>
          <w:b/>
          <w:sz w:val="24"/>
          <w:szCs w:val="24"/>
          <w:lang w:val="es-PE" w:eastAsia="ar-SA"/>
        </w:rPr>
        <w:t>1</w:t>
      </w:r>
    </w:p>
    <w:p w:rsidRPr="00466915"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466915" w:rsidR="00B32325" w:rsidP="00072C60" w:rsidRDefault="00B32325" w14:paraId="500397C4" w14:textId="77777777">
      <w:pPr>
        <w:suppressAutoHyphens/>
        <w:spacing w:after="0" w:line="240" w:lineRule="auto"/>
        <w:jc w:val="both"/>
        <w:rPr>
          <w:rFonts w:ascii="Times New Roman" w:hAnsi="Times New Roman" w:eastAsia="Times New Roman" w:cs="Times New Roman"/>
          <w:b/>
          <w:bCs/>
          <w:sz w:val="24"/>
          <w:szCs w:val="24"/>
          <w:lang w:val="es-PE" w:eastAsia="ar-SA"/>
        </w:rPr>
      </w:pPr>
    </w:p>
    <w:p w:rsidRPr="00466915" w:rsidR="00466915" w:rsidP="00466915" w:rsidRDefault="00466915" w14:paraId="47006F32" w14:textId="60E8D521">
      <w:pPr>
        <w:jc w:val="both"/>
        <w:outlineLvl w:val="0"/>
        <w:rPr>
          <w:rFonts w:ascii="Times New Roman" w:hAnsi="Times New Roman" w:cs="Times New Roman"/>
          <w:b/>
          <w:bCs/>
          <w:sz w:val="24"/>
          <w:szCs w:val="24"/>
          <w:lang w:val="es-PE"/>
        </w:rPr>
      </w:pPr>
      <w:r w:rsidRPr="00466915">
        <w:rPr>
          <w:rFonts w:ascii="Times New Roman" w:hAnsi="Times New Roman" w:cs="Times New Roman"/>
          <w:b/>
          <w:bCs/>
          <w:sz w:val="24"/>
          <w:szCs w:val="24"/>
          <w:lang w:val="es-PE"/>
        </w:rPr>
        <w:t>VISTOS:</w:t>
      </w:r>
    </w:p>
    <w:p w:rsidRPr="00466915" w:rsidR="00466915" w:rsidP="00466915" w:rsidRDefault="00466915" w14:paraId="5A66248A" w14:textId="5EE8FBBB">
      <w:pPr>
        <w:jc w:val="both"/>
        <w:rPr>
          <w:rFonts w:ascii="Times New Roman" w:hAnsi="Times New Roman" w:cs="Times New Roman"/>
          <w:sz w:val="24"/>
          <w:szCs w:val="24"/>
          <w:lang w:val="es-PE"/>
        </w:rPr>
      </w:pPr>
      <w:r w:rsidRPr="07B301D8" w:rsidR="00466915">
        <w:rPr>
          <w:rFonts w:ascii="Times New Roman" w:hAnsi="Times New Roman" w:cs="Times New Roman"/>
          <w:sz w:val="24"/>
          <w:szCs w:val="24"/>
          <w:lang w:val="es-PE"/>
        </w:rPr>
        <w:t xml:space="preserve">El recurso de impugnación presentado por </w:t>
      </w:r>
      <w:r w:rsidRPr="07B301D8" w:rsidR="4A032D3E">
        <w:rPr>
          <w:rFonts w:ascii="Times New Roman" w:hAnsi="Times New Roman" w:cs="Times New Roman"/>
          <w:b w:val="1"/>
          <w:bCs w:val="1"/>
          <w:sz w:val="24"/>
          <w:szCs w:val="24"/>
          <w:lang w:val="es-PE"/>
        </w:rPr>
        <w:t>.......................</w:t>
      </w:r>
      <w:r w:rsidRPr="07B301D8" w:rsidR="00466915">
        <w:rPr>
          <w:rFonts w:ascii="Times New Roman" w:hAnsi="Times New Roman" w:cs="Times New Roman"/>
          <w:b w:val="1"/>
          <w:bCs w:val="1"/>
          <w:sz w:val="24"/>
          <w:szCs w:val="24"/>
          <w:lang w:val="es-PE"/>
        </w:rPr>
        <w:t xml:space="preserve"> respecto</w:t>
      </w:r>
      <w:r w:rsidRPr="07B301D8" w:rsidR="00466915">
        <w:rPr>
          <w:rFonts w:ascii="Times New Roman" w:hAnsi="Times New Roman" w:cs="Times New Roman"/>
          <w:sz w:val="24"/>
          <w:szCs w:val="24"/>
          <w:lang w:val="es-PE"/>
        </w:rPr>
        <w:t xml:space="preserve"> de la Resolución Nro. 113/2020, expedida por esta Defensoría del Asegurado y, conforme a la cual se declaró INFUNDADA la reclamación interpuesta contra </w:t>
      </w:r>
      <w:r w:rsidRPr="07B301D8" w:rsidR="1BF1C143">
        <w:rPr>
          <w:rFonts w:ascii="Times New Roman" w:hAnsi="Times New Roman" w:cs="Times New Roman"/>
          <w:b w:val="1"/>
          <w:bCs w:val="1"/>
          <w:sz w:val="24"/>
          <w:szCs w:val="24"/>
          <w:lang w:val="es-PE"/>
        </w:rPr>
        <w:t>................................................</w:t>
      </w:r>
      <w:r w:rsidRPr="07B301D8" w:rsidR="00466915">
        <w:rPr>
          <w:rFonts w:ascii="Times New Roman" w:hAnsi="Times New Roman" w:cs="Times New Roman"/>
          <w:sz w:val="24"/>
          <w:szCs w:val="24"/>
          <w:lang w:val="es-PE"/>
        </w:rPr>
        <w:t>,</w:t>
      </w:r>
      <w:r w:rsidRPr="07B301D8" w:rsidR="00466915">
        <w:rPr>
          <w:rFonts w:ascii="Times New Roman" w:hAnsi="Times New Roman" w:cs="Times New Roman"/>
          <w:sz w:val="24"/>
          <w:szCs w:val="24"/>
          <w:lang w:val="es-PE"/>
        </w:rPr>
        <w:t xml:space="preserve"> </w:t>
      </w:r>
      <w:r w:rsidRPr="07B301D8" w:rsidR="00466915">
        <w:rPr>
          <w:rFonts w:ascii="Times New Roman" w:hAnsi="Times New Roman" w:cs="Times New Roman"/>
          <w:sz w:val="24"/>
          <w:szCs w:val="24"/>
          <w:lang w:val="es-PE"/>
        </w:rPr>
        <w:t>en relación al</w:t>
      </w:r>
      <w:r w:rsidRPr="07B301D8" w:rsidR="00466915">
        <w:rPr>
          <w:rFonts w:ascii="Times New Roman" w:hAnsi="Times New Roman" w:cs="Times New Roman"/>
          <w:sz w:val="24"/>
          <w:szCs w:val="24"/>
          <w:lang w:val="es-PE"/>
        </w:rPr>
        <w:t xml:space="preserve"> </w:t>
      </w:r>
      <w:r w:rsidRPr="07B301D8" w:rsidR="4E232ECC">
        <w:rPr>
          <w:rFonts w:ascii="Times New Roman" w:hAnsi="Times New Roman" w:cs="Times New Roman"/>
          <w:b w:val="1"/>
          <w:bCs w:val="1"/>
          <w:sz w:val="24"/>
          <w:szCs w:val="24"/>
          <w:lang w:val="es-PE"/>
        </w:rPr>
        <w:t>................................................</w:t>
      </w:r>
      <w:r w:rsidRPr="07B301D8" w:rsidR="00466915">
        <w:rPr>
          <w:rFonts w:ascii="Times New Roman" w:hAnsi="Times New Roman" w:cs="Times New Roman"/>
          <w:b w:val="1"/>
          <w:bCs w:val="1"/>
          <w:sz w:val="24"/>
          <w:szCs w:val="24"/>
          <w:lang w:val="es-PE"/>
        </w:rPr>
        <w:t xml:space="preserve"> No </w:t>
      </w:r>
      <w:r w:rsidRPr="07B301D8" w:rsidR="52F7D042">
        <w:rPr>
          <w:rFonts w:ascii="Times New Roman" w:hAnsi="Times New Roman" w:cs="Times New Roman"/>
          <w:b w:val="1"/>
          <w:bCs w:val="1"/>
          <w:sz w:val="24"/>
          <w:szCs w:val="24"/>
          <w:lang w:val="es-PE"/>
        </w:rPr>
        <w:t>.......................</w:t>
      </w:r>
      <w:r w:rsidRPr="07B301D8" w:rsidR="00466915">
        <w:rPr>
          <w:rFonts w:ascii="Times New Roman" w:hAnsi="Times New Roman" w:cs="Times New Roman"/>
          <w:sz w:val="24"/>
          <w:szCs w:val="24"/>
          <w:lang w:val="es-PE"/>
        </w:rPr>
        <w:t>;</w:t>
      </w:r>
    </w:p>
    <w:p w:rsidRPr="00466915" w:rsidR="00466915" w:rsidP="00466915" w:rsidRDefault="00466915" w14:paraId="1B94B41A" w14:textId="77777777">
      <w:pPr>
        <w:pStyle w:val="Textoindependiente"/>
        <w:rPr>
          <w:lang w:val="es-PE"/>
        </w:rPr>
      </w:pPr>
      <w:r w:rsidRPr="00466915">
        <w:rPr>
          <w:lang w:val="es-PE"/>
        </w:rPr>
        <w:t>Que, el indicado recurso se sustenta resumidamente en lo siguiente: (1) considera que se ha demostrado fehacientemente la fractura incurable de la columna vertebral que determina la invalidez permanente y total; (2) el Instituto Nacional de Rehabilitación no ha calificado la invalidez con un grado de 66.6%; (3) en el SCTR cuando se presenta una invalidez con grado de 66,6% se califica como invalidez total; (4) un grado superior a 66.6% es irrelevante para calificar como invalidez total; (5) la fractura de la columna es suficiente para acceder al cien por ciento solicitado, sino que además se suman otras dolencias.</w:t>
      </w:r>
    </w:p>
    <w:p w:rsidRPr="00466915" w:rsidR="00466915" w:rsidP="00466915" w:rsidRDefault="00466915" w14:paraId="32CE077D" w14:textId="77777777">
      <w:pPr>
        <w:pStyle w:val="Textoindependiente"/>
        <w:rPr>
          <w:lang w:val="es-PE"/>
        </w:rPr>
      </w:pPr>
    </w:p>
    <w:p w:rsidRPr="00466915" w:rsidR="00466915" w:rsidP="00466915" w:rsidRDefault="00466915" w14:paraId="2502092C" w14:textId="4064B1B8">
      <w:pPr>
        <w:pStyle w:val="Textoindependiente"/>
        <w:rPr>
          <w:lang w:val="es-PE"/>
        </w:rPr>
      </w:pPr>
      <w:r w:rsidRPr="07B301D8" w:rsidR="00466915">
        <w:rPr>
          <w:lang w:val="es-PE"/>
        </w:rPr>
        <w:t xml:space="preserve">Que, la aseguradora absolvió el traslado del recurso impugnatorio, indicando en síntesis lo siguiente: (1) no se ha presentado medio de prueba idóneo y fehaciente que acredite lo alegado por el reclamante; ni mucho menos un medio de prueba documental que permita siquiera cambiar en sentido de lo resuelto por la Defensoría del Asegurado; (2) la suma asegurada de la cobertura de Invalidez Permanente total de la Póliza de Accidentes Personales ESSALUD+VIDA es hasta S/ 63,000.00 soles; por tanto, le corresponde indemnizar el 66.6% del monto total que equivale a la suma de S/ 41,958.00, el mismo que se hizo efectivo mediante transferencia bancaria a su cuenta del banco continental; (3) en el escrito de impugnación, tampoco se evidencia un informe médico de parte debidamente informado a </w:t>
      </w:r>
      <w:r w:rsidRPr="07B301D8" w:rsidR="50EE11FF">
        <w:rPr>
          <w:lang w:val="es-PE"/>
        </w:rPr>
        <w:t>.......................</w:t>
      </w:r>
      <w:r w:rsidRPr="07B301D8" w:rsidR="00466915">
        <w:rPr>
          <w:lang w:val="es-PE"/>
        </w:rPr>
        <w:t xml:space="preserve">, donde se acredite que le corresponde el 100% de la cobertura. </w:t>
      </w:r>
    </w:p>
    <w:p w:rsidRPr="00466915" w:rsidR="00466915" w:rsidP="00466915" w:rsidRDefault="00466915" w14:paraId="5A26B0C1" w14:textId="77777777">
      <w:pPr>
        <w:pStyle w:val="Textoindependiente"/>
        <w:rPr>
          <w:lang w:val="es-PE"/>
        </w:rPr>
      </w:pPr>
    </w:p>
    <w:p w:rsidRPr="00466915" w:rsidR="00466915" w:rsidP="00466915" w:rsidRDefault="00466915" w14:paraId="55595E66" w14:textId="6E21C0E7">
      <w:pPr>
        <w:pStyle w:val="Textoindependiente"/>
        <w:tabs>
          <w:tab w:val="left" w:pos="930"/>
        </w:tabs>
        <w:rPr>
          <w:lang w:val="es-PE"/>
        </w:rPr>
      </w:pPr>
      <w:r w:rsidRPr="00466915">
        <w:rPr>
          <w:lang w:val="es-PE"/>
        </w:rPr>
        <w:t>Que, atendiendo a lo expuesto, esta Defensoría resuelve finalmente lo siguiente:</w:t>
      </w:r>
    </w:p>
    <w:p w:rsidRPr="00466915" w:rsidR="00466915" w:rsidP="00466915" w:rsidRDefault="00466915" w14:paraId="1FF24A6B" w14:textId="77777777">
      <w:pPr>
        <w:pStyle w:val="Textoindependiente"/>
        <w:tabs>
          <w:tab w:val="left" w:pos="930"/>
        </w:tabs>
        <w:rPr>
          <w:lang w:val="es-PE"/>
        </w:rPr>
      </w:pPr>
    </w:p>
    <w:p w:rsidRPr="00466915" w:rsidR="00466915" w:rsidP="00466915" w:rsidRDefault="00466915" w14:paraId="407A5112" w14:textId="2D1DAD55">
      <w:pPr>
        <w:jc w:val="both"/>
        <w:rPr>
          <w:rFonts w:ascii="Times New Roman" w:hAnsi="Times New Roman" w:cs="Times New Roman"/>
          <w:sz w:val="24"/>
          <w:szCs w:val="24"/>
          <w:lang w:val="es-PE"/>
        </w:rPr>
      </w:pPr>
      <w:r w:rsidRPr="00466915">
        <w:rPr>
          <w:rFonts w:ascii="Times New Roman" w:hAnsi="Times New Roman" w:cs="Times New Roman"/>
          <w:b/>
          <w:sz w:val="24"/>
          <w:szCs w:val="24"/>
          <w:u w:val="single"/>
          <w:lang w:val="es-PE"/>
        </w:rPr>
        <w:t>PRIMERO</w:t>
      </w:r>
      <w:r w:rsidRPr="00466915">
        <w:rPr>
          <w:rFonts w:ascii="Times New Roman" w:hAnsi="Times New Roman" w:cs="Times New Roman"/>
          <w:b/>
          <w:sz w:val="24"/>
          <w:szCs w:val="24"/>
          <w:lang w:val="es-PE"/>
        </w:rPr>
        <w:t>:</w:t>
      </w:r>
      <w:r w:rsidRPr="00466915">
        <w:rPr>
          <w:rFonts w:ascii="Times New Roman" w:hAnsi="Times New Roman" w:cs="Times New Roman"/>
          <w:sz w:val="24"/>
          <w:szCs w:val="24"/>
          <w:lang w:val="es-PE"/>
        </w:rPr>
        <w:t xml:space="preserve"> El artículo 10 (Procedimiento) del Reglamento de la DEFASEG </w:t>
      </w:r>
      <w:r w:rsidRPr="00466915">
        <w:rPr>
          <w:rFonts w:ascii="Times New Roman" w:hAnsi="Times New Roman" w:eastAsia="Arial Unicode MS" w:cs="Times New Roman"/>
          <w:sz w:val="24"/>
          <w:szCs w:val="24"/>
          <w:lang w:val="es-PE"/>
        </w:rPr>
        <w:t>(http://www.defaseg.com.pe/reglamento)</w:t>
      </w:r>
      <w:r w:rsidRPr="00466915">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el que será conocido por la sala colegiada.  </w:t>
      </w:r>
    </w:p>
    <w:p w:rsidRPr="00466915" w:rsidR="00466915" w:rsidP="00466915" w:rsidRDefault="00466915" w14:paraId="1C348658" w14:textId="668F7423">
      <w:pPr>
        <w:jc w:val="both"/>
        <w:rPr>
          <w:rFonts w:ascii="Times New Roman" w:hAnsi="Times New Roman" w:cs="Times New Roman"/>
          <w:sz w:val="24"/>
          <w:szCs w:val="24"/>
          <w:lang w:val="es-PE"/>
        </w:rPr>
      </w:pPr>
      <w:r w:rsidRPr="00466915">
        <w:rPr>
          <w:rFonts w:ascii="Times New Roman" w:hAnsi="Times New Roman" w:cs="Times New Roman"/>
          <w:sz w:val="24"/>
          <w:szCs w:val="24"/>
          <w:lang w:val="es-PE"/>
        </w:rPr>
        <w:t>Conforme a ello, en el caso concreto, al interponer el recurso de impugnación la reclamante ha ejercido formalmente su derecho a contradecir lo resuelto por la Defensoría.</w:t>
      </w:r>
    </w:p>
    <w:p w:rsidRPr="00466915" w:rsidR="00466915" w:rsidP="00466915" w:rsidRDefault="00466915" w14:paraId="319C1180" w14:textId="28674FE3">
      <w:pPr>
        <w:jc w:val="both"/>
        <w:rPr>
          <w:rFonts w:ascii="Times New Roman" w:hAnsi="Times New Roman" w:cs="Times New Roman"/>
          <w:bCs/>
          <w:sz w:val="24"/>
          <w:szCs w:val="24"/>
          <w:lang w:val="es-PE"/>
        </w:rPr>
      </w:pPr>
      <w:r w:rsidRPr="00466915">
        <w:rPr>
          <w:rFonts w:ascii="Times New Roman" w:hAnsi="Times New Roman" w:cs="Times New Roman"/>
          <w:b/>
          <w:bCs/>
          <w:sz w:val="24"/>
          <w:szCs w:val="24"/>
          <w:u w:val="single"/>
          <w:lang w:val="es-PE"/>
        </w:rPr>
        <w:t>SEGUNDO</w:t>
      </w:r>
      <w:r w:rsidRPr="00466915">
        <w:rPr>
          <w:rFonts w:ascii="Times New Roman" w:hAnsi="Times New Roman" w:cs="Times New Roman"/>
          <w:b/>
          <w:bCs/>
          <w:sz w:val="24"/>
          <w:szCs w:val="24"/>
          <w:lang w:val="es-PE"/>
        </w:rPr>
        <w:t>:</w:t>
      </w:r>
      <w:r w:rsidRPr="00466915">
        <w:rPr>
          <w:rFonts w:ascii="Times New Roman" w:hAnsi="Times New Roman" w:cs="Times New Roman"/>
          <w:bCs/>
          <w:sz w:val="24"/>
          <w:szCs w:val="24"/>
          <w:lang w:val="es-PE"/>
        </w:rPr>
        <w:t xml:space="preserve"> Que el recurso de impugnación presentado por la asegurada constituye, más allá de evidenciar su discrepancia con el criterio aplicado por el Colegiado, un pedido de revisión general, sustentándose en insistir en los argumentos ya analizados al resolver la reclamación. </w:t>
      </w:r>
    </w:p>
    <w:p w:rsidRPr="00466915" w:rsidR="00466915" w:rsidP="07B301D8" w:rsidRDefault="00466915" w14:paraId="111766E3" w14:textId="757607A0">
      <w:pPr>
        <w:jc w:val="both"/>
        <w:rPr>
          <w:rFonts w:ascii="Times New Roman" w:hAnsi="Times New Roman" w:cs="Times New Roman"/>
          <w:sz w:val="24"/>
          <w:szCs w:val="24"/>
          <w:lang w:val="es-PE"/>
        </w:rPr>
      </w:pPr>
      <w:r w:rsidRPr="07B301D8" w:rsidR="00466915">
        <w:rPr>
          <w:rFonts w:ascii="Times New Roman" w:hAnsi="Times New Roman" w:cs="Times New Roman"/>
          <w:sz w:val="24"/>
          <w:szCs w:val="24"/>
          <w:lang w:val="es-PE"/>
        </w:rPr>
        <w:t>De acuerdo a</w:t>
      </w:r>
      <w:r w:rsidRPr="07B301D8" w:rsidR="00466915">
        <w:rPr>
          <w:rFonts w:ascii="Times New Roman" w:hAnsi="Times New Roman" w:cs="Times New Roman"/>
          <w:sz w:val="24"/>
          <w:szCs w:val="24"/>
          <w:lang w:val="es-PE"/>
        </w:rPr>
        <w:t xml:space="preserve"> la resolución impugnada, la reclamación fue desestimada puesto que se comprobó que </w:t>
      </w:r>
      <w:r w:rsidRPr="07B301D8" w:rsidR="00466915">
        <w:rPr>
          <w:rFonts w:ascii="Times New Roman" w:hAnsi="Times New Roman" w:cs="Times New Roman"/>
          <w:sz w:val="24"/>
          <w:szCs w:val="24"/>
          <w:lang w:val="es-PE"/>
        </w:rPr>
        <w:t xml:space="preserve">la liquidación de la cobertura de Invalidez Permanente Total pagada por </w:t>
      </w:r>
      <w:r w:rsidRPr="07B301D8" w:rsidR="50EE11FF">
        <w:rPr>
          <w:rFonts w:ascii="Times New Roman" w:hAnsi="Times New Roman" w:cs="Times New Roman"/>
          <w:sz w:val="24"/>
          <w:szCs w:val="24"/>
          <w:lang w:val="es-PE"/>
        </w:rPr>
        <w:t>.......................</w:t>
      </w:r>
      <w:r w:rsidRPr="07B301D8" w:rsidR="00466915">
        <w:rPr>
          <w:rFonts w:ascii="Times New Roman" w:hAnsi="Times New Roman" w:cs="Times New Roman"/>
          <w:sz w:val="24"/>
          <w:szCs w:val="24"/>
          <w:lang w:val="es-PE"/>
        </w:rPr>
        <w:t xml:space="preserve"> </w:t>
      </w:r>
      <w:r w:rsidRPr="07B301D8" w:rsidR="00466915">
        <w:rPr>
          <w:rFonts w:ascii="Times New Roman" w:hAnsi="Times New Roman" w:cs="Times New Roman"/>
          <w:sz w:val="24"/>
          <w:szCs w:val="24"/>
          <w:lang w:val="es-PE"/>
        </w:rPr>
        <w:t>ascendente a la suma de S/.</w:t>
      </w:r>
      <w:r w:rsidRPr="07B301D8" w:rsidR="00466915">
        <w:rPr>
          <w:rFonts w:ascii="Times New Roman" w:hAnsi="Times New Roman" w:cs="Times New Roman"/>
          <w:sz w:val="24"/>
          <w:szCs w:val="24"/>
          <w:lang w:val="es-PE"/>
        </w:rPr>
        <w:t xml:space="preserve"> 41,958, resulta legítima y conforme a los términos del</w:t>
      </w:r>
      <w:r w:rsidRPr="07B301D8" w:rsidR="00466915">
        <w:rPr>
          <w:rFonts w:ascii="Times New Roman" w:hAnsi="Times New Roman" w:cs="Times New Roman"/>
          <w:sz w:val="24"/>
          <w:szCs w:val="24"/>
          <w:lang w:val="es-PE"/>
        </w:rPr>
        <w:t xml:space="preserve"> </w:t>
      </w:r>
      <w:r w:rsidRPr="07B301D8" w:rsidR="4E232ECC">
        <w:rPr>
          <w:rFonts w:ascii="Times New Roman" w:hAnsi="Times New Roman" w:cs="Times New Roman"/>
          <w:sz w:val="24"/>
          <w:szCs w:val="24"/>
          <w:lang w:val="es-PE"/>
        </w:rPr>
        <w:t>................................................</w:t>
      </w:r>
      <w:r w:rsidRPr="07B301D8" w:rsidR="00466915">
        <w:rPr>
          <w:rFonts w:ascii="Times New Roman" w:hAnsi="Times New Roman" w:cs="Times New Roman"/>
          <w:sz w:val="24"/>
          <w:szCs w:val="24"/>
          <w:lang w:val="es-PE"/>
        </w:rPr>
        <w:t xml:space="preserve"> No </w:t>
      </w:r>
      <w:r w:rsidRPr="07B301D8" w:rsidR="52F7D042">
        <w:rPr>
          <w:rFonts w:ascii="Times New Roman" w:hAnsi="Times New Roman" w:cs="Times New Roman"/>
          <w:sz w:val="24"/>
          <w:szCs w:val="24"/>
          <w:lang w:val="es-PE"/>
        </w:rPr>
        <w:t>.......................</w:t>
      </w:r>
      <w:r w:rsidRPr="07B301D8" w:rsidR="00466915">
        <w:rPr>
          <w:rFonts w:ascii="Times New Roman" w:hAnsi="Times New Roman" w:cs="Times New Roman"/>
          <w:sz w:val="24"/>
          <w:szCs w:val="24"/>
          <w:lang w:val="es-PE"/>
        </w:rPr>
        <w:t>.</w:t>
      </w:r>
    </w:p>
    <w:p w:rsidRPr="00466915" w:rsidR="00466915" w:rsidP="00466915" w:rsidRDefault="00466915" w14:paraId="34D58DAC" w14:textId="27CAF9F7">
      <w:pPr>
        <w:jc w:val="both"/>
        <w:rPr>
          <w:rFonts w:ascii="Times New Roman" w:hAnsi="Times New Roman" w:cs="Times New Roman"/>
          <w:sz w:val="24"/>
          <w:szCs w:val="24"/>
          <w:lang w:val="es-PE"/>
        </w:rPr>
      </w:pPr>
      <w:r w:rsidRPr="00466915">
        <w:rPr>
          <w:rFonts w:ascii="Times New Roman" w:hAnsi="Times New Roman" w:cs="Times New Roman"/>
          <w:bCs/>
          <w:sz w:val="24"/>
          <w:szCs w:val="24"/>
          <w:lang w:val="es-PE"/>
        </w:rPr>
        <w:t xml:space="preserve">A este efecto, el Colegiado verificó de las pruebas que obran en autos, que </w:t>
      </w:r>
      <w:r w:rsidRPr="00466915">
        <w:rPr>
          <w:rFonts w:ascii="Times New Roman" w:hAnsi="Times New Roman" w:cs="Times New Roman"/>
          <w:sz w:val="24"/>
          <w:szCs w:val="24"/>
          <w:lang w:val="es-PE"/>
        </w:rPr>
        <w:t xml:space="preserve">la lesión que presenta el asegurado no está comprendida en la relación prevista en </w:t>
      </w:r>
      <w:proofErr w:type="gramStart"/>
      <w:r w:rsidRPr="00466915">
        <w:rPr>
          <w:rFonts w:ascii="Times New Roman" w:hAnsi="Times New Roman" w:cs="Times New Roman"/>
          <w:sz w:val="24"/>
          <w:szCs w:val="24"/>
          <w:lang w:val="es-PE"/>
        </w:rPr>
        <w:t>la  Tabla</w:t>
      </w:r>
      <w:proofErr w:type="gramEnd"/>
      <w:r w:rsidRPr="00466915">
        <w:rPr>
          <w:rFonts w:ascii="Times New Roman" w:hAnsi="Times New Roman" w:cs="Times New Roman"/>
          <w:sz w:val="24"/>
          <w:szCs w:val="24"/>
          <w:lang w:val="es-PE"/>
        </w:rPr>
        <w:t xml:space="preserve"> de Invalidez Permanente contenida en la póliza.</w:t>
      </w:r>
    </w:p>
    <w:p w:rsidRPr="00466915" w:rsidR="00466915" w:rsidP="07B301D8" w:rsidRDefault="00466915" w14:paraId="0C91CC39" w14:textId="454FB215">
      <w:pPr>
        <w:jc w:val="both"/>
        <w:rPr>
          <w:rFonts w:ascii="Times New Roman" w:hAnsi="Times New Roman" w:cs="Times New Roman"/>
          <w:i w:val="1"/>
          <w:iCs w:val="1"/>
          <w:sz w:val="24"/>
          <w:szCs w:val="24"/>
          <w:lang w:val="es-PE"/>
        </w:rPr>
      </w:pPr>
      <w:r w:rsidRPr="07B301D8" w:rsidR="00466915">
        <w:rPr>
          <w:rFonts w:ascii="Times New Roman" w:hAnsi="Times New Roman" w:cs="Times New Roman"/>
          <w:sz w:val="24"/>
          <w:szCs w:val="24"/>
          <w:lang w:val="es-PE"/>
        </w:rPr>
        <w:t xml:space="preserve">Frente a esa circunstancia, se concluyó que resulta aplicable la previsión contractual estipulada en el numeral 7.5 de las condiciones generales de la   Póliza </w:t>
      </w:r>
      <w:r w:rsidRPr="07B301D8" w:rsidR="00466915">
        <w:rPr>
          <w:rFonts w:ascii="Times New Roman" w:hAnsi="Times New Roman" w:cs="Times New Roman"/>
          <w:sz w:val="24"/>
          <w:szCs w:val="24"/>
          <w:lang w:val="es-PE"/>
        </w:rPr>
        <w:t xml:space="preserve">ESSALUD+VIDA No </w:t>
      </w:r>
      <w:r w:rsidRPr="07B301D8" w:rsidR="52F7D042">
        <w:rPr>
          <w:rFonts w:ascii="Times New Roman" w:hAnsi="Times New Roman" w:cs="Times New Roman"/>
          <w:sz w:val="24"/>
          <w:szCs w:val="24"/>
          <w:lang w:val="es-PE"/>
        </w:rPr>
        <w:t>.......................</w:t>
      </w:r>
      <w:r w:rsidRPr="07B301D8" w:rsidR="00466915">
        <w:rPr>
          <w:rFonts w:ascii="Times New Roman" w:hAnsi="Times New Roman" w:cs="Times New Roman"/>
          <w:sz w:val="24"/>
          <w:szCs w:val="24"/>
          <w:lang w:val="es-PE"/>
        </w:rPr>
        <w:t xml:space="preserve">: </w:t>
      </w:r>
      <w:r w:rsidRPr="07B301D8" w:rsidR="00466915">
        <w:rPr>
          <w:rFonts w:ascii="Times New Roman" w:hAnsi="Times New Roman" w:cs="Times New Roman"/>
          <w:i w:val="1"/>
          <w:iCs w:val="1"/>
          <w:sz w:val="24"/>
          <w:szCs w:val="24"/>
          <w:lang w:val="es-PE"/>
        </w:rPr>
        <w:t xml:space="preserve">“7. Aclaraciones sobre Invalidez Permanente (…)7.5 La indemnización de lesiones </w:t>
      </w:r>
      <w:r w:rsidRPr="07B301D8" w:rsidR="00466915">
        <w:rPr>
          <w:rFonts w:ascii="Times New Roman" w:hAnsi="Times New Roman" w:cs="Times New Roman"/>
          <w:i w:val="1"/>
          <w:iCs w:val="1"/>
          <w:sz w:val="24"/>
          <w:szCs w:val="24"/>
          <w:lang w:val="es-PE"/>
        </w:rPr>
        <w:t>que</w:t>
      </w:r>
      <w:r w:rsidRPr="07B301D8" w:rsidR="00466915">
        <w:rPr>
          <w:rFonts w:ascii="Times New Roman" w:hAnsi="Times New Roman" w:cs="Times New Roman"/>
          <w:i w:val="1"/>
          <w:iCs w:val="1"/>
          <w:sz w:val="24"/>
          <w:szCs w:val="24"/>
          <w:lang w:val="es-PE"/>
        </w:rPr>
        <w:t xml:space="preserve"> sin estar comprendidas en la tabla de indemnizaciones, constituyan una invalidez permanente, será fijada en proporción a la disminución de la capacidad funcional total, teniendo en cuenta, de ser posible, su comparación con los casos previstos y sin tomar en consideración la profesión del asegurado”.</w:t>
      </w:r>
    </w:p>
    <w:p w:rsidRPr="00466915" w:rsidR="00466915" w:rsidP="00466915" w:rsidRDefault="00466915" w14:paraId="501D02D9" w14:textId="3F0D4192">
      <w:pPr>
        <w:jc w:val="both"/>
        <w:rPr>
          <w:rFonts w:ascii="Times New Roman" w:hAnsi="Times New Roman" w:cs="Times New Roman"/>
          <w:sz w:val="24"/>
          <w:szCs w:val="24"/>
          <w:lang w:val="es-PE"/>
        </w:rPr>
      </w:pPr>
      <w:r w:rsidRPr="00466915">
        <w:rPr>
          <w:rFonts w:ascii="Times New Roman" w:hAnsi="Times New Roman" w:cs="Times New Roman"/>
          <w:sz w:val="24"/>
          <w:szCs w:val="24"/>
          <w:lang w:val="es-PE"/>
        </w:rPr>
        <w:t>En esa medida, tratándose de un diagnóstico cuyas lesiones no están comprendidas en la tabla de indemnizaciones, en el presente caso la liquidación de cobertura se fija en proporción a la disminución de la capacidad funcional total.</w:t>
      </w:r>
    </w:p>
    <w:p w:rsidRPr="00466915" w:rsidR="00466915" w:rsidP="07B301D8" w:rsidRDefault="00466915" w14:paraId="0671892D" w14:textId="0F1C0485">
      <w:pPr>
        <w:jc w:val="both"/>
        <w:rPr>
          <w:rFonts w:ascii="Times New Roman" w:hAnsi="Times New Roman" w:cs="Times New Roman"/>
          <w:sz w:val="24"/>
          <w:szCs w:val="24"/>
          <w:lang w:val="es-PE"/>
        </w:rPr>
      </w:pPr>
      <w:r w:rsidRPr="07B301D8" w:rsidR="00466915">
        <w:rPr>
          <w:rFonts w:ascii="Times New Roman" w:hAnsi="Times New Roman" w:cs="Times New Roman"/>
          <w:sz w:val="24"/>
          <w:szCs w:val="24"/>
          <w:lang w:val="es-PE"/>
        </w:rPr>
        <w:t xml:space="preserve">Dado que el asegurado presenta un menoscabo del 66.6% conforme al Dictamen del Seguro Complementario de Trabajo de Riesgo, </w:t>
      </w:r>
      <w:r w:rsidRPr="07B301D8" w:rsidR="00466915">
        <w:rPr>
          <w:rFonts w:ascii="Times New Roman" w:hAnsi="Times New Roman" w:cs="Times New Roman"/>
          <w:sz w:val="24"/>
          <w:szCs w:val="24"/>
          <w:lang w:val="es-PE"/>
        </w:rPr>
        <w:t>de acuerdo al</w:t>
      </w:r>
      <w:r w:rsidRPr="07B301D8" w:rsidR="00466915">
        <w:rPr>
          <w:rFonts w:ascii="Times New Roman" w:hAnsi="Times New Roman" w:cs="Times New Roman"/>
          <w:sz w:val="24"/>
          <w:szCs w:val="24"/>
          <w:lang w:val="es-PE"/>
        </w:rPr>
        <w:t xml:space="preserve"> citado numeral 7.5 de las condiciones generales de la   Póliza </w:t>
      </w:r>
      <w:r w:rsidRPr="07B301D8" w:rsidR="00466915">
        <w:rPr>
          <w:rFonts w:ascii="Times New Roman" w:hAnsi="Times New Roman" w:cs="Times New Roman"/>
          <w:sz w:val="24"/>
          <w:szCs w:val="24"/>
          <w:lang w:val="es-PE"/>
        </w:rPr>
        <w:t xml:space="preserve">ESSALUD+VIDA No </w:t>
      </w:r>
      <w:r w:rsidRPr="07B301D8" w:rsidR="52F7D042">
        <w:rPr>
          <w:rFonts w:ascii="Times New Roman" w:hAnsi="Times New Roman" w:cs="Times New Roman"/>
          <w:sz w:val="24"/>
          <w:szCs w:val="24"/>
          <w:lang w:val="es-PE"/>
        </w:rPr>
        <w:t>.......................</w:t>
      </w:r>
      <w:r w:rsidRPr="07B301D8" w:rsidR="00466915">
        <w:rPr>
          <w:rFonts w:ascii="Times New Roman" w:hAnsi="Times New Roman" w:cs="Times New Roman"/>
          <w:sz w:val="24"/>
          <w:szCs w:val="24"/>
          <w:lang w:val="es-PE"/>
        </w:rPr>
        <w:t>, la indemnización que le corresponde al asegurado es el 66.6% de la suma asegurada (S/.63,000).</w:t>
      </w:r>
    </w:p>
    <w:p w:rsidRPr="00466915" w:rsidR="00466915" w:rsidP="00466915" w:rsidRDefault="00466915" w14:paraId="6D6001E8" w14:textId="65859EA9">
      <w:pPr>
        <w:jc w:val="both"/>
        <w:rPr>
          <w:rFonts w:ascii="Times New Roman" w:hAnsi="Times New Roman" w:cs="Times New Roman"/>
          <w:sz w:val="24"/>
          <w:szCs w:val="24"/>
          <w:lang w:val="es-PE"/>
        </w:rPr>
      </w:pPr>
      <w:r w:rsidRPr="00466915">
        <w:rPr>
          <w:rFonts w:ascii="Times New Roman" w:hAnsi="Times New Roman" w:cs="Times New Roman"/>
          <w:b/>
          <w:sz w:val="24"/>
          <w:szCs w:val="24"/>
          <w:u w:val="single"/>
          <w:lang w:val="es-PE"/>
        </w:rPr>
        <w:t>TERCERO</w:t>
      </w:r>
      <w:r w:rsidRPr="00466915">
        <w:rPr>
          <w:rFonts w:ascii="Times New Roman" w:hAnsi="Times New Roman" w:cs="Times New Roman"/>
          <w:b/>
          <w:sz w:val="24"/>
          <w:szCs w:val="24"/>
          <w:lang w:val="es-PE"/>
        </w:rPr>
        <w:t>:</w:t>
      </w:r>
      <w:r w:rsidRPr="00466915">
        <w:rPr>
          <w:rFonts w:ascii="Times New Roman" w:hAnsi="Times New Roman" w:cs="Times New Roman"/>
          <w:sz w:val="24"/>
          <w:szCs w:val="24"/>
          <w:lang w:val="es-PE"/>
        </w:rPr>
        <w:t xml:space="preserve"> En atención a las consideraciones precedentes, este colegiado aprecia finalmente que no se ha evidenciado error ni falta de motivación, ni se ha presentado nueva prueba, por lo que no existe mérito suficiente ni razón objetiva para revocar la resolución recurrida.</w:t>
      </w:r>
    </w:p>
    <w:p w:rsidRPr="00466915" w:rsidR="00466915" w:rsidP="00466915" w:rsidRDefault="00466915" w14:paraId="10D23944" w14:textId="5224B1CE">
      <w:pPr>
        <w:jc w:val="both"/>
        <w:rPr>
          <w:rFonts w:ascii="Times New Roman" w:hAnsi="Times New Roman" w:cs="Times New Roman"/>
          <w:b/>
          <w:sz w:val="24"/>
          <w:szCs w:val="24"/>
          <w:lang w:val="es-PE"/>
        </w:rPr>
      </w:pPr>
      <w:r w:rsidRPr="00466915">
        <w:rPr>
          <w:rFonts w:ascii="Times New Roman" w:hAnsi="Times New Roman" w:cs="Times New Roman"/>
          <w:b/>
          <w:sz w:val="24"/>
          <w:szCs w:val="24"/>
          <w:lang w:val="es-PE"/>
        </w:rPr>
        <w:t>RESUELVE:</w:t>
      </w:r>
    </w:p>
    <w:p w:rsidRPr="00466915" w:rsidR="00BA1792" w:rsidP="00466915" w:rsidRDefault="00466915" w14:paraId="53E2169A" w14:textId="64C601B4">
      <w:pPr>
        <w:jc w:val="both"/>
        <w:rPr>
          <w:rFonts w:ascii="Times New Roman" w:hAnsi="Times New Roman" w:cs="Times New Roman"/>
          <w:sz w:val="24"/>
          <w:szCs w:val="24"/>
          <w:lang w:val="es-PE"/>
        </w:rPr>
      </w:pPr>
      <w:r w:rsidRPr="00466915">
        <w:rPr>
          <w:rFonts w:ascii="Times New Roman" w:hAnsi="Times New Roman" w:eastAsia="Arial Unicode MS" w:cs="Times New Roman"/>
          <w:b/>
          <w:sz w:val="24"/>
          <w:szCs w:val="24"/>
          <w:lang w:val="es-PE"/>
        </w:rPr>
        <w:t>Declarar INFUNDADO el recurso de impugnación interpuesto y, por consiguiente, CONFIRMAR la Resolución Nro. 113/2020</w:t>
      </w:r>
      <w:r w:rsidRPr="00466915">
        <w:rPr>
          <w:rFonts w:ascii="Times New Roman" w:hAnsi="Times New Roman" w:cs="Times New Roman"/>
          <w:sz w:val="24"/>
          <w:szCs w:val="24"/>
          <w:lang w:val="es-PE"/>
        </w:rPr>
        <w:t>.</w:t>
      </w:r>
    </w:p>
    <w:p w:rsidRPr="00466915" w:rsidR="00077B6F" w:rsidP="00C671F5" w:rsidRDefault="0091528B" w14:paraId="78A39B5B" w14:textId="61ED1FC6">
      <w:pPr>
        <w:suppressAutoHyphens/>
        <w:spacing w:after="0" w:line="240" w:lineRule="auto"/>
        <w:jc w:val="right"/>
        <w:outlineLvl w:val="0"/>
        <w:rPr>
          <w:rFonts w:ascii="Times New Roman" w:hAnsi="Times New Roman" w:eastAsia="Arial Unicode MS" w:cs="Times New Roman"/>
          <w:sz w:val="24"/>
          <w:szCs w:val="24"/>
          <w:lang w:val="es-PE" w:eastAsia="ar-SA"/>
        </w:rPr>
      </w:pPr>
      <w:r w:rsidRPr="00466915">
        <w:rPr>
          <w:rFonts w:ascii="Times New Roman" w:hAnsi="Times New Roman" w:eastAsia="Arial Unicode MS" w:cs="Times New Roman"/>
          <w:sz w:val="24"/>
          <w:szCs w:val="24"/>
          <w:lang w:val="es-PE" w:eastAsia="ar-SA"/>
        </w:rPr>
        <w:t xml:space="preserve">Lima, </w:t>
      </w:r>
      <w:r w:rsidRPr="00466915" w:rsidR="00466915">
        <w:rPr>
          <w:rFonts w:ascii="Times New Roman" w:hAnsi="Times New Roman" w:eastAsia="Arial Unicode MS" w:cs="Times New Roman"/>
          <w:sz w:val="24"/>
          <w:szCs w:val="24"/>
          <w:lang w:val="es-PE" w:eastAsia="ar-SA"/>
        </w:rPr>
        <w:t>15</w:t>
      </w:r>
      <w:r w:rsidRPr="00466915" w:rsidR="00707C99">
        <w:rPr>
          <w:rFonts w:ascii="Times New Roman" w:hAnsi="Times New Roman" w:eastAsia="Arial Unicode MS" w:cs="Times New Roman"/>
          <w:sz w:val="24"/>
          <w:szCs w:val="24"/>
          <w:lang w:val="es-PE" w:eastAsia="ar-SA"/>
        </w:rPr>
        <w:t xml:space="preserve"> de </w:t>
      </w:r>
      <w:r w:rsidRPr="00466915" w:rsidR="00AF16B6">
        <w:rPr>
          <w:rFonts w:ascii="Times New Roman" w:hAnsi="Times New Roman" w:eastAsia="Arial Unicode MS" w:cs="Times New Roman"/>
          <w:sz w:val="24"/>
          <w:szCs w:val="24"/>
          <w:lang w:val="es-PE" w:eastAsia="ar-SA"/>
        </w:rPr>
        <w:t>febrero</w:t>
      </w:r>
      <w:r w:rsidRPr="00466915" w:rsidR="00F06498">
        <w:rPr>
          <w:rFonts w:ascii="Times New Roman" w:hAnsi="Times New Roman" w:eastAsia="Arial Unicode MS" w:cs="Times New Roman"/>
          <w:sz w:val="24"/>
          <w:szCs w:val="24"/>
          <w:lang w:val="es-PE" w:eastAsia="ar-SA"/>
        </w:rPr>
        <w:t xml:space="preserve"> de 202</w:t>
      </w:r>
      <w:r w:rsidRPr="00466915" w:rsidR="00231C58">
        <w:rPr>
          <w:rFonts w:ascii="Times New Roman" w:hAnsi="Times New Roman" w:eastAsia="Arial Unicode MS" w:cs="Times New Roman"/>
          <w:sz w:val="24"/>
          <w:szCs w:val="24"/>
          <w:lang w:val="es-PE" w:eastAsia="ar-SA"/>
        </w:rPr>
        <w:t>1</w:t>
      </w:r>
      <w:r w:rsidRPr="00466915" w:rsidR="00707C99">
        <w:rPr>
          <w:rFonts w:ascii="Times New Roman" w:hAnsi="Times New Roman" w:eastAsia="Times New Roman" w:cs="Times New Roman"/>
          <w:sz w:val="24"/>
          <w:szCs w:val="24"/>
          <w:lang w:val="es-PE" w:eastAsia="ar-SA"/>
        </w:rPr>
        <w:t xml:space="preserve"> </w:t>
      </w:r>
    </w:p>
    <w:p w:rsidRPr="00466915"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466915"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466915"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46691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466915"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466915"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466915">
        <w:rPr>
          <w:rFonts w:ascii="Times New Roman" w:hAnsi="Times New Roman" w:cs="Times New Roman"/>
          <w:b/>
          <w:bCs/>
          <w:sz w:val="24"/>
          <w:szCs w:val="24"/>
          <w:lang w:val="es-PE"/>
        </w:rPr>
        <w:t xml:space="preserve">María Eugenia Valdez Fernández Baca </w:t>
      </w:r>
      <w:r w:rsidRPr="00466915" w:rsidR="00C671F5">
        <w:rPr>
          <w:rFonts w:ascii="Times New Roman" w:hAnsi="Times New Roman" w:cs="Times New Roman"/>
          <w:b/>
          <w:bCs/>
          <w:sz w:val="24"/>
          <w:szCs w:val="24"/>
          <w:lang w:val="es-PE"/>
        </w:rPr>
        <w:t xml:space="preserve">– </w:t>
      </w:r>
      <w:proofErr w:type="gramStart"/>
      <w:r w:rsidRPr="00466915" w:rsidR="00C671F5">
        <w:rPr>
          <w:rFonts w:ascii="Times New Roman" w:hAnsi="Times New Roman" w:cs="Times New Roman"/>
          <w:b/>
          <w:bCs/>
          <w:sz w:val="24"/>
          <w:szCs w:val="24"/>
          <w:lang w:val="es-PE"/>
        </w:rPr>
        <w:t>Presidente</w:t>
      </w:r>
      <w:proofErr w:type="gramEnd"/>
    </w:p>
    <w:p w:rsidRPr="00466915"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466915">
        <w:rPr>
          <w:rFonts w:ascii="Times New Roman" w:hAnsi="Times New Roman" w:cs="Times New Roman"/>
          <w:b/>
          <w:bCs/>
          <w:sz w:val="24"/>
          <w:szCs w:val="24"/>
          <w:lang w:val="es-PE"/>
        </w:rPr>
        <w:t>Marco Antonio Ortega Piana – Vocal</w:t>
      </w:r>
    </w:p>
    <w:p w:rsidRPr="00466915"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466915">
        <w:rPr>
          <w:rFonts w:ascii="Times New Roman" w:hAnsi="Times New Roman" w:cs="Times New Roman"/>
          <w:b/>
          <w:bCs/>
          <w:sz w:val="24"/>
          <w:szCs w:val="24"/>
          <w:lang w:val="es-PE"/>
        </w:rPr>
        <w:t xml:space="preserve">Rolando Eyzaguirre </w:t>
      </w:r>
      <w:proofErr w:type="spellStart"/>
      <w:r w:rsidRPr="00466915">
        <w:rPr>
          <w:rFonts w:ascii="Times New Roman" w:hAnsi="Times New Roman" w:cs="Times New Roman"/>
          <w:b/>
          <w:bCs/>
          <w:sz w:val="24"/>
          <w:szCs w:val="24"/>
          <w:lang w:val="es-PE"/>
        </w:rPr>
        <w:t>Maccan</w:t>
      </w:r>
      <w:proofErr w:type="spellEnd"/>
      <w:r w:rsidRPr="00466915">
        <w:rPr>
          <w:rFonts w:ascii="Times New Roman" w:hAnsi="Times New Roman" w:cs="Times New Roman"/>
          <w:b/>
          <w:bCs/>
          <w:sz w:val="24"/>
          <w:szCs w:val="24"/>
          <w:lang w:val="es-PE"/>
        </w:rPr>
        <w:t xml:space="preserve"> – Vocal</w:t>
      </w:r>
    </w:p>
    <w:p w:rsidRPr="00466915"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466915">
        <w:rPr>
          <w:rFonts w:ascii="Times New Roman" w:hAnsi="Times New Roman" w:cs="Times New Roman"/>
          <w:b/>
          <w:bCs/>
          <w:sz w:val="24"/>
          <w:szCs w:val="24"/>
          <w:lang w:val="es-PE"/>
        </w:rPr>
        <w:t xml:space="preserve">Gonzalo Abad del Busto </w:t>
      </w:r>
      <w:r w:rsidRPr="00466915" w:rsidR="00231C58">
        <w:rPr>
          <w:rFonts w:ascii="Times New Roman" w:hAnsi="Times New Roman" w:cs="Times New Roman"/>
          <w:b/>
          <w:bCs/>
          <w:sz w:val="24"/>
          <w:szCs w:val="24"/>
          <w:lang w:val="es-PE"/>
        </w:rPr>
        <w:t xml:space="preserve">– </w:t>
      </w:r>
      <w:r w:rsidRPr="00466915">
        <w:rPr>
          <w:rFonts w:ascii="Times New Roman" w:hAnsi="Times New Roman" w:cs="Times New Roman"/>
          <w:b/>
          <w:bCs/>
          <w:sz w:val="24"/>
          <w:szCs w:val="24"/>
          <w:lang w:val="es-PE"/>
        </w:rPr>
        <w:t>Vocal</w:t>
      </w:r>
    </w:p>
    <w:p w:rsidRPr="00466915"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752E4"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0752E4"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23965" w:rsidP="00784355" w:rsidRDefault="00E23965" w14:paraId="072BB703" w14:textId="77777777">
      <w:pPr>
        <w:spacing w:after="0" w:line="240" w:lineRule="auto"/>
      </w:pPr>
      <w:r>
        <w:separator/>
      </w:r>
    </w:p>
  </w:endnote>
  <w:endnote w:type="continuationSeparator" w:id="0">
    <w:p w:rsidR="00E23965" w:rsidP="00784355" w:rsidRDefault="00E23965" w14:paraId="53F51E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3D3AE7">
              <w:rPr>
                <w:rFonts w:ascii="Times New Roman" w:hAnsi="Times New Roman" w:cs="Times New Roman"/>
                <w:lang w:val="es-ES"/>
              </w:rPr>
              <w:t xml:space="preserve">Página </w:t>
            </w:r>
            <w:r w:rsidRPr="003D3AE7">
              <w:rPr>
                <w:rFonts w:ascii="Times New Roman" w:hAnsi="Times New Roman" w:cs="Times New Roman"/>
                <w:b/>
                <w:bCs/>
                <w:sz w:val="24"/>
                <w:szCs w:val="24"/>
              </w:rPr>
              <w:fldChar w:fldCharType="begin"/>
            </w:r>
            <w:r w:rsidRPr="003D3AE7">
              <w:rPr>
                <w:rFonts w:ascii="Times New Roman" w:hAnsi="Times New Roman" w:cs="Times New Roman"/>
                <w:b/>
                <w:bCs/>
              </w:rPr>
              <w:instrText>PAGE</w:instrText>
            </w:r>
            <w:r w:rsidRPr="003D3AE7">
              <w:rPr>
                <w:rFonts w:ascii="Times New Roman" w:hAnsi="Times New Roman" w:cs="Times New Roman"/>
                <w:b/>
                <w:bCs/>
                <w:sz w:val="24"/>
                <w:szCs w:val="24"/>
              </w:rPr>
              <w:fldChar w:fldCharType="separate"/>
            </w:r>
            <w:r w:rsidRPr="003D3AE7">
              <w:rPr>
                <w:rFonts w:ascii="Times New Roman" w:hAnsi="Times New Roman" w:cs="Times New Roman"/>
                <w:b/>
                <w:bCs/>
                <w:lang w:val="es-ES"/>
              </w:rPr>
              <w:t>2</w:t>
            </w:r>
            <w:r w:rsidRPr="003D3AE7">
              <w:rPr>
                <w:rFonts w:ascii="Times New Roman" w:hAnsi="Times New Roman" w:cs="Times New Roman"/>
                <w:b/>
                <w:bCs/>
                <w:sz w:val="24"/>
                <w:szCs w:val="24"/>
              </w:rPr>
              <w:fldChar w:fldCharType="end"/>
            </w:r>
            <w:r w:rsidRPr="003D3AE7">
              <w:rPr>
                <w:rFonts w:ascii="Times New Roman" w:hAnsi="Times New Roman" w:cs="Times New Roman"/>
                <w:lang w:val="es-ES"/>
              </w:rPr>
              <w:t xml:space="preserve"> de </w:t>
            </w:r>
            <w:r w:rsidRPr="003D3AE7">
              <w:rPr>
                <w:rFonts w:ascii="Times New Roman" w:hAnsi="Times New Roman" w:cs="Times New Roman"/>
                <w:b/>
                <w:bCs/>
                <w:sz w:val="24"/>
                <w:szCs w:val="24"/>
              </w:rPr>
              <w:fldChar w:fldCharType="begin"/>
            </w:r>
            <w:r w:rsidRPr="003D3AE7">
              <w:rPr>
                <w:rFonts w:ascii="Times New Roman" w:hAnsi="Times New Roman" w:cs="Times New Roman"/>
                <w:b/>
                <w:bCs/>
              </w:rPr>
              <w:instrText>NUMPAGES</w:instrText>
            </w:r>
            <w:r w:rsidRPr="003D3AE7">
              <w:rPr>
                <w:rFonts w:ascii="Times New Roman" w:hAnsi="Times New Roman" w:cs="Times New Roman"/>
                <w:b/>
                <w:bCs/>
                <w:sz w:val="24"/>
                <w:szCs w:val="24"/>
              </w:rPr>
              <w:fldChar w:fldCharType="separate"/>
            </w:r>
            <w:r w:rsidRPr="003D3AE7">
              <w:rPr>
                <w:rFonts w:ascii="Times New Roman" w:hAnsi="Times New Roman" w:cs="Times New Roman"/>
                <w:b/>
                <w:bCs/>
                <w:lang w:val="es-ES"/>
              </w:rPr>
              <w:t>2</w:t>
            </w:r>
            <w:r w:rsidRPr="003D3AE7">
              <w:rPr>
                <w:rFonts w:ascii="Times New Roman" w:hAnsi="Times New Roman" w:cs="Times New Roman"/>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23965" w:rsidP="00784355" w:rsidRDefault="00E23965" w14:paraId="27B2B941" w14:textId="77777777">
      <w:pPr>
        <w:spacing w:after="0" w:line="240" w:lineRule="auto"/>
      </w:pPr>
      <w:r>
        <w:separator/>
      </w:r>
    </w:p>
  </w:footnote>
  <w:footnote w:type="continuationSeparator" w:id="0">
    <w:p w:rsidR="00E23965" w:rsidP="00784355" w:rsidRDefault="00E23965" w14:paraId="7099FBD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2ADF"/>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13D12"/>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3AE7"/>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66915"/>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34B0"/>
    <w:rsid w:val="00686BB2"/>
    <w:rsid w:val="006878E1"/>
    <w:rsid w:val="0069304A"/>
    <w:rsid w:val="00697D6C"/>
    <w:rsid w:val="006A049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52B5E"/>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C5D09"/>
    <w:rsid w:val="008D6DDF"/>
    <w:rsid w:val="008F1161"/>
    <w:rsid w:val="008F479E"/>
    <w:rsid w:val="009011F1"/>
    <w:rsid w:val="009127A6"/>
    <w:rsid w:val="0091528B"/>
    <w:rsid w:val="009157B1"/>
    <w:rsid w:val="00917CAF"/>
    <w:rsid w:val="009272D7"/>
    <w:rsid w:val="00933532"/>
    <w:rsid w:val="00943343"/>
    <w:rsid w:val="00946694"/>
    <w:rsid w:val="00951B99"/>
    <w:rsid w:val="00954E74"/>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A1792"/>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4253A"/>
    <w:rsid w:val="00D50B42"/>
    <w:rsid w:val="00D52BD9"/>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3965"/>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7B301D8"/>
    <w:rsid w:val="07DF55DA"/>
    <w:rsid w:val="1BF1C143"/>
    <w:rsid w:val="3889F523"/>
    <w:rsid w:val="4A032D3E"/>
    <w:rsid w:val="4E232ECC"/>
    <w:rsid w:val="50EE11FF"/>
    <w:rsid w:val="52F7D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E4827D9-77B0-435E-BBB8-69E42CCD8C4E}"/>
</file>

<file path=customXml/itemProps3.xml><?xml version="1.0" encoding="utf-8"?>
<ds:datastoreItem xmlns:ds="http://schemas.openxmlformats.org/officeDocument/2006/customXml" ds:itemID="{D6DE64CA-7D59-4A6A-8292-DF496E5E1F80}"/>
</file>

<file path=customXml/itemProps4.xml><?xml version="1.0" encoding="utf-8"?>
<ds:datastoreItem xmlns:ds="http://schemas.openxmlformats.org/officeDocument/2006/customXml" ds:itemID="{84C5A3D9-5485-43C8-8ADC-907AA05158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30</cp:revision>
  <cp:lastPrinted>2021-02-15T19:30:00Z</cp:lastPrinted>
  <dcterms:created xsi:type="dcterms:W3CDTF">2020-12-18T20:17:00Z</dcterms:created>
  <dcterms:modified xsi:type="dcterms:W3CDTF">2026-02-02T20:56:22Z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