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Pr="001A140F" w:rsidR="00707C99" w:rsidP="00072C60" w:rsidRDefault="00201C0D" w14:paraId="19FE0E96" w14:textId="68E0B3AA">
      <w:pPr>
        <w:spacing w:after="0" w:line="240" w:lineRule="auto"/>
        <w:jc w:val="center"/>
        <w:rPr>
          <w:rFonts w:ascii="Times New Roman" w:hAnsi="Times New Roman" w:cs="Times New Roman"/>
          <w:b/>
          <w:sz w:val="24"/>
          <w:szCs w:val="24"/>
          <w:lang w:val="es-PE" w:eastAsia="ar-SA"/>
        </w:rPr>
      </w:pPr>
      <w:r w:rsidRPr="001A140F">
        <w:rPr>
          <w:rFonts w:ascii="Times New Roman" w:hAnsi="Times New Roman" w:cs="Times New Roman"/>
          <w:b/>
          <w:sz w:val="24"/>
          <w:szCs w:val="24"/>
          <w:lang w:val="es-PE" w:eastAsia="ar-SA"/>
        </w:rPr>
        <w:t xml:space="preserve">RESOLUCIÓN DE RECURSO IMPUGNATIVO </w:t>
      </w:r>
      <w:proofErr w:type="spellStart"/>
      <w:r w:rsidRPr="001A140F" w:rsidR="00707C99">
        <w:rPr>
          <w:rFonts w:ascii="Times New Roman" w:hAnsi="Times New Roman" w:cs="Times New Roman"/>
          <w:b/>
          <w:sz w:val="24"/>
          <w:szCs w:val="24"/>
          <w:lang w:val="es-PE" w:eastAsia="ar-SA"/>
        </w:rPr>
        <w:t>N°</w:t>
      </w:r>
      <w:proofErr w:type="spellEnd"/>
      <w:r w:rsidRPr="001A140F" w:rsidR="00707C99">
        <w:rPr>
          <w:rFonts w:ascii="Times New Roman" w:hAnsi="Times New Roman" w:cs="Times New Roman"/>
          <w:b/>
          <w:sz w:val="24"/>
          <w:szCs w:val="24"/>
          <w:lang w:val="es-PE" w:eastAsia="ar-SA"/>
        </w:rPr>
        <w:t xml:space="preserve"> </w:t>
      </w:r>
      <w:r w:rsidRPr="001A140F" w:rsidR="00C671F5">
        <w:rPr>
          <w:rFonts w:ascii="Times New Roman" w:hAnsi="Times New Roman" w:cs="Times New Roman"/>
          <w:b/>
          <w:sz w:val="24"/>
          <w:szCs w:val="24"/>
          <w:lang w:val="es-PE" w:eastAsia="ar-SA"/>
        </w:rPr>
        <w:t>0</w:t>
      </w:r>
      <w:r w:rsidRPr="001A140F" w:rsidR="000752E4">
        <w:rPr>
          <w:rFonts w:ascii="Times New Roman" w:hAnsi="Times New Roman" w:cs="Times New Roman"/>
          <w:b/>
          <w:sz w:val="24"/>
          <w:szCs w:val="24"/>
          <w:lang w:val="es-PE" w:eastAsia="ar-SA"/>
        </w:rPr>
        <w:t>1</w:t>
      </w:r>
      <w:r w:rsidRPr="001A140F" w:rsidR="001A140F">
        <w:rPr>
          <w:rFonts w:ascii="Times New Roman" w:hAnsi="Times New Roman" w:cs="Times New Roman"/>
          <w:b/>
          <w:sz w:val="24"/>
          <w:szCs w:val="24"/>
          <w:lang w:val="es-PE" w:eastAsia="ar-SA"/>
        </w:rPr>
        <w:t>3</w:t>
      </w:r>
      <w:r w:rsidRPr="001A140F" w:rsidR="00C671F5">
        <w:rPr>
          <w:rFonts w:ascii="Times New Roman" w:hAnsi="Times New Roman" w:cs="Times New Roman"/>
          <w:b/>
          <w:sz w:val="24"/>
          <w:szCs w:val="24"/>
          <w:lang w:val="es-PE" w:eastAsia="ar-SA"/>
        </w:rPr>
        <w:t>/2</w:t>
      </w:r>
      <w:r w:rsidRPr="001A140F" w:rsidR="00231C58">
        <w:rPr>
          <w:rFonts w:ascii="Times New Roman" w:hAnsi="Times New Roman" w:cs="Times New Roman"/>
          <w:b/>
          <w:sz w:val="24"/>
          <w:szCs w:val="24"/>
          <w:lang w:val="es-PE" w:eastAsia="ar-SA"/>
        </w:rPr>
        <w:t>1</w:t>
      </w:r>
    </w:p>
    <w:p w:rsidRPr="001A140F" w:rsidR="00707C99" w:rsidP="00072C60" w:rsidRDefault="00707C99" w14:paraId="428240E5" w14:textId="06F06948">
      <w:pPr>
        <w:suppressAutoHyphens/>
        <w:spacing w:after="0" w:line="240" w:lineRule="auto"/>
        <w:jc w:val="both"/>
        <w:rPr>
          <w:rFonts w:ascii="Times New Roman" w:hAnsi="Times New Roman" w:eastAsia="Times New Roman" w:cs="Times New Roman"/>
          <w:b/>
          <w:bCs/>
          <w:sz w:val="24"/>
          <w:szCs w:val="24"/>
          <w:lang w:val="es-PE" w:eastAsia="ar-SA"/>
        </w:rPr>
      </w:pPr>
    </w:p>
    <w:p w:rsidRPr="001A140F" w:rsidR="001A140F" w:rsidP="001A140F" w:rsidRDefault="001A140F" w14:paraId="180AD60F" w14:textId="77777777">
      <w:pPr>
        <w:jc w:val="both"/>
        <w:rPr>
          <w:rFonts w:ascii="Times New Roman" w:hAnsi="Times New Roman" w:cs="Times New Roman"/>
          <w:b/>
          <w:bCs/>
          <w:sz w:val="24"/>
          <w:szCs w:val="24"/>
          <w:lang w:val="es-PE"/>
        </w:rPr>
      </w:pPr>
    </w:p>
    <w:p w:rsidRPr="001A140F" w:rsidR="001A140F" w:rsidP="001A140F" w:rsidRDefault="001A140F" w14:paraId="31666D24" w14:textId="737263A2">
      <w:pPr>
        <w:jc w:val="both"/>
        <w:outlineLvl w:val="0"/>
        <w:rPr>
          <w:rFonts w:ascii="Times New Roman" w:hAnsi="Times New Roman" w:cs="Times New Roman"/>
          <w:b/>
          <w:bCs/>
          <w:sz w:val="24"/>
          <w:szCs w:val="24"/>
          <w:lang w:val="es-PE"/>
        </w:rPr>
      </w:pPr>
      <w:r w:rsidRPr="001A140F">
        <w:rPr>
          <w:rFonts w:ascii="Times New Roman" w:hAnsi="Times New Roman" w:cs="Times New Roman"/>
          <w:b/>
          <w:bCs/>
          <w:sz w:val="24"/>
          <w:szCs w:val="24"/>
          <w:lang w:val="es-PE"/>
        </w:rPr>
        <w:t>VISTOS:</w:t>
      </w:r>
    </w:p>
    <w:p w:rsidRPr="001A140F" w:rsidR="001A140F" w:rsidP="001A140F" w:rsidRDefault="001A140F" w14:paraId="618FDC8A" w14:textId="53AF8374">
      <w:pPr>
        <w:jc w:val="both"/>
        <w:rPr>
          <w:rFonts w:ascii="Times New Roman" w:hAnsi="Times New Roman" w:cs="Times New Roman"/>
          <w:sz w:val="24"/>
          <w:szCs w:val="24"/>
          <w:lang w:val="es-PE"/>
        </w:rPr>
      </w:pPr>
      <w:r w:rsidRPr="6F8CE7BE" w:rsidR="001A140F">
        <w:rPr>
          <w:rFonts w:ascii="Times New Roman" w:hAnsi="Times New Roman" w:cs="Times New Roman"/>
          <w:sz w:val="24"/>
          <w:szCs w:val="24"/>
          <w:lang w:val="es-PE"/>
        </w:rPr>
        <w:t xml:space="preserve">El recurso de impugnación presentado por </w:t>
      </w:r>
      <w:r w:rsidRPr="6F8CE7BE" w:rsidR="4DD49DC6">
        <w:rPr>
          <w:rFonts w:ascii="Times New Roman" w:hAnsi="Times New Roman" w:cs="Times New Roman"/>
          <w:sz w:val="24"/>
          <w:szCs w:val="24"/>
          <w:lang w:val="es-PE"/>
        </w:rPr>
        <w:t>............................................</w:t>
      </w:r>
      <w:r w:rsidRPr="6F8CE7BE" w:rsidR="001A140F">
        <w:rPr>
          <w:rFonts w:ascii="Times New Roman" w:hAnsi="Times New Roman" w:cs="Times New Roman"/>
          <w:b w:val="1"/>
          <w:bCs w:val="1"/>
          <w:sz w:val="24"/>
          <w:szCs w:val="24"/>
          <w:lang w:val="es-PE"/>
        </w:rPr>
        <w:t xml:space="preserve"> </w:t>
      </w:r>
      <w:r w:rsidRPr="6F8CE7BE" w:rsidR="001A140F">
        <w:rPr>
          <w:rFonts w:ascii="Times New Roman" w:hAnsi="Times New Roman" w:cs="Times New Roman"/>
          <w:sz w:val="24"/>
          <w:szCs w:val="24"/>
          <w:lang w:val="es-PE"/>
        </w:rPr>
        <w:t xml:space="preserve">respecto de la Resolución ORU Nro. 121/20, expedida por el Órgano Resolutorio Unipersonal de esta Defensoría del Asegurado (DEFASEG), conforme a la cual se declaró INFUNDADA la reclamación interpuesta por el contrario </w:t>
      </w:r>
      <w:r w:rsidRPr="6F8CE7BE" w:rsidR="29CA1581">
        <w:rPr>
          <w:rFonts w:ascii="Times New Roman" w:hAnsi="Times New Roman" w:cs="Times New Roman"/>
          <w:sz w:val="24"/>
          <w:szCs w:val="24"/>
          <w:lang w:val="es-PE"/>
        </w:rPr>
        <w:t>.....................................</w:t>
      </w:r>
      <w:r w:rsidRPr="6F8CE7BE" w:rsidR="001A140F">
        <w:rPr>
          <w:rFonts w:ascii="Times New Roman" w:hAnsi="Times New Roman" w:cs="Times New Roman"/>
          <w:sz w:val="24"/>
          <w:szCs w:val="24"/>
          <w:lang w:val="es-PE"/>
        </w:rPr>
        <w:t>;</w:t>
      </w:r>
    </w:p>
    <w:p w:rsidRPr="001A140F" w:rsidR="001A140F" w:rsidP="001A140F" w:rsidRDefault="001A140F" w14:paraId="670C910B" w14:textId="17D7E96E">
      <w:pPr>
        <w:pStyle w:val="Textoindependiente"/>
        <w:rPr>
          <w:lang w:val="es-PE" w:eastAsia="es-PE"/>
        </w:rPr>
      </w:pPr>
      <w:r w:rsidRPr="6F8CE7BE" w:rsidR="001A140F">
        <w:rPr>
          <w:lang w:val="es-PE"/>
        </w:rPr>
        <w:t xml:space="preserve">Que, el indicado recurso se sustenta resumidamente en lo siguiente: (1) se produjo el reconocimiento tácito del siniestro por parte de la aseguradora, por cuanto en la solicitud-certificado del Seguro de Protección de Tarjeta No </w:t>
      </w:r>
      <w:r w:rsidRPr="6F8CE7BE" w:rsidR="2FA4F3DC">
        <w:rPr>
          <w:lang w:val="es-PE" w:eastAsia="es-PE"/>
        </w:rPr>
        <w:t>.............................................</w:t>
      </w:r>
      <w:r w:rsidRPr="6F8CE7BE" w:rsidR="001A140F">
        <w:rPr>
          <w:lang w:val="es-PE" w:eastAsia="es-PE"/>
        </w:rPr>
        <w:t xml:space="preserve"> en la cláusula señalada en el último párrafo de la página 14 se establece un plazo de 30 días; (2) efectuó el reclamo a la comercializadora (Banco Continental) el 2 de noviembre del 2020, y la aseguradora no formuló ningún requerimiento, aclaración o precisión adicional respecto de la documentación e información presentada; (3) los requerimientos que debió efectuar la aseguradora dentro del plazo de los veinte (20) días, que señala la Solicitud-Certificado del Seguro de Protección, requerimiento que de algún modo, hubiera evidenciado la suspensión del plazo de pronunciamiento; (4) la aseguradora se pronunció respecto al rechazo de la solicitud de cobertura recién el 17 de Enero del 2020; (5) el órgano resolutorio unipersonal comete un error de apreciación, por cuanto el documento presentado por el reclamante, denominado “Declaración Jurada de fecha 10 de Enero del 2020” no guarda ninguna relación con la documentación que sí exige la aseguradora como es; la Declaración Jurada de no haber contratado o solicitado o tramitado cobertura de alguna póliza de seguro que cuente con cobertura de la misma naturaleza; (6) en el presente caso, la declaración jurada de fecha 10 de Enero del 2020 trata de una relación de operaciones no reconocidas por el asegurado, (operaciones que ya habían sido completadas con los estados de cuenta y movimientos bancarios presentados oportunamente); (7) el Órgano Resolutivo Unipersonal mal puede considerar que con dicha documentación (declaración jurada 10 de enero del 2020) recién se ha completado toda la documentación exigida en la póliza; ya que tampoco existe como exigencia en la póliza, el declarar bajo juramento la relación de operaciones no reconocidas; (8) la “declaración jurada del 10 de Enero del 2020” no se presentó ante un requerimiento, aclaración o precisión efectuada por la aseguradora al asegurado, sino que fue un documento presentado a iniciativa de parte, de motu proprio; (9) cuando se presentó la citada declaración jurada, ya se había cumplido en exceso los 20 días que tenía la aseguradora para requerir documentaciones, aclaraciones o precisiones, y también ya se había cumplido el plazo de los 30 días para que la aseguradora se pronuncie sobre el rechazo del siniestro; por lo que ya había operado el reconocimiento tácito.</w:t>
      </w:r>
    </w:p>
    <w:p w:rsidRPr="001A140F" w:rsidR="001A140F" w:rsidP="001A140F" w:rsidRDefault="001A140F" w14:paraId="682536F3" w14:textId="77777777">
      <w:pPr>
        <w:pStyle w:val="Textoindependiente"/>
        <w:rPr>
          <w:lang w:val="es-PE"/>
        </w:rPr>
      </w:pPr>
    </w:p>
    <w:p w:rsidRPr="001A140F" w:rsidR="001A140F" w:rsidP="001A140F" w:rsidRDefault="001A140F" w14:paraId="76B9EDF4" w14:textId="649ACB26">
      <w:pPr>
        <w:pStyle w:val="Textoindependiente"/>
        <w:rPr>
          <w:lang w:val="es-PE"/>
        </w:rPr>
      </w:pPr>
      <w:r w:rsidRPr="6F8CE7BE" w:rsidR="001A140F">
        <w:rPr>
          <w:lang w:val="es-PE"/>
        </w:rPr>
        <w:t xml:space="preserve">Que, la aseguradora absolvió el traslado del recurso interpuesto, manifestando en síntesis lo siguiente: (1) el plazo con que cuenta la aseguradora para pronunciarse es de treinta (30) días desde la fecha de haberse completado toda la documentación exigida en la póliza para el pago del siniestro, en caso no se cumpla este plazo, estaríamos ante la figura de siniestro consentido; (2) el asegurado no cumplió con presentar oportunamente los documentos previstos en el certificado de Seguro de Protección de Tarjeta </w:t>
      </w:r>
      <w:r w:rsidRPr="6F8CE7BE" w:rsidR="001A140F">
        <w:rPr>
          <w:lang w:val="es-PE"/>
        </w:rPr>
        <w:t>N°</w:t>
      </w:r>
      <w:r w:rsidRPr="6F8CE7BE" w:rsidR="001A140F">
        <w:rPr>
          <w:lang w:val="es-PE"/>
        </w:rPr>
        <w:t xml:space="preserve"> </w:t>
      </w:r>
      <w:r w:rsidRPr="6F8CE7BE" w:rsidR="2FA4F3DC">
        <w:rPr>
          <w:lang w:val="es-PE"/>
        </w:rPr>
        <w:t>.............................................</w:t>
      </w:r>
      <w:r w:rsidRPr="6F8CE7BE" w:rsidR="001A140F">
        <w:rPr>
          <w:lang w:val="es-PE"/>
        </w:rPr>
        <w:t xml:space="preserve">, como es el atestado policial; (3) el día 10 de enero de 2020 el asegurado recién completó la última documentación por medio del </w:t>
      </w:r>
      <w:r w:rsidRPr="6F8CE7BE" w:rsidR="5D68FCA3">
        <w:rPr>
          <w:lang w:val="es-PE"/>
        </w:rPr>
        <w:t>................</w:t>
      </w:r>
      <w:r w:rsidRPr="6F8CE7BE" w:rsidR="001A140F">
        <w:rPr>
          <w:lang w:val="es-PE"/>
        </w:rPr>
        <w:t xml:space="preserve">; (4) el plazo para que un siniestro quede consentido (30 </w:t>
      </w:r>
      <w:r w:rsidRPr="6F8CE7BE" w:rsidR="001A140F">
        <w:rPr>
          <w:lang w:val="es-PE"/>
        </w:rPr>
        <w:t xml:space="preserve">días) empieza desde que se completa la información solicitada por la compañía de seguros y no desde la ocurrencia del siniestro. </w:t>
      </w:r>
    </w:p>
    <w:p w:rsidRPr="001A140F" w:rsidR="001A140F" w:rsidP="001A140F" w:rsidRDefault="001A140F" w14:paraId="55EA9623" w14:textId="77777777">
      <w:pPr>
        <w:pStyle w:val="Textoindependiente"/>
        <w:rPr>
          <w:lang w:val="es-PE"/>
        </w:rPr>
      </w:pPr>
    </w:p>
    <w:p w:rsidR="001A140F" w:rsidP="001A140F" w:rsidRDefault="001A140F" w14:paraId="30499639" w14:textId="5DF39611">
      <w:pPr>
        <w:pStyle w:val="Textoindependiente"/>
        <w:tabs>
          <w:tab w:val="left" w:pos="930"/>
        </w:tabs>
        <w:rPr>
          <w:lang w:val="es-PE"/>
        </w:rPr>
      </w:pPr>
      <w:r w:rsidRPr="001A140F">
        <w:rPr>
          <w:lang w:val="es-PE"/>
        </w:rPr>
        <w:t>Que, atendiendo a lo expuesto, esta Defensoría resuelve finalmente lo siguiente:</w:t>
      </w:r>
    </w:p>
    <w:p w:rsidRPr="001A140F" w:rsidR="001A140F" w:rsidP="001A140F" w:rsidRDefault="001A140F" w14:paraId="64D0E2D0" w14:textId="77777777">
      <w:pPr>
        <w:pStyle w:val="Textoindependiente"/>
        <w:tabs>
          <w:tab w:val="left" w:pos="930"/>
        </w:tabs>
        <w:rPr>
          <w:lang w:val="es-PE"/>
        </w:rPr>
      </w:pPr>
    </w:p>
    <w:p w:rsidRPr="001A140F" w:rsidR="001A140F" w:rsidP="001A140F" w:rsidRDefault="001A140F" w14:paraId="47019DFF" w14:textId="3C9A4132">
      <w:pPr>
        <w:jc w:val="both"/>
        <w:rPr>
          <w:rFonts w:ascii="Times New Roman" w:hAnsi="Times New Roman" w:cs="Times New Roman"/>
          <w:sz w:val="24"/>
          <w:szCs w:val="24"/>
          <w:lang w:val="es-PE"/>
        </w:rPr>
      </w:pPr>
      <w:r w:rsidRPr="001A140F">
        <w:rPr>
          <w:rFonts w:ascii="Times New Roman" w:hAnsi="Times New Roman" w:cs="Times New Roman"/>
          <w:b/>
          <w:sz w:val="24"/>
          <w:szCs w:val="24"/>
          <w:u w:val="single"/>
          <w:lang w:val="es-PE"/>
        </w:rPr>
        <w:t>PRIMERO</w:t>
      </w:r>
      <w:r w:rsidRPr="001A140F">
        <w:rPr>
          <w:rFonts w:ascii="Times New Roman" w:hAnsi="Times New Roman" w:cs="Times New Roman"/>
          <w:b/>
          <w:sz w:val="24"/>
          <w:szCs w:val="24"/>
          <w:lang w:val="es-PE"/>
        </w:rPr>
        <w:t>:</w:t>
      </w:r>
      <w:r w:rsidRPr="001A140F">
        <w:rPr>
          <w:rFonts w:ascii="Times New Roman" w:hAnsi="Times New Roman" w:cs="Times New Roman"/>
          <w:sz w:val="24"/>
          <w:szCs w:val="24"/>
          <w:lang w:val="es-PE"/>
        </w:rPr>
        <w:t xml:space="preserve"> El artículo 10 (Procedimiento) del Reglamento de la DEFASEG </w:t>
      </w:r>
      <w:r w:rsidRPr="001A140F">
        <w:rPr>
          <w:rFonts w:ascii="Times New Roman" w:hAnsi="Times New Roman" w:eastAsia="Arial Unicode MS" w:cs="Times New Roman"/>
          <w:sz w:val="24"/>
          <w:szCs w:val="24"/>
          <w:lang w:val="es-PE"/>
        </w:rPr>
        <w:t>(http://www.defaseg.com.pe/reglamento)</w:t>
      </w:r>
      <w:r w:rsidRPr="001A140F">
        <w:rPr>
          <w:rFonts w:ascii="Times New Roman" w:hAnsi="Times New Roman" w:cs="Times New Roman"/>
          <w:sz w:val="24"/>
          <w:szCs w:val="24"/>
          <w:lang w:val="es-PE"/>
        </w:rPr>
        <w:t xml:space="preserve"> establece que cualquiera de las partes que no se encuentre de acuerdo con la decisión adoptada por el Órgano Resolutorio Unipersonal sobre la materia reclamada, podrá impugnarla, interponiendo el correspondiente recurso de impugnación.  </w:t>
      </w:r>
    </w:p>
    <w:p w:rsidRPr="001A140F" w:rsidR="001A140F" w:rsidP="001A140F" w:rsidRDefault="001A140F" w14:paraId="24A3B5B8" w14:textId="04C3E9C5">
      <w:pPr>
        <w:jc w:val="both"/>
        <w:rPr>
          <w:rFonts w:ascii="Times New Roman" w:hAnsi="Times New Roman" w:cs="Times New Roman"/>
          <w:sz w:val="24"/>
          <w:szCs w:val="24"/>
          <w:lang w:val="es-PE"/>
        </w:rPr>
      </w:pPr>
      <w:r w:rsidRPr="001A140F">
        <w:rPr>
          <w:rFonts w:ascii="Times New Roman" w:hAnsi="Times New Roman" w:cs="Times New Roman"/>
          <w:sz w:val="24"/>
          <w:szCs w:val="24"/>
          <w:lang w:val="es-PE"/>
        </w:rPr>
        <w:t>Conforme a ello, en el caso concreto, al interponer el recurso de impugnación el reclamante ha ejercido formalmente su derecho a contradecir lo resuelto por el Órgano Resolutorio Unipersonal.</w:t>
      </w:r>
    </w:p>
    <w:p w:rsidRPr="001A140F" w:rsidR="001A140F" w:rsidP="001A140F" w:rsidRDefault="001A140F" w14:paraId="2295C071" w14:textId="6AEBCC6F">
      <w:pPr>
        <w:jc w:val="both"/>
        <w:rPr>
          <w:rFonts w:ascii="Times New Roman" w:hAnsi="Times New Roman" w:cs="Times New Roman"/>
          <w:sz w:val="24"/>
          <w:szCs w:val="24"/>
          <w:lang w:val="es-PE"/>
        </w:rPr>
      </w:pPr>
      <w:r w:rsidRPr="001A140F">
        <w:rPr>
          <w:rFonts w:ascii="Times New Roman" w:hAnsi="Times New Roman" w:cs="Times New Roman"/>
          <w:b/>
          <w:bCs/>
          <w:sz w:val="24"/>
          <w:szCs w:val="24"/>
          <w:u w:val="single"/>
          <w:lang w:val="es-PE"/>
        </w:rPr>
        <w:t>SEGUNDO</w:t>
      </w:r>
      <w:r w:rsidRPr="001A140F">
        <w:rPr>
          <w:rFonts w:ascii="Times New Roman" w:hAnsi="Times New Roman" w:cs="Times New Roman"/>
          <w:b/>
          <w:bCs/>
          <w:sz w:val="24"/>
          <w:szCs w:val="24"/>
          <w:lang w:val="es-PE"/>
        </w:rPr>
        <w:t>:</w:t>
      </w:r>
      <w:r w:rsidRPr="001A140F">
        <w:rPr>
          <w:rFonts w:ascii="Times New Roman" w:hAnsi="Times New Roman" w:cs="Times New Roman"/>
          <w:bCs/>
          <w:sz w:val="24"/>
          <w:szCs w:val="24"/>
          <w:lang w:val="es-PE"/>
        </w:rPr>
        <w:t xml:space="preserve"> Que el recurso de impugnación presentado por el asegurado no se sustenta en nueva prueba sino en discrepar </w:t>
      </w:r>
      <w:proofErr w:type="gramStart"/>
      <w:r w:rsidRPr="001A140F">
        <w:rPr>
          <w:rFonts w:ascii="Times New Roman" w:hAnsi="Times New Roman" w:cs="Times New Roman"/>
          <w:bCs/>
          <w:sz w:val="24"/>
          <w:szCs w:val="24"/>
          <w:lang w:val="es-PE"/>
        </w:rPr>
        <w:t>con</w:t>
      </w:r>
      <w:proofErr w:type="gramEnd"/>
      <w:r w:rsidRPr="001A140F">
        <w:rPr>
          <w:rFonts w:ascii="Times New Roman" w:hAnsi="Times New Roman" w:cs="Times New Roman"/>
          <w:sz w:val="24"/>
          <w:szCs w:val="24"/>
          <w:lang w:val="es-PE"/>
        </w:rPr>
        <w:t xml:space="preserve"> la interpretación respecto al extremo referido a un supuesto de siniestro consentido.</w:t>
      </w:r>
    </w:p>
    <w:p w:rsidRPr="001A140F" w:rsidR="001A140F" w:rsidP="001A140F" w:rsidRDefault="001A140F" w14:paraId="539A8BD0" w14:textId="730E9C0F">
      <w:pPr>
        <w:tabs>
          <w:tab w:val="left" w:pos="2160"/>
        </w:tabs>
        <w:jc w:val="both"/>
        <w:rPr>
          <w:rFonts w:ascii="Times New Roman" w:hAnsi="Times New Roman" w:cs="Times New Roman"/>
          <w:sz w:val="24"/>
          <w:szCs w:val="24"/>
          <w:lang w:val="es-PE"/>
        </w:rPr>
      </w:pPr>
      <w:r w:rsidRPr="001A140F">
        <w:rPr>
          <w:rFonts w:ascii="Times New Roman" w:hAnsi="Times New Roman" w:cs="Times New Roman"/>
          <w:sz w:val="24"/>
          <w:szCs w:val="24"/>
          <w:lang w:val="es-PE"/>
        </w:rPr>
        <w:t>Sobre el particular, este Colegiado advierte que, tal como se precisa en el considerando noveno de la resolución impugnada,</w:t>
      </w:r>
      <w:r w:rsidRPr="001A140F">
        <w:rPr>
          <w:rFonts w:ascii="Times New Roman" w:hAnsi="Times New Roman" w:cs="Times New Roman"/>
          <w:sz w:val="24"/>
          <w:szCs w:val="24"/>
          <w:lang w:val="es-PE" w:eastAsia="es-ES"/>
        </w:rPr>
        <w:t xml:space="preserve"> el plazo de 30 días establecido en el artículo 74 de la Ley del Contrato de Seguro con que cuenta </w:t>
      </w:r>
      <w:r w:rsidRPr="001A140F">
        <w:rPr>
          <w:rFonts w:ascii="Times New Roman" w:hAnsi="Times New Roman" w:cs="Times New Roman"/>
          <w:sz w:val="24"/>
          <w:szCs w:val="24"/>
          <w:lang w:val="es-PE"/>
        </w:rPr>
        <w:t>la aseguradora para pronunciarse, se computa desde la fecha en que se completó toda la documentación exigida en la póliza para el pago del siniestro.</w:t>
      </w:r>
    </w:p>
    <w:p w:rsidRPr="001A140F" w:rsidR="001A140F" w:rsidP="001A140F" w:rsidRDefault="001A140F" w14:paraId="7882CA69" w14:textId="1285CE48">
      <w:pPr>
        <w:tabs>
          <w:tab w:val="left" w:pos="567"/>
          <w:tab w:val="left" w:pos="2160"/>
        </w:tabs>
        <w:jc w:val="both"/>
        <w:rPr>
          <w:rFonts w:ascii="Times New Roman" w:hAnsi="Times New Roman" w:cs="Times New Roman"/>
          <w:sz w:val="24"/>
          <w:szCs w:val="24"/>
          <w:lang w:val="es-PE"/>
        </w:rPr>
      </w:pPr>
      <w:r w:rsidRPr="001A140F">
        <w:rPr>
          <w:rFonts w:ascii="Times New Roman" w:hAnsi="Times New Roman" w:cs="Times New Roman"/>
          <w:sz w:val="24"/>
          <w:szCs w:val="24"/>
          <w:lang w:val="es-PE"/>
        </w:rPr>
        <w:t>En ese sentido, tal como se ha establecido en reiterados precedentes de esta Defensoría, un presupuesto esencial para que corra el cómputo del plazo con que cuenta la aseguradora para pronunciarse, es que el asegurado haya completado toda la documentación e información exigida en la póliza para la liquidación del siniestro.</w:t>
      </w:r>
    </w:p>
    <w:p w:rsidRPr="001A140F" w:rsidR="001A140F" w:rsidP="001A140F" w:rsidRDefault="001A140F" w14:paraId="42F5E845" w14:textId="6D636F3C">
      <w:pPr>
        <w:tabs>
          <w:tab w:val="left" w:pos="567"/>
          <w:tab w:val="left" w:pos="2160"/>
        </w:tabs>
        <w:jc w:val="both"/>
        <w:rPr>
          <w:rFonts w:ascii="Times New Roman" w:hAnsi="Times New Roman" w:cs="Times New Roman"/>
          <w:sz w:val="24"/>
          <w:szCs w:val="24"/>
          <w:lang w:val="es-PE"/>
        </w:rPr>
      </w:pPr>
      <w:r w:rsidRPr="6F8CE7BE" w:rsidR="001A140F">
        <w:rPr>
          <w:rFonts w:ascii="Times New Roman" w:hAnsi="Times New Roman" w:cs="Times New Roman"/>
          <w:sz w:val="24"/>
          <w:szCs w:val="24"/>
          <w:lang w:val="es-PE"/>
        </w:rPr>
        <w:t xml:space="preserve">Conforme a la Solicitud Certificado No </w:t>
      </w:r>
      <w:r w:rsidRPr="6F8CE7BE" w:rsidR="2FA4F3DC">
        <w:rPr>
          <w:rFonts w:ascii="Times New Roman" w:hAnsi="Times New Roman" w:cs="Times New Roman"/>
          <w:sz w:val="24"/>
          <w:szCs w:val="24"/>
          <w:lang w:val="es-PE"/>
        </w:rPr>
        <w:t>.............................................</w:t>
      </w:r>
      <w:r w:rsidRPr="6F8CE7BE" w:rsidR="001A140F">
        <w:rPr>
          <w:rFonts w:ascii="Times New Roman" w:hAnsi="Times New Roman" w:cs="Times New Roman"/>
          <w:sz w:val="24"/>
          <w:szCs w:val="24"/>
          <w:lang w:val="es-PE"/>
        </w:rPr>
        <w:t xml:space="preserve"> el plazo de 30 días previsto en la Ley del Contrato de Seguro, así como en dicho certificado, empieza a correr a partir de la fecha en que el asegurado cumpla con presentar la siguiente documentación, que se detalla como recaudo de la solicitud de cobertura:</w:t>
      </w:r>
    </w:p>
    <w:p w:rsidRPr="001A140F" w:rsidR="001A140F" w:rsidP="001A140F" w:rsidRDefault="001A140F" w14:paraId="7750576D" w14:textId="77777777">
      <w:pPr>
        <w:autoSpaceDE w:val="0"/>
        <w:autoSpaceDN w:val="0"/>
        <w:adjustRightInd w:val="0"/>
        <w:ind w:left="708"/>
        <w:jc w:val="both"/>
        <w:rPr>
          <w:rFonts w:ascii="Times New Roman" w:hAnsi="Times New Roman" w:eastAsia="Calibri" w:cs="Times New Roman"/>
          <w:i/>
          <w:iCs/>
          <w:sz w:val="24"/>
          <w:szCs w:val="24"/>
          <w:lang w:val="es-PE"/>
        </w:rPr>
      </w:pPr>
      <w:r w:rsidRPr="001A140F">
        <w:rPr>
          <w:rFonts w:ascii="Times New Roman" w:hAnsi="Times New Roman" w:eastAsia="Calibri" w:cs="Times New Roman"/>
          <w:i/>
          <w:iCs/>
          <w:sz w:val="24"/>
          <w:szCs w:val="24"/>
          <w:lang w:val="es-PE"/>
        </w:rPr>
        <w:t>“SOLICITUD DE COBERTURA</w:t>
      </w:r>
    </w:p>
    <w:p w:rsidRPr="001A140F" w:rsidR="001A140F" w:rsidP="6F8CE7BE" w:rsidRDefault="001A140F" w14:paraId="6036D560" w14:textId="7BBC36FA">
      <w:pPr>
        <w:autoSpaceDE w:val="0"/>
        <w:autoSpaceDN w:val="0"/>
        <w:adjustRightInd w:val="0"/>
        <w:ind w:left="708"/>
        <w:jc w:val="both"/>
        <w:rPr>
          <w:rFonts w:ascii="Times New Roman" w:hAnsi="Times New Roman" w:eastAsia="Calibri" w:cs="Times New Roman"/>
          <w:i w:val="1"/>
          <w:iCs w:val="1"/>
          <w:sz w:val="24"/>
          <w:szCs w:val="24"/>
          <w:lang w:val="es-PE"/>
        </w:rPr>
      </w:pPr>
      <w:r w:rsidRPr="6F8CE7BE" w:rsidR="001A140F">
        <w:rPr>
          <w:rFonts w:ascii="Times New Roman" w:hAnsi="Times New Roman" w:eastAsia="Calibri" w:cs="Times New Roman"/>
          <w:i w:val="1"/>
          <w:iCs w:val="1"/>
          <w:sz w:val="24"/>
          <w:szCs w:val="24"/>
          <w:lang w:val="es-PE"/>
        </w:rPr>
        <w:t>Para solicitar la cobertura de su seguro, deberá enviarnos los documentos descritos (según la cobertura que corresponda activar) al correo siniestrosproteccióndetarjetas@</w:t>
      </w:r>
      <w:r w:rsidRPr="6F8CE7BE" w:rsidR="5D68FCA3">
        <w:rPr>
          <w:rFonts w:ascii="Times New Roman" w:hAnsi="Times New Roman" w:eastAsia="Calibri" w:cs="Times New Roman"/>
          <w:i w:val="1"/>
          <w:iCs w:val="1"/>
          <w:sz w:val="24"/>
          <w:szCs w:val="24"/>
          <w:lang w:val="es-PE"/>
        </w:rPr>
        <w:t>................</w:t>
      </w:r>
      <w:r w:rsidRPr="6F8CE7BE" w:rsidR="001A140F">
        <w:rPr>
          <w:rFonts w:ascii="Times New Roman" w:hAnsi="Times New Roman" w:eastAsia="Calibri" w:cs="Times New Roman"/>
          <w:i w:val="1"/>
          <w:iCs w:val="1"/>
          <w:sz w:val="24"/>
          <w:szCs w:val="24"/>
          <w:lang w:val="es-PE"/>
        </w:rPr>
        <w:t>.com. Asimismo, también puede acercarse a nuestras Plataformas de Atención al Cliente descritas en el presente Certificado de Seguro, a fin de presentar los documentos (en original o en copia legalizada) o al Comercializador de seguro. Recuerde que, antes de remitir la documentación, deberá haber cumplido con las obligaciones del ASEGURADO en caso de siniestro.</w:t>
      </w:r>
    </w:p>
    <w:p w:rsidRPr="001A140F" w:rsidR="001A140F" w:rsidP="001A140F" w:rsidRDefault="001A140F" w14:paraId="32A4A98E" w14:textId="77777777">
      <w:pPr>
        <w:autoSpaceDE w:val="0"/>
        <w:autoSpaceDN w:val="0"/>
        <w:adjustRightInd w:val="0"/>
        <w:ind w:left="708"/>
        <w:jc w:val="both"/>
        <w:rPr>
          <w:rFonts w:ascii="Times New Roman" w:hAnsi="Times New Roman" w:eastAsia="Calibri" w:cs="Times New Roman"/>
          <w:i/>
          <w:iCs/>
          <w:sz w:val="24"/>
          <w:szCs w:val="24"/>
          <w:lang w:val="es-PE"/>
        </w:rPr>
      </w:pPr>
      <w:r w:rsidRPr="001A140F">
        <w:rPr>
          <w:rFonts w:ascii="Times New Roman" w:hAnsi="Times New Roman" w:eastAsia="Calibri" w:cs="Times New Roman"/>
          <w:i/>
          <w:iCs/>
          <w:sz w:val="24"/>
          <w:szCs w:val="24"/>
          <w:lang w:val="es-PE"/>
        </w:rPr>
        <w:t>(a) El Asegurado deberá presentar:</w:t>
      </w:r>
    </w:p>
    <w:p w:rsidRPr="001A140F" w:rsidR="001A140F" w:rsidP="001A140F" w:rsidRDefault="001A140F" w14:paraId="720972B7" w14:textId="77777777">
      <w:pPr>
        <w:pStyle w:val="Prrafodelista"/>
        <w:numPr>
          <w:ilvl w:val="0"/>
          <w:numId w:val="6"/>
        </w:numPr>
        <w:autoSpaceDE w:val="0"/>
        <w:autoSpaceDN w:val="0"/>
        <w:adjustRightInd w:val="0"/>
        <w:spacing w:after="0" w:line="240" w:lineRule="auto"/>
        <w:jc w:val="both"/>
        <w:rPr>
          <w:rFonts w:ascii="Times New Roman" w:hAnsi="Times New Roman" w:eastAsia="Calibri" w:cs="Times New Roman"/>
          <w:i/>
          <w:iCs/>
          <w:sz w:val="24"/>
          <w:szCs w:val="24"/>
          <w:lang w:val="es-PE"/>
        </w:rPr>
      </w:pPr>
      <w:r w:rsidRPr="001A140F">
        <w:rPr>
          <w:rFonts w:ascii="Times New Roman" w:hAnsi="Times New Roman" w:eastAsia="Calibri" w:cs="Times New Roman"/>
          <w:i/>
          <w:iCs/>
          <w:sz w:val="24"/>
          <w:szCs w:val="24"/>
          <w:lang w:val="es-PE"/>
        </w:rPr>
        <w:t>Copia Certificada de la denuncia policial.</w:t>
      </w:r>
    </w:p>
    <w:p w:rsidRPr="001A140F" w:rsidR="001A140F" w:rsidP="001A140F" w:rsidRDefault="001A140F" w14:paraId="6F82D748" w14:textId="77777777">
      <w:pPr>
        <w:pStyle w:val="Prrafodelista"/>
        <w:numPr>
          <w:ilvl w:val="0"/>
          <w:numId w:val="6"/>
        </w:numPr>
        <w:autoSpaceDE w:val="0"/>
        <w:autoSpaceDN w:val="0"/>
        <w:adjustRightInd w:val="0"/>
        <w:spacing w:after="0" w:line="240" w:lineRule="auto"/>
        <w:jc w:val="both"/>
        <w:rPr>
          <w:rFonts w:ascii="Times New Roman" w:hAnsi="Times New Roman" w:eastAsia="Calibri" w:cs="Times New Roman"/>
          <w:i/>
          <w:iCs/>
          <w:sz w:val="24"/>
          <w:szCs w:val="24"/>
          <w:lang w:val="es-PE"/>
        </w:rPr>
      </w:pPr>
      <w:r w:rsidRPr="001A140F">
        <w:rPr>
          <w:rFonts w:ascii="Times New Roman" w:hAnsi="Times New Roman" w:eastAsia="Calibri" w:cs="Times New Roman"/>
          <w:i/>
          <w:iCs/>
          <w:sz w:val="24"/>
          <w:szCs w:val="24"/>
          <w:lang w:val="es-PE"/>
        </w:rPr>
        <w:t>El(los) código(s) de bloqueo con fecha y hora.</w:t>
      </w:r>
    </w:p>
    <w:p w:rsidRPr="001A140F" w:rsidR="001A140F" w:rsidP="001A140F" w:rsidRDefault="001A140F" w14:paraId="0989C84A" w14:textId="77777777">
      <w:pPr>
        <w:pStyle w:val="Prrafodelista"/>
        <w:numPr>
          <w:ilvl w:val="0"/>
          <w:numId w:val="6"/>
        </w:numPr>
        <w:autoSpaceDE w:val="0"/>
        <w:autoSpaceDN w:val="0"/>
        <w:adjustRightInd w:val="0"/>
        <w:spacing w:after="0" w:line="240" w:lineRule="auto"/>
        <w:jc w:val="both"/>
        <w:rPr>
          <w:rFonts w:ascii="Times New Roman" w:hAnsi="Times New Roman" w:eastAsia="Calibri" w:cs="Times New Roman"/>
          <w:i/>
          <w:iCs/>
          <w:sz w:val="24"/>
          <w:szCs w:val="24"/>
          <w:lang w:val="es-PE"/>
        </w:rPr>
      </w:pPr>
      <w:r w:rsidRPr="001A140F">
        <w:rPr>
          <w:rFonts w:ascii="Times New Roman" w:hAnsi="Times New Roman" w:eastAsia="Calibri" w:cs="Times New Roman"/>
          <w:i/>
          <w:iCs/>
          <w:sz w:val="24"/>
          <w:szCs w:val="24"/>
          <w:lang w:val="es-PE"/>
        </w:rPr>
        <w:lastRenderedPageBreak/>
        <w:t>Estados de cuenta o extractos de movimientos donde figuren los consumos indebidos en establecimientos comerciales o los retiros indebidos o el monto del dinero retirado de los cajeros automáticos como consecuencia del robo.</w:t>
      </w:r>
    </w:p>
    <w:p w:rsidRPr="001A140F" w:rsidR="001A140F" w:rsidP="001A140F" w:rsidRDefault="001A140F" w14:paraId="05D57E5A" w14:textId="77777777">
      <w:pPr>
        <w:pStyle w:val="Prrafodelista"/>
        <w:numPr>
          <w:ilvl w:val="0"/>
          <w:numId w:val="6"/>
        </w:numPr>
        <w:autoSpaceDE w:val="0"/>
        <w:autoSpaceDN w:val="0"/>
        <w:adjustRightInd w:val="0"/>
        <w:spacing w:after="0" w:line="240" w:lineRule="auto"/>
        <w:jc w:val="both"/>
        <w:rPr>
          <w:rFonts w:ascii="Times New Roman" w:hAnsi="Times New Roman" w:eastAsia="Calibri" w:cs="Times New Roman"/>
          <w:i/>
          <w:iCs/>
          <w:sz w:val="24"/>
          <w:szCs w:val="24"/>
          <w:lang w:val="es-PE"/>
        </w:rPr>
      </w:pPr>
      <w:r w:rsidRPr="001A140F">
        <w:rPr>
          <w:rFonts w:ascii="Times New Roman" w:hAnsi="Times New Roman" w:eastAsia="Calibri" w:cs="Times New Roman"/>
          <w:i/>
          <w:iCs/>
          <w:sz w:val="24"/>
          <w:szCs w:val="24"/>
          <w:lang w:val="es-PE"/>
        </w:rPr>
        <w:t>Comprobante(s) donde figura la fecha, hora, monto y lugar de los consumos indebidos.</w:t>
      </w:r>
    </w:p>
    <w:p w:rsidRPr="001A140F" w:rsidR="001A140F" w:rsidP="001A140F" w:rsidRDefault="001A140F" w14:paraId="6A5CF066" w14:textId="77777777">
      <w:pPr>
        <w:pStyle w:val="Prrafodelista"/>
        <w:numPr>
          <w:ilvl w:val="0"/>
          <w:numId w:val="6"/>
        </w:numPr>
        <w:autoSpaceDE w:val="0"/>
        <w:autoSpaceDN w:val="0"/>
        <w:adjustRightInd w:val="0"/>
        <w:spacing w:after="0" w:line="240" w:lineRule="auto"/>
        <w:jc w:val="both"/>
        <w:rPr>
          <w:rFonts w:ascii="Times New Roman" w:hAnsi="Times New Roman" w:eastAsia="Calibri" w:cs="Times New Roman"/>
          <w:i/>
          <w:iCs/>
          <w:sz w:val="24"/>
          <w:szCs w:val="24"/>
          <w:lang w:val="es-PE"/>
        </w:rPr>
      </w:pPr>
      <w:r w:rsidRPr="001A140F">
        <w:rPr>
          <w:rFonts w:ascii="Times New Roman" w:hAnsi="Times New Roman" w:eastAsia="Calibri" w:cs="Times New Roman"/>
          <w:i/>
          <w:iCs/>
          <w:sz w:val="24"/>
          <w:szCs w:val="24"/>
          <w:lang w:val="es-PE"/>
        </w:rPr>
        <w:t>Copia de Documento de Identidad del ASEGURADO.</w:t>
      </w:r>
    </w:p>
    <w:p w:rsidRPr="001A140F" w:rsidR="001A140F" w:rsidP="001A140F" w:rsidRDefault="001A140F" w14:paraId="0A7F719E" w14:textId="77777777">
      <w:pPr>
        <w:pStyle w:val="Prrafodelista"/>
        <w:numPr>
          <w:ilvl w:val="0"/>
          <w:numId w:val="6"/>
        </w:numPr>
        <w:autoSpaceDE w:val="0"/>
        <w:autoSpaceDN w:val="0"/>
        <w:adjustRightInd w:val="0"/>
        <w:spacing w:after="0" w:line="240" w:lineRule="auto"/>
        <w:jc w:val="both"/>
        <w:rPr>
          <w:rFonts w:ascii="Times New Roman" w:hAnsi="Times New Roman" w:eastAsia="Calibri" w:cs="Times New Roman"/>
          <w:i/>
          <w:iCs/>
          <w:sz w:val="24"/>
          <w:szCs w:val="24"/>
          <w:lang w:val="es-PE"/>
        </w:rPr>
      </w:pPr>
      <w:r w:rsidRPr="001A140F">
        <w:rPr>
          <w:rFonts w:ascii="Times New Roman" w:hAnsi="Times New Roman" w:eastAsia="Calibri" w:cs="Times New Roman"/>
          <w:i/>
          <w:iCs/>
          <w:sz w:val="24"/>
          <w:szCs w:val="24"/>
          <w:lang w:val="es-PE"/>
        </w:rPr>
        <w:t>La dirección actual y teléfono del ASEGURADO.</w:t>
      </w:r>
    </w:p>
    <w:p w:rsidRPr="001A140F" w:rsidR="001A140F" w:rsidP="001A140F" w:rsidRDefault="001A140F" w14:paraId="563677D7" w14:textId="77777777">
      <w:pPr>
        <w:pStyle w:val="Prrafodelista"/>
        <w:numPr>
          <w:ilvl w:val="0"/>
          <w:numId w:val="6"/>
        </w:numPr>
        <w:autoSpaceDE w:val="0"/>
        <w:autoSpaceDN w:val="0"/>
        <w:adjustRightInd w:val="0"/>
        <w:spacing w:after="0" w:line="240" w:lineRule="auto"/>
        <w:jc w:val="both"/>
        <w:rPr>
          <w:rFonts w:ascii="Times New Roman" w:hAnsi="Times New Roman" w:eastAsia="Calibri" w:cs="Times New Roman"/>
          <w:i/>
          <w:iCs/>
          <w:sz w:val="24"/>
          <w:szCs w:val="24"/>
          <w:lang w:val="es-PE"/>
        </w:rPr>
      </w:pPr>
      <w:r w:rsidRPr="001A140F">
        <w:rPr>
          <w:rFonts w:ascii="Times New Roman" w:hAnsi="Times New Roman" w:eastAsia="Calibri" w:cs="Times New Roman"/>
          <w:i/>
          <w:iCs/>
          <w:sz w:val="24"/>
          <w:szCs w:val="24"/>
          <w:lang w:val="es-PE"/>
        </w:rPr>
        <w:t>Declaración Jurada de no haber contratado o solicitado o tramitado cobertura de alguna Póliza de Seguro que cuente con coberturas de la misma naturaleza, con otras compañías de seguros o de haber recibido indemnización por parte de otras compañías de seguros. En caso de haber presentado solicitud de cobertura a otra compañía de seguros por el mismo siniestro reportado a la ASEGURADORA, deberá presentar copia simple de dicha solicitud.</w:t>
      </w:r>
    </w:p>
    <w:p w:rsidRPr="001A140F" w:rsidR="001A140F" w:rsidP="001A140F" w:rsidRDefault="001A140F" w14:paraId="02A04ADA" w14:textId="77777777">
      <w:pPr>
        <w:pStyle w:val="Prrafodelista"/>
        <w:numPr>
          <w:ilvl w:val="0"/>
          <w:numId w:val="6"/>
        </w:numPr>
        <w:autoSpaceDE w:val="0"/>
        <w:autoSpaceDN w:val="0"/>
        <w:adjustRightInd w:val="0"/>
        <w:spacing w:after="0" w:line="240" w:lineRule="auto"/>
        <w:jc w:val="both"/>
        <w:rPr>
          <w:rFonts w:ascii="Times New Roman" w:hAnsi="Times New Roman" w:eastAsia="Calibri" w:cs="Times New Roman"/>
          <w:i/>
          <w:iCs/>
          <w:sz w:val="24"/>
          <w:szCs w:val="24"/>
          <w:lang w:val="es-PE"/>
        </w:rPr>
      </w:pPr>
      <w:r w:rsidRPr="001A140F">
        <w:rPr>
          <w:rFonts w:ascii="Times New Roman" w:hAnsi="Times New Roman" w:eastAsia="Calibri" w:cs="Times New Roman"/>
          <w:i/>
          <w:iCs/>
          <w:sz w:val="24"/>
          <w:szCs w:val="24"/>
          <w:lang w:val="es-PE"/>
        </w:rPr>
        <w:t>Copia Certificada de las conclusiones del Atestado Policial o el resultado de las investigaciones policiales.</w:t>
      </w:r>
    </w:p>
    <w:p w:rsidRPr="001A140F" w:rsidR="001A140F" w:rsidP="001A140F" w:rsidRDefault="001A140F" w14:paraId="5A643535" w14:textId="77777777">
      <w:pPr>
        <w:pStyle w:val="Prrafodelista"/>
        <w:numPr>
          <w:ilvl w:val="0"/>
          <w:numId w:val="6"/>
        </w:numPr>
        <w:tabs>
          <w:tab w:val="left" w:pos="2160"/>
        </w:tabs>
        <w:spacing w:after="0" w:line="240" w:lineRule="auto"/>
        <w:jc w:val="both"/>
        <w:rPr>
          <w:rFonts w:ascii="Times New Roman" w:hAnsi="Times New Roman" w:cs="Times New Roman"/>
          <w:i/>
          <w:iCs/>
          <w:sz w:val="24"/>
          <w:szCs w:val="24"/>
          <w:lang w:val="es-PE"/>
        </w:rPr>
      </w:pPr>
      <w:r w:rsidRPr="001A140F">
        <w:rPr>
          <w:rFonts w:ascii="Times New Roman" w:hAnsi="Times New Roman" w:eastAsia="Calibri" w:cs="Times New Roman"/>
          <w:i/>
          <w:iCs/>
          <w:sz w:val="24"/>
          <w:szCs w:val="24"/>
          <w:lang w:val="es-PE"/>
        </w:rPr>
        <w:t>Cualquier otro documento o información adicional en caso las circunstancias específicas lo ameriten.</w:t>
      </w:r>
    </w:p>
    <w:p w:rsidRPr="001A140F" w:rsidR="001A140F" w:rsidP="001A140F" w:rsidRDefault="001A140F" w14:paraId="515A0BF2" w14:textId="77777777">
      <w:pPr>
        <w:pStyle w:val="Prrafodelista"/>
        <w:tabs>
          <w:tab w:val="left" w:pos="2160"/>
        </w:tabs>
        <w:jc w:val="both"/>
        <w:rPr>
          <w:rFonts w:ascii="Times New Roman" w:hAnsi="Times New Roman" w:eastAsia="Calibri" w:cs="Times New Roman"/>
          <w:i/>
          <w:iCs/>
          <w:sz w:val="24"/>
          <w:szCs w:val="24"/>
          <w:lang w:val="es-PE"/>
        </w:rPr>
      </w:pPr>
      <w:r w:rsidRPr="001A140F">
        <w:rPr>
          <w:rFonts w:ascii="Times New Roman" w:hAnsi="Times New Roman" w:eastAsia="Calibri" w:cs="Times New Roman"/>
          <w:i/>
          <w:iCs/>
          <w:sz w:val="24"/>
          <w:szCs w:val="24"/>
          <w:lang w:val="es-PE"/>
        </w:rPr>
        <w:t>(…)</w:t>
      </w:r>
    </w:p>
    <w:p w:rsidRPr="001A140F" w:rsidR="001A140F" w:rsidP="001A140F" w:rsidRDefault="001A140F" w14:paraId="5543683B" w14:textId="18F50687">
      <w:pPr>
        <w:autoSpaceDE w:val="0"/>
        <w:autoSpaceDN w:val="0"/>
        <w:adjustRightInd w:val="0"/>
        <w:ind w:left="708"/>
        <w:jc w:val="both"/>
        <w:rPr>
          <w:rFonts w:ascii="Times New Roman" w:hAnsi="Times New Roman" w:cs="Times New Roman"/>
          <w:i/>
          <w:iCs/>
          <w:sz w:val="24"/>
          <w:szCs w:val="24"/>
          <w:lang w:val="es-PE"/>
        </w:rPr>
      </w:pPr>
      <w:r w:rsidRPr="001A140F">
        <w:rPr>
          <w:rFonts w:ascii="Times New Roman" w:hAnsi="Times New Roman" w:cs="Times New Roman"/>
          <w:i/>
          <w:iCs/>
          <w:sz w:val="24"/>
          <w:szCs w:val="24"/>
          <w:lang w:val="es-PE" w:eastAsia="es-PE"/>
        </w:rPr>
        <w:t>Dentro de los treinta (30) días siguientes a la fecha de haber recibido la documentación e información completa exigida en la Póliza para el proceso de liquidación del siniestro, la ASEGURADORA debe pronunciarse sobre el consentimiento o rechazo del Siniestro.</w:t>
      </w:r>
      <w:r w:rsidRPr="001A140F">
        <w:rPr>
          <w:rFonts w:ascii="Times New Roman" w:hAnsi="Times New Roman" w:eastAsia="Calibri" w:cs="Times New Roman"/>
          <w:i/>
          <w:iCs/>
          <w:sz w:val="24"/>
          <w:szCs w:val="24"/>
          <w:lang w:val="es-PE"/>
        </w:rPr>
        <w:t>”</w:t>
      </w:r>
    </w:p>
    <w:p w:rsidRPr="001A140F" w:rsidR="001A140F" w:rsidP="001A140F" w:rsidRDefault="001A140F" w14:paraId="7BF855CD" w14:textId="0B082BCF">
      <w:pPr>
        <w:tabs>
          <w:tab w:val="left" w:pos="567"/>
          <w:tab w:val="left" w:pos="2160"/>
        </w:tabs>
        <w:jc w:val="both"/>
        <w:rPr>
          <w:rFonts w:ascii="Times New Roman" w:hAnsi="Times New Roman" w:cs="Times New Roman"/>
          <w:sz w:val="24"/>
          <w:szCs w:val="24"/>
          <w:lang w:val="es-PE"/>
        </w:rPr>
      </w:pPr>
      <w:r w:rsidRPr="001A140F">
        <w:rPr>
          <w:rFonts w:ascii="Times New Roman" w:hAnsi="Times New Roman" w:cs="Times New Roman"/>
          <w:sz w:val="24"/>
          <w:szCs w:val="24"/>
          <w:lang w:val="es-PE"/>
        </w:rPr>
        <w:t>Del texto anterior se advierte que la documentación e información completa exigida en la Póliza para el proceso de liquidación del siniestro comprende, entre otros, (i) una Declaración Jurada de no haber contratado o solicitado o tramitado cobertura de alguna Póliza de Seguro, y (</w:t>
      </w:r>
      <w:proofErr w:type="spellStart"/>
      <w:r w:rsidRPr="001A140F">
        <w:rPr>
          <w:rFonts w:ascii="Times New Roman" w:hAnsi="Times New Roman" w:cs="Times New Roman"/>
          <w:sz w:val="24"/>
          <w:szCs w:val="24"/>
          <w:lang w:val="es-PE"/>
        </w:rPr>
        <w:t>ii</w:t>
      </w:r>
      <w:proofErr w:type="spellEnd"/>
      <w:r w:rsidRPr="001A140F">
        <w:rPr>
          <w:rFonts w:ascii="Times New Roman" w:hAnsi="Times New Roman" w:cs="Times New Roman"/>
          <w:sz w:val="24"/>
          <w:szCs w:val="24"/>
          <w:lang w:val="es-PE"/>
        </w:rPr>
        <w:t>) copia certificada de las conclusiones del Atestado Policial.</w:t>
      </w:r>
    </w:p>
    <w:p w:rsidRPr="001A140F" w:rsidR="001A140F" w:rsidP="001A140F" w:rsidRDefault="001A140F" w14:paraId="0C6272A3" w14:textId="5385519B">
      <w:pPr>
        <w:tabs>
          <w:tab w:val="left" w:pos="567"/>
          <w:tab w:val="left" w:pos="2160"/>
        </w:tabs>
        <w:jc w:val="both"/>
        <w:rPr>
          <w:rFonts w:ascii="Times New Roman" w:hAnsi="Times New Roman" w:cs="Times New Roman"/>
          <w:sz w:val="24"/>
          <w:szCs w:val="24"/>
          <w:lang w:val="es-PE"/>
        </w:rPr>
      </w:pPr>
      <w:r w:rsidRPr="001A140F">
        <w:rPr>
          <w:rFonts w:ascii="Times New Roman" w:hAnsi="Times New Roman" w:cs="Times New Roman"/>
          <w:sz w:val="24"/>
          <w:szCs w:val="24"/>
          <w:lang w:val="es-PE"/>
        </w:rPr>
        <w:t>En el presente caso el asegurado con su solicitud de cobertura no presentó la declaración jurada en mención, ni presentó copia certificada de las conclusiones del Atestado Policial.</w:t>
      </w:r>
    </w:p>
    <w:p w:rsidRPr="001A140F" w:rsidR="001A140F" w:rsidP="001A140F" w:rsidRDefault="001A140F" w14:paraId="4AF7040C" w14:textId="3C9883FF">
      <w:pPr>
        <w:tabs>
          <w:tab w:val="left" w:pos="567"/>
          <w:tab w:val="left" w:pos="2160"/>
        </w:tabs>
        <w:jc w:val="both"/>
        <w:rPr>
          <w:rFonts w:ascii="Times New Roman" w:hAnsi="Times New Roman" w:cs="Times New Roman"/>
          <w:sz w:val="24"/>
          <w:szCs w:val="24"/>
          <w:lang w:val="es-PE"/>
        </w:rPr>
      </w:pPr>
      <w:r w:rsidRPr="001A140F">
        <w:rPr>
          <w:rFonts w:ascii="Times New Roman" w:hAnsi="Times New Roman" w:cs="Times New Roman"/>
          <w:sz w:val="24"/>
          <w:szCs w:val="24"/>
          <w:lang w:val="es-PE"/>
        </w:rPr>
        <w:t>En tanto la documentación presentada estaba incompleta, resulta claro que el plazo de 30 días no se podía computar, por lo que no se produjo el reconocimiento tácito que invoca el reclamante, ni mucho menos un supuesto de siniestro consentido.</w:t>
      </w:r>
    </w:p>
    <w:p w:rsidRPr="001A140F" w:rsidR="001A140F" w:rsidP="001A140F" w:rsidRDefault="001A140F" w14:paraId="51D4297E" w14:textId="420C9B90">
      <w:pPr>
        <w:tabs>
          <w:tab w:val="left" w:pos="2160"/>
        </w:tabs>
        <w:jc w:val="both"/>
        <w:rPr>
          <w:rFonts w:ascii="Times New Roman" w:hAnsi="Times New Roman" w:cs="Times New Roman"/>
          <w:sz w:val="24"/>
          <w:szCs w:val="24"/>
          <w:lang w:val="es-PE" w:eastAsia="es-ES"/>
        </w:rPr>
      </w:pPr>
      <w:r w:rsidRPr="001A140F">
        <w:rPr>
          <w:rFonts w:ascii="Times New Roman" w:hAnsi="Times New Roman" w:cs="Times New Roman"/>
          <w:sz w:val="24"/>
          <w:szCs w:val="24"/>
          <w:lang w:val="es-PE" w:eastAsia="es-ES"/>
        </w:rPr>
        <w:t>Consecuentemente, esta Defensoría verifica que persiste la situación fáctica y legal que califica el rechazo de cobertura como legítimo.</w:t>
      </w:r>
    </w:p>
    <w:p w:rsidR="001A140F" w:rsidP="001A140F" w:rsidRDefault="001A140F" w14:paraId="24A28009" w14:textId="61B3590C">
      <w:pPr>
        <w:jc w:val="both"/>
        <w:rPr>
          <w:rFonts w:ascii="Times New Roman" w:hAnsi="Times New Roman" w:cs="Times New Roman"/>
          <w:sz w:val="24"/>
          <w:szCs w:val="24"/>
          <w:lang w:val="es-PE"/>
        </w:rPr>
      </w:pPr>
      <w:r w:rsidRPr="001A140F">
        <w:rPr>
          <w:rFonts w:ascii="Times New Roman" w:hAnsi="Times New Roman" w:cs="Times New Roman"/>
          <w:b/>
          <w:sz w:val="24"/>
          <w:szCs w:val="24"/>
          <w:u w:val="single"/>
          <w:lang w:val="es-PE"/>
        </w:rPr>
        <w:t>TERCERO</w:t>
      </w:r>
      <w:r w:rsidRPr="001A140F">
        <w:rPr>
          <w:rFonts w:ascii="Times New Roman" w:hAnsi="Times New Roman" w:cs="Times New Roman"/>
          <w:b/>
          <w:sz w:val="24"/>
          <w:szCs w:val="24"/>
          <w:lang w:val="es-PE"/>
        </w:rPr>
        <w:t>:</w:t>
      </w:r>
      <w:r w:rsidRPr="001A140F">
        <w:rPr>
          <w:rFonts w:ascii="Times New Roman" w:hAnsi="Times New Roman" w:cs="Times New Roman"/>
          <w:sz w:val="24"/>
          <w:szCs w:val="24"/>
          <w:lang w:val="es-PE"/>
        </w:rPr>
        <w:t xml:space="preserve"> En atención a las consideraciones precedentes, este colegiado aprecia finalmente que no se ha evidenciado error ni falta de fundamentos en la resolución recurrida, ni la recurrente ha aportado nueva prueba que conlleve a conclusiones distintas a las establecidas en la resolución materia de impugnación, por lo que no existe mérito ni razón objetiva para revocarla.</w:t>
      </w:r>
    </w:p>
    <w:p w:rsidRPr="001A140F" w:rsidR="001A140F" w:rsidP="001A140F" w:rsidRDefault="001A140F" w14:paraId="386C00E5" w14:textId="77777777">
      <w:pPr>
        <w:jc w:val="both"/>
        <w:rPr>
          <w:rFonts w:ascii="Times New Roman" w:hAnsi="Times New Roman" w:cs="Times New Roman"/>
          <w:sz w:val="24"/>
          <w:szCs w:val="24"/>
          <w:lang w:val="es-PE"/>
        </w:rPr>
      </w:pPr>
    </w:p>
    <w:p w:rsidRPr="001A140F" w:rsidR="001A140F" w:rsidP="001A140F" w:rsidRDefault="001A140F" w14:paraId="091699DD" w14:textId="77777777">
      <w:pPr>
        <w:jc w:val="both"/>
        <w:rPr>
          <w:rFonts w:ascii="Times New Roman" w:hAnsi="Times New Roman" w:cs="Times New Roman"/>
          <w:b/>
          <w:sz w:val="24"/>
          <w:szCs w:val="24"/>
          <w:lang w:val="es-PE"/>
        </w:rPr>
      </w:pPr>
      <w:r w:rsidRPr="001A140F">
        <w:rPr>
          <w:rFonts w:ascii="Times New Roman" w:hAnsi="Times New Roman" w:cs="Times New Roman"/>
          <w:b/>
          <w:sz w:val="24"/>
          <w:szCs w:val="24"/>
          <w:lang w:val="es-PE"/>
        </w:rPr>
        <w:t>RESUELVE:</w:t>
      </w:r>
    </w:p>
    <w:p w:rsidRPr="001A140F" w:rsidR="001A140F" w:rsidP="001A140F" w:rsidRDefault="001A140F" w14:paraId="4319566D" w14:textId="77777777">
      <w:pPr>
        <w:jc w:val="both"/>
        <w:rPr>
          <w:rFonts w:ascii="Times New Roman" w:hAnsi="Times New Roman" w:cs="Times New Roman"/>
          <w:sz w:val="24"/>
          <w:szCs w:val="24"/>
          <w:lang w:val="es-PE"/>
        </w:rPr>
      </w:pPr>
    </w:p>
    <w:p w:rsidRPr="001A140F" w:rsidR="001A140F" w:rsidP="001A140F" w:rsidRDefault="001A140F" w14:paraId="3E1574B5" w14:textId="77777777">
      <w:pPr>
        <w:jc w:val="both"/>
        <w:rPr>
          <w:rFonts w:ascii="Times New Roman" w:hAnsi="Times New Roman" w:cs="Times New Roman"/>
          <w:sz w:val="24"/>
          <w:szCs w:val="24"/>
          <w:lang w:val="es-PE"/>
        </w:rPr>
      </w:pPr>
      <w:r w:rsidRPr="001A140F">
        <w:rPr>
          <w:rFonts w:ascii="Times New Roman" w:hAnsi="Times New Roman" w:eastAsia="Arial Unicode MS" w:cs="Times New Roman"/>
          <w:b/>
          <w:sz w:val="24"/>
          <w:szCs w:val="24"/>
          <w:lang w:val="es-PE"/>
        </w:rPr>
        <w:t>Declarar INFUNDADO el recurso de impugnación interpuesto y, por consiguiente, CONFIRMAR la Resolución ORU Nro. 121/20</w:t>
      </w:r>
      <w:r w:rsidRPr="001A140F">
        <w:rPr>
          <w:rFonts w:ascii="Times New Roman" w:hAnsi="Times New Roman" w:cs="Times New Roman"/>
          <w:sz w:val="24"/>
          <w:szCs w:val="24"/>
          <w:lang w:val="es-PE"/>
        </w:rPr>
        <w:t>.</w:t>
      </w:r>
    </w:p>
    <w:p w:rsidRPr="00466915" w:rsidR="00077B6F" w:rsidP="00C671F5" w:rsidRDefault="0091528B" w14:paraId="78A39B5B" w14:textId="61ED1FC6">
      <w:pPr>
        <w:suppressAutoHyphens/>
        <w:spacing w:after="0" w:line="240" w:lineRule="auto"/>
        <w:jc w:val="right"/>
        <w:outlineLvl w:val="0"/>
        <w:rPr>
          <w:rFonts w:ascii="Times New Roman" w:hAnsi="Times New Roman" w:eastAsia="Arial Unicode MS" w:cs="Times New Roman"/>
          <w:sz w:val="24"/>
          <w:szCs w:val="24"/>
          <w:lang w:val="es-PE" w:eastAsia="ar-SA"/>
        </w:rPr>
      </w:pPr>
      <w:r w:rsidRPr="00466915">
        <w:rPr>
          <w:rFonts w:ascii="Times New Roman" w:hAnsi="Times New Roman" w:eastAsia="Arial Unicode MS" w:cs="Times New Roman"/>
          <w:sz w:val="24"/>
          <w:szCs w:val="24"/>
          <w:lang w:val="es-PE" w:eastAsia="ar-SA"/>
        </w:rPr>
        <w:t xml:space="preserve">Lima, </w:t>
      </w:r>
      <w:r w:rsidRPr="00466915" w:rsidR="00466915">
        <w:rPr>
          <w:rFonts w:ascii="Times New Roman" w:hAnsi="Times New Roman" w:eastAsia="Arial Unicode MS" w:cs="Times New Roman"/>
          <w:sz w:val="24"/>
          <w:szCs w:val="24"/>
          <w:lang w:val="es-PE" w:eastAsia="ar-SA"/>
        </w:rPr>
        <w:t>15</w:t>
      </w:r>
      <w:r w:rsidRPr="00466915" w:rsidR="00707C99">
        <w:rPr>
          <w:rFonts w:ascii="Times New Roman" w:hAnsi="Times New Roman" w:eastAsia="Arial Unicode MS" w:cs="Times New Roman"/>
          <w:sz w:val="24"/>
          <w:szCs w:val="24"/>
          <w:lang w:val="es-PE" w:eastAsia="ar-SA"/>
        </w:rPr>
        <w:t xml:space="preserve"> de </w:t>
      </w:r>
      <w:r w:rsidRPr="00466915" w:rsidR="00AF16B6">
        <w:rPr>
          <w:rFonts w:ascii="Times New Roman" w:hAnsi="Times New Roman" w:eastAsia="Arial Unicode MS" w:cs="Times New Roman"/>
          <w:sz w:val="24"/>
          <w:szCs w:val="24"/>
          <w:lang w:val="es-PE" w:eastAsia="ar-SA"/>
        </w:rPr>
        <w:t>febrero</w:t>
      </w:r>
      <w:r w:rsidRPr="00466915" w:rsidR="00F06498">
        <w:rPr>
          <w:rFonts w:ascii="Times New Roman" w:hAnsi="Times New Roman" w:eastAsia="Arial Unicode MS" w:cs="Times New Roman"/>
          <w:sz w:val="24"/>
          <w:szCs w:val="24"/>
          <w:lang w:val="es-PE" w:eastAsia="ar-SA"/>
        </w:rPr>
        <w:t xml:space="preserve"> de 202</w:t>
      </w:r>
      <w:r w:rsidRPr="00466915" w:rsidR="00231C58">
        <w:rPr>
          <w:rFonts w:ascii="Times New Roman" w:hAnsi="Times New Roman" w:eastAsia="Arial Unicode MS" w:cs="Times New Roman"/>
          <w:sz w:val="24"/>
          <w:szCs w:val="24"/>
          <w:lang w:val="es-PE" w:eastAsia="ar-SA"/>
        </w:rPr>
        <w:t>1</w:t>
      </w:r>
      <w:r w:rsidRPr="00466915" w:rsidR="00707C99">
        <w:rPr>
          <w:rFonts w:ascii="Times New Roman" w:hAnsi="Times New Roman" w:eastAsia="Times New Roman" w:cs="Times New Roman"/>
          <w:sz w:val="24"/>
          <w:szCs w:val="24"/>
          <w:lang w:val="es-PE" w:eastAsia="ar-SA"/>
        </w:rPr>
        <w:t xml:space="preserve"> </w:t>
      </w:r>
    </w:p>
    <w:p w:rsidRPr="00466915" w:rsidR="00C671F5" w:rsidP="00C671F5" w:rsidRDefault="00C671F5" w14:paraId="486C3F46" w14:textId="3443E457">
      <w:pPr>
        <w:suppressAutoHyphens/>
        <w:spacing w:after="0" w:line="240" w:lineRule="auto"/>
        <w:outlineLvl w:val="0"/>
        <w:rPr>
          <w:rFonts w:ascii="Times New Roman" w:hAnsi="Times New Roman" w:eastAsia="Arial Unicode MS" w:cs="Times New Roman"/>
          <w:sz w:val="24"/>
          <w:szCs w:val="24"/>
          <w:lang w:val="es-PE" w:eastAsia="ar-SA"/>
        </w:rPr>
      </w:pPr>
    </w:p>
    <w:p w:rsidRPr="00466915" w:rsidR="00231C58" w:rsidP="00C671F5" w:rsidRDefault="00231C58" w14:paraId="2B9BAAC8" w14:textId="77777777">
      <w:pPr>
        <w:suppressAutoHyphens/>
        <w:spacing w:after="0" w:line="240" w:lineRule="auto"/>
        <w:outlineLvl w:val="0"/>
        <w:rPr>
          <w:rFonts w:ascii="Times New Roman" w:hAnsi="Times New Roman" w:eastAsia="Times New Roman" w:cs="Times New Roman"/>
          <w:sz w:val="24"/>
          <w:szCs w:val="24"/>
          <w:lang w:val="es-PE" w:eastAsia="ar-SA"/>
        </w:rPr>
      </w:pPr>
    </w:p>
    <w:p w:rsidRPr="00466915" w:rsidR="00C671F5" w:rsidP="00C671F5" w:rsidRDefault="00C671F5" w14:paraId="7BC448E0" w14:textId="77777777">
      <w:pPr>
        <w:spacing w:after="0" w:line="240" w:lineRule="auto"/>
        <w:jc w:val="both"/>
        <w:rPr>
          <w:rFonts w:ascii="Times New Roman" w:hAnsi="Times New Roman" w:cs="Times New Roman"/>
          <w:b/>
          <w:bCs/>
          <w:i/>
          <w:iCs/>
          <w:sz w:val="24"/>
          <w:szCs w:val="24"/>
          <w:lang w:val="es-PE"/>
        </w:rPr>
      </w:pPr>
      <w:r w:rsidRPr="00466915">
        <w:rPr>
          <w:rFonts w:ascii="Times New Roman" w:hAnsi="Times New Roman" w:cs="Times New Roman"/>
          <w:b/>
          <w:bCs/>
          <w:i/>
          <w:iCs/>
          <w:sz w:val="24"/>
          <w:szCs w:val="24"/>
          <w:lang w:val="es-PE"/>
        </w:rPr>
        <w:t>La Secretaría Técnica certifica que la presente resolución cuenta con el voto de los vocales cuyos nombres figuran en el presente documento.</w:t>
      </w:r>
    </w:p>
    <w:p w:rsidRPr="00466915" w:rsidR="00C671F5" w:rsidP="00C671F5" w:rsidRDefault="00C671F5" w14:paraId="3408E6CE" w14:textId="77777777">
      <w:pPr>
        <w:spacing w:after="0" w:line="360" w:lineRule="auto"/>
        <w:jc w:val="both"/>
        <w:rPr>
          <w:rFonts w:ascii="Times New Roman" w:hAnsi="Times New Roman" w:cs="Times New Roman"/>
          <w:b/>
          <w:bCs/>
          <w:i/>
          <w:iCs/>
          <w:sz w:val="24"/>
          <w:szCs w:val="24"/>
          <w:lang w:val="es-PE"/>
        </w:rPr>
      </w:pPr>
    </w:p>
    <w:p w:rsidRPr="00466915" w:rsidR="00C671F5" w:rsidP="00C671F5" w:rsidRDefault="00231C58" w14:paraId="548B3E5B" w14:textId="57961DC3">
      <w:pPr>
        <w:spacing w:after="0" w:line="360" w:lineRule="auto"/>
        <w:jc w:val="center"/>
        <w:rPr>
          <w:rFonts w:ascii="Times New Roman" w:hAnsi="Times New Roman" w:cs="Times New Roman"/>
          <w:b/>
          <w:bCs/>
          <w:sz w:val="24"/>
          <w:szCs w:val="24"/>
          <w:lang w:val="es-PE"/>
        </w:rPr>
      </w:pPr>
      <w:r w:rsidRPr="00466915">
        <w:rPr>
          <w:rFonts w:ascii="Times New Roman" w:hAnsi="Times New Roman" w:cs="Times New Roman"/>
          <w:b/>
          <w:bCs/>
          <w:sz w:val="24"/>
          <w:szCs w:val="24"/>
          <w:lang w:val="es-PE"/>
        </w:rPr>
        <w:t xml:space="preserve">María Eugenia Valdez Fernández Baca </w:t>
      </w:r>
      <w:r w:rsidRPr="00466915" w:rsidR="00C671F5">
        <w:rPr>
          <w:rFonts w:ascii="Times New Roman" w:hAnsi="Times New Roman" w:cs="Times New Roman"/>
          <w:b/>
          <w:bCs/>
          <w:sz w:val="24"/>
          <w:szCs w:val="24"/>
          <w:lang w:val="es-PE"/>
        </w:rPr>
        <w:t xml:space="preserve">– </w:t>
      </w:r>
      <w:r w:rsidR="00BE324A">
        <w:rPr>
          <w:rFonts w:ascii="Times New Roman" w:hAnsi="Times New Roman" w:cs="Times New Roman"/>
          <w:b/>
          <w:bCs/>
          <w:sz w:val="24"/>
          <w:szCs w:val="24"/>
          <w:lang w:val="es-PE"/>
        </w:rPr>
        <w:t>Vocal</w:t>
      </w:r>
    </w:p>
    <w:p w:rsidRPr="00466915" w:rsidR="00C671F5" w:rsidP="00C671F5" w:rsidRDefault="00C671F5" w14:paraId="55E7D9D7" w14:textId="724A8615">
      <w:pPr>
        <w:spacing w:after="0" w:line="360" w:lineRule="auto"/>
        <w:jc w:val="center"/>
        <w:rPr>
          <w:rFonts w:ascii="Times New Roman" w:hAnsi="Times New Roman" w:cs="Times New Roman"/>
          <w:b/>
          <w:bCs/>
          <w:sz w:val="24"/>
          <w:szCs w:val="24"/>
          <w:lang w:val="es-PE"/>
        </w:rPr>
      </w:pPr>
      <w:r w:rsidRPr="00466915">
        <w:rPr>
          <w:rFonts w:ascii="Times New Roman" w:hAnsi="Times New Roman" w:cs="Times New Roman"/>
          <w:b/>
          <w:bCs/>
          <w:sz w:val="24"/>
          <w:szCs w:val="24"/>
          <w:lang w:val="es-PE"/>
        </w:rPr>
        <w:t>Marco Antonio Ortega Piana – Vocal</w:t>
      </w:r>
    </w:p>
    <w:p w:rsidRPr="00466915" w:rsidR="00C671F5" w:rsidP="00C671F5" w:rsidRDefault="00C671F5" w14:paraId="3A9CFE9F" w14:textId="4DFF4426">
      <w:pPr>
        <w:spacing w:after="0" w:line="360" w:lineRule="auto"/>
        <w:jc w:val="center"/>
        <w:rPr>
          <w:rFonts w:ascii="Times New Roman" w:hAnsi="Times New Roman" w:cs="Times New Roman"/>
          <w:sz w:val="24"/>
          <w:szCs w:val="24"/>
          <w:lang w:val="es-PE"/>
        </w:rPr>
      </w:pPr>
      <w:r w:rsidRPr="00466915">
        <w:rPr>
          <w:rFonts w:ascii="Times New Roman" w:hAnsi="Times New Roman" w:cs="Times New Roman"/>
          <w:b/>
          <w:bCs/>
          <w:sz w:val="24"/>
          <w:szCs w:val="24"/>
          <w:lang w:val="es-PE"/>
        </w:rPr>
        <w:t xml:space="preserve">Gonzalo Abad del Busto </w:t>
      </w:r>
      <w:r w:rsidRPr="00466915" w:rsidR="00231C58">
        <w:rPr>
          <w:rFonts w:ascii="Times New Roman" w:hAnsi="Times New Roman" w:cs="Times New Roman"/>
          <w:b/>
          <w:bCs/>
          <w:sz w:val="24"/>
          <w:szCs w:val="24"/>
          <w:lang w:val="es-PE"/>
        </w:rPr>
        <w:t xml:space="preserve">– </w:t>
      </w:r>
      <w:r w:rsidRPr="00466915">
        <w:rPr>
          <w:rFonts w:ascii="Times New Roman" w:hAnsi="Times New Roman" w:cs="Times New Roman"/>
          <w:b/>
          <w:bCs/>
          <w:sz w:val="24"/>
          <w:szCs w:val="24"/>
          <w:lang w:val="es-PE"/>
        </w:rPr>
        <w:t>Vocal</w:t>
      </w:r>
    </w:p>
    <w:p w:rsidRPr="00466915" w:rsidR="00C671F5" w:rsidP="00C671F5" w:rsidRDefault="00C671F5" w14:paraId="33E0FAB8" w14:textId="77777777">
      <w:pPr>
        <w:suppressAutoHyphens/>
        <w:spacing w:after="0" w:line="360" w:lineRule="auto"/>
        <w:outlineLvl w:val="0"/>
        <w:rPr>
          <w:rFonts w:ascii="Times New Roman" w:hAnsi="Times New Roman" w:eastAsia="Arial Unicode MS" w:cs="Times New Roman"/>
          <w:sz w:val="24"/>
          <w:szCs w:val="24"/>
          <w:lang w:val="es-PE" w:eastAsia="ar-SA"/>
        </w:rPr>
      </w:pPr>
    </w:p>
    <w:p w:rsidRPr="000752E4" w:rsidR="00C671F5" w:rsidP="00C671F5" w:rsidRDefault="00C671F5" w14:paraId="2C3A0205" w14:textId="77777777">
      <w:pPr>
        <w:rPr>
          <w:rFonts w:ascii="Times New Roman" w:hAnsi="Times New Roman" w:eastAsia="Arial Unicode MS" w:cs="Times New Roman"/>
          <w:sz w:val="24"/>
          <w:szCs w:val="24"/>
          <w:lang w:val="es-PE" w:eastAsia="ar-SA"/>
        </w:rPr>
      </w:pPr>
    </w:p>
    <w:sectPr w:rsidRPr="000752E4" w:rsidR="00C671F5" w:rsidSect="00077B6F">
      <w:headerReference w:type="even" r:id="rId8"/>
      <w:headerReference w:type="default" r:id="rId9"/>
      <w:footerReference w:type="even" r:id="rId10"/>
      <w:footerReference w:type="default" r:id="rId11"/>
      <w:headerReference w:type="first" r:id="rId12"/>
      <w:footerReference w:type="first" r:id="rId13"/>
      <w:pgSz w:w="11906" w:h="16838" w:orient="portrait"/>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9E004E" w:rsidP="00784355" w:rsidRDefault="009E004E" w14:paraId="5CF2A72A" w14:textId="77777777">
      <w:pPr>
        <w:spacing w:after="0" w:line="240" w:lineRule="auto"/>
      </w:pPr>
      <w:r>
        <w:separator/>
      </w:r>
    </w:p>
  </w:endnote>
  <w:endnote w:type="continuationSeparator" w:id="0">
    <w:p w:rsidR="009E004E" w:rsidP="00784355" w:rsidRDefault="009E004E" w14:paraId="01D75ACF"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3D3AE7" w:rsidRDefault="003D3AE7" w14:paraId="0EEB6452" w14:textId="77777777">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552618902"/>
      <w:docPartObj>
        <w:docPartGallery w:val="Page Numbers (Bottom of Page)"/>
        <w:docPartUnique/>
      </w:docPartObj>
    </w:sdtPr>
    <w:sdtEndPr/>
    <w:sdtContent>
      <w:sdt>
        <w:sdtPr>
          <w:id w:val="-1769616900"/>
          <w:docPartObj>
            <w:docPartGallery w:val="Page Numbers (Top of Page)"/>
            <w:docPartUnique/>
          </w:docPartObj>
        </w:sdtPr>
        <w:sdtEndPr/>
        <w:sdtContent>
          <w:p w:rsidR="00C671F5" w:rsidRDefault="00C671F5" w14:paraId="1A7D4DE2" w14:textId="27FEA839">
            <w:pPr>
              <w:pStyle w:val="Piedepgina"/>
              <w:jc w:val="right"/>
            </w:pPr>
            <w:r w:rsidRPr="003D3AE7">
              <w:rPr>
                <w:rFonts w:ascii="Times New Roman" w:hAnsi="Times New Roman" w:cs="Times New Roman"/>
                <w:lang w:val="es-ES"/>
              </w:rPr>
              <w:t xml:space="preserve">Página </w:t>
            </w:r>
            <w:r w:rsidRPr="003D3AE7">
              <w:rPr>
                <w:rFonts w:ascii="Times New Roman" w:hAnsi="Times New Roman" w:cs="Times New Roman"/>
                <w:b/>
                <w:bCs/>
                <w:sz w:val="24"/>
                <w:szCs w:val="24"/>
              </w:rPr>
              <w:fldChar w:fldCharType="begin"/>
            </w:r>
            <w:r w:rsidRPr="003D3AE7">
              <w:rPr>
                <w:rFonts w:ascii="Times New Roman" w:hAnsi="Times New Roman" w:cs="Times New Roman"/>
                <w:b/>
                <w:bCs/>
              </w:rPr>
              <w:instrText>PAGE</w:instrText>
            </w:r>
            <w:r w:rsidRPr="003D3AE7">
              <w:rPr>
                <w:rFonts w:ascii="Times New Roman" w:hAnsi="Times New Roman" w:cs="Times New Roman"/>
                <w:b/>
                <w:bCs/>
                <w:sz w:val="24"/>
                <w:szCs w:val="24"/>
              </w:rPr>
              <w:fldChar w:fldCharType="separate"/>
            </w:r>
            <w:r w:rsidRPr="003D3AE7">
              <w:rPr>
                <w:rFonts w:ascii="Times New Roman" w:hAnsi="Times New Roman" w:cs="Times New Roman"/>
                <w:b/>
                <w:bCs/>
                <w:lang w:val="es-ES"/>
              </w:rPr>
              <w:t>2</w:t>
            </w:r>
            <w:r w:rsidRPr="003D3AE7">
              <w:rPr>
                <w:rFonts w:ascii="Times New Roman" w:hAnsi="Times New Roman" w:cs="Times New Roman"/>
                <w:b/>
                <w:bCs/>
                <w:sz w:val="24"/>
                <w:szCs w:val="24"/>
              </w:rPr>
              <w:fldChar w:fldCharType="end"/>
            </w:r>
            <w:r w:rsidRPr="003D3AE7">
              <w:rPr>
                <w:rFonts w:ascii="Times New Roman" w:hAnsi="Times New Roman" w:cs="Times New Roman"/>
                <w:lang w:val="es-ES"/>
              </w:rPr>
              <w:t xml:space="preserve"> de </w:t>
            </w:r>
            <w:r w:rsidRPr="003D3AE7">
              <w:rPr>
                <w:rFonts w:ascii="Times New Roman" w:hAnsi="Times New Roman" w:cs="Times New Roman"/>
                <w:b/>
                <w:bCs/>
                <w:sz w:val="24"/>
                <w:szCs w:val="24"/>
              </w:rPr>
              <w:fldChar w:fldCharType="begin"/>
            </w:r>
            <w:r w:rsidRPr="003D3AE7">
              <w:rPr>
                <w:rFonts w:ascii="Times New Roman" w:hAnsi="Times New Roman" w:cs="Times New Roman"/>
                <w:b/>
                <w:bCs/>
              </w:rPr>
              <w:instrText>NUMPAGES</w:instrText>
            </w:r>
            <w:r w:rsidRPr="003D3AE7">
              <w:rPr>
                <w:rFonts w:ascii="Times New Roman" w:hAnsi="Times New Roman" w:cs="Times New Roman"/>
                <w:b/>
                <w:bCs/>
                <w:sz w:val="24"/>
                <w:szCs w:val="24"/>
              </w:rPr>
              <w:fldChar w:fldCharType="separate"/>
            </w:r>
            <w:r w:rsidRPr="003D3AE7">
              <w:rPr>
                <w:rFonts w:ascii="Times New Roman" w:hAnsi="Times New Roman" w:cs="Times New Roman"/>
                <w:b/>
                <w:bCs/>
                <w:lang w:val="es-ES"/>
              </w:rPr>
              <w:t>2</w:t>
            </w:r>
            <w:r w:rsidRPr="003D3AE7">
              <w:rPr>
                <w:rFonts w:ascii="Times New Roman" w:hAnsi="Times New Roman" w:cs="Times New Roman"/>
                <w:b/>
                <w:bCs/>
                <w:sz w:val="24"/>
                <w:szCs w:val="24"/>
              </w:rPr>
              <w:fldChar w:fldCharType="end"/>
            </w:r>
          </w:p>
        </w:sdtContent>
      </w:sdt>
    </w:sdtContent>
  </w:sdt>
  <w:p w:rsidR="00784355" w:rsidRDefault="00784355" w14:paraId="3BA05C52" w14:textId="77777777">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3D3AE7" w:rsidRDefault="003D3AE7" w14:paraId="391FE957"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9E004E" w:rsidP="00784355" w:rsidRDefault="009E004E" w14:paraId="50B16004" w14:textId="77777777">
      <w:pPr>
        <w:spacing w:after="0" w:line="240" w:lineRule="auto"/>
      </w:pPr>
      <w:r>
        <w:separator/>
      </w:r>
    </w:p>
  </w:footnote>
  <w:footnote w:type="continuationSeparator" w:id="0">
    <w:p w:rsidR="009E004E" w:rsidP="00784355" w:rsidRDefault="009E004E" w14:paraId="5CC12959"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3D3AE7" w:rsidRDefault="003D3AE7" w14:paraId="1AFD6810" w14:textId="77777777">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p w:rsidR="00C671F5" w:rsidRDefault="00C671F5" w14:paraId="0810BC29" w14:textId="579E5393">
    <w:pPr>
      <w:pStyle w:val="Encabezado"/>
    </w:pPr>
    <w:r>
      <w:rPr>
        <w:noProof/>
      </w:rPr>
      <w:drawing>
        <wp:inline distT="0" distB="0" distL="0" distR="0" wp14:anchorId="50540C2C" wp14:editId="4363C38F">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C671F5" w:rsidRDefault="00C671F5" w14:paraId="52A8D4E0" w14:textId="77777777">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3D3AE7" w:rsidRDefault="003D3AE7" w14:paraId="468EF628"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456C0ACA"/>
    <w:multiLevelType w:val="hybridMultilevel"/>
    <w:tmpl w:val="486244DC"/>
    <w:lvl w:ilvl="0" w:tplc="377608F0">
      <w:start w:val="1"/>
      <w:numFmt w:val="decimal"/>
      <w:lvlText w:val="%1."/>
      <w:lvlJc w:val="left"/>
      <w:pPr>
        <w:ind w:left="720" w:hanging="360"/>
      </w:pPr>
      <w:rPr>
        <w:rFonts w:hint="default" w:eastAsia="Arial Unicode MS"/>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5D776A5B"/>
    <w:multiLevelType w:val="hybridMultilevel"/>
    <w:tmpl w:val="C1F43696"/>
    <w:lvl w:ilvl="0" w:tplc="280A0001">
      <w:start w:val="1"/>
      <w:numFmt w:val="bullet"/>
      <w:lvlText w:val=""/>
      <w:lvlJc w:val="left"/>
      <w:pPr>
        <w:ind w:left="1428" w:hanging="360"/>
      </w:pPr>
      <w:rPr>
        <w:rFonts w:hint="default" w:ascii="Symbol" w:hAnsi="Symbol"/>
      </w:rPr>
    </w:lvl>
    <w:lvl w:ilvl="1" w:tplc="280A0003" w:tentative="1">
      <w:start w:val="1"/>
      <w:numFmt w:val="bullet"/>
      <w:lvlText w:val="o"/>
      <w:lvlJc w:val="left"/>
      <w:pPr>
        <w:ind w:left="2148" w:hanging="360"/>
      </w:pPr>
      <w:rPr>
        <w:rFonts w:hint="default" w:ascii="Courier New" w:hAnsi="Courier New" w:cs="Courier New"/>
      </w:rPr>
    </w:lvl>
    <w:lvl w:ilvl="2" w:tplc="280A0005" w:tentative="1">
      <w:start w:val="1"/>
      <w:numFmt w:val="bullet"/>
      <w:lvlText w:val=""/>
      <w:lvlJc w:val="left"/>
      <w:pPr>
        <w:ind w:left="2868" w:hanging="360"/>
      </w:pPr>
      <w:rPr>
        <w:rFonts w:hint="default" w:ascii="Wingdings" w:hAnsi="Wingdings"/>
      </w:rPr>
    </w:lvl>
    <w:lvl w:ilvl="3" w:tplc="280A0001" w:tentative="1">
      <w:start w:val="1"/>
      <w:numFmt w:val="bullet"/>
      <w:lvlText w:val=""/>
      <w:lvlJc w:val="left"/>
      <w:pPr>
        <w:ind w:left="3588" w:hanging="360"/>
      </w:pPr>
      <w:rPr>
        <w:rFonts w:hint="default" w:ascii="Symbol" w:hAnsi="Symbol"/>
      </w:rPr>
    </w:lvl>
    <w:lvl w:ilvl="4" w:tplc="280A0003" w:tentative="1">
      <w:start w:val="1"/>
      <w:numFmt w:val="bullet"/>
      <w:lvlText w:val="o"/>
      <w:lvlJc w:val="left"/>
      <w:pPr>
        <w:ind w:left="4308" w:hanging="360"/>
      </w:pPr>
      <w:rPr>
        <w:rFonts w:hint="default" w:ascii="Courier New" w:hAnsi="Courier New" w:cs="Courier New"/>
      </w:rPr>
    </w:lvl>
    <w:lvl w:ilvl="5" w:tplc="280A0005" w:tentative="1">
      <w:start w:val="1"/>
      <w:numFmt w:val="bullet"/>
      <w:lvlText w:val=""/>
      <w:lvlJc w:val="left"/>
      <w:pPr>
        <w:ind w:left="5028" w:hanging="360"/>
      </w:pPr>
      <w:rPr>
        <w:rFonts w:hint="default" w:ascii="Wingdings" w:hAnsi="Wingdings"/>
      </w:rPr>
    </w:lvl>
    <w:lvl w:ilvl="6" w:tplc="280A0001" w:tentative="1">
      <w:start w:val="1"/>
      <w:numFmt w:val="bullet"/>
      <w:lvlText w:val=""/>
      <w:lvlJc w:val="left"/>
      <w:pPr>
        <w:ind w:left="5748" w:hanging="360"/>
      </w:pPr>
      <w:rPr>
        <w:rFonts w:hint="default" w:ascii="Symbol" w:hAnsi="Symbol"/>
      </w:rPr>
    </w:lvl>
    <w:lvl w:ilvl="7" w:tplc="280A0003" w:tentative="1">
      <w:start w:val="1"/>
      <w:numFmt w:val="bullet"/>
      <w:lvlText w:val="o"/>
      <w:lvlJc w:val="left"/>
      <w:pPr>
        <w:ind w:left="6468" w:hanging="360"/>
      </w:pPr>
      <w:rPr>
        <w:rFonts w:hint="default" w:ascii="Courier New" w:hAnsi="Courier New" w:cs="Courier New"/>
      </w:rPr>
    </w:lvl>
    <w:lvl w:ilvl="8" w:tplc="280A0005" w:tentative="1">
      <w:start w:val="1"/>
      <w:numFmt w:val="bullet"/>
      <w:lvlText w:val=""/>
      <w:lvlJc w:val="left"/>
      <w:pPr>
        <w:ind w:left="7188" w:hanging="360"/>
      </w:pPr>
      <w:rPr>
        <w:rFonts w:hint="default" w:ascii="Wingdings" w:hAnsi="Wingdings"/>
      </w:rPr>
    </w:lvl>
  </w:abstractNum>
  <w:num w:numId="1">
    <w:abstractNumId w:val="0"/>
  </w:num>
  <w:num w:numId="2">
    <w:abstractNumId w:val="4"/>
  </w:num>
  <w:num w:numId="3">
    <w:abstractNumId w:val="2"/>
  </w:num>
  <w:num w:numId="4">
    <w:abstractNumId w:val="1"/>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2C5E"/>
    <w:rsid w:val="00005B96"/>
    <w:rsid w:val="00010987"/>
    <w:rsid w:val="00013057"/>
    <w:rsid w:val="000159CC"/>
    <w:rsid w:val="00015C22"/>
    <w:rsid w:val="000167E0"/>
    <w:rsid w:val="000235E9"/>
    <w:rsid w:val="0002637D"/>
    <w:rsid w:val="0002733C"/>
    <w:rsid w:val="00027978"/>
    <w:rsid w:val="0004480C"/>
    <w:rsid w:val="00053D16"/>
    <w:rsid w:val="00056D9F"/>
    <w:rsid w:val="00062040"/>
    <w:rsid w:val="00063183"/>
    <w:rsid w:val="0006548C"/>
    <w:rsid w:val="00070DB6"/>
    <w:rsid w:val="00071A25"/>
    <w:rsid w:val="00072C60"/>
    <w:rsid w:val="000752E4"/>
    <w:rsid w:val="00076E73"/>
    <w:rsid w:val="00077B6F"/>
    <w:rsid w:val="00080A9A"/>
    <w:rsid w:val="00082ADF"/>
    <w:rsid w:val="000835CB"/>
    <w:rsid w:val="00083D69"/>
    <w:rsid w:val="00083F50"/>
    <w:rsid w:val="00084148"/>
    <w:rsid w:val="00092684"/>
    <w:rsid w:val="000A5666"/>
    <w:rsid w:val="000A5CAA"/>
    <w:rsid w:val="000B19A0"/>
    <w:rsid w:val="000B58D8"/>
    <w:rsid w:val="000C0734"/>
    <w:rsid w:val="000D0DFE"/>
    <w:rsid w:val="000F6340"/>
    <w:rsid w:val="0011308C"/>
    <w:rsid w:val="00125B9B"/>
    <w:rsid w:val="001320DF"/>
    <w:rsid w:val="00136E12"/>
    <w:rsid w:val="001373AF"/>
    <w:rsid w:val="001377EF"/>
    <w:rsid w:val="00150874"/>
    <w:rsid w:val="001508BC"/>
    <w:rsid w:val="001529FE"/>
    <w:rsid w:val="00161642"/>
    <w:rsid w:val="00161B61"/>
    <w:rsid w:val="001703D8"/>
    <w:rsid w:val="00170E39"/>
    <w:rsid w:val="00174918"/>
    <w:rsid w:val="00174DA5"/>
    <w:rsid w:val="00181908"/>
    <w:rsid w:val="00181DCE"/>
    <w:rsid w:val="00187BFD"/>
    <w:rsid w:val="001A008A"/>
    <w:rsid w:val="001A140F"/>
    <w:rsid w:val="001A3395"/>
    <w:rsid w:val="001A44E1"/>
    <w:rsid w:val="001B1E59"/>
    <w:rsid w:val="001B58A3"/>
    <w:rsid w:val="001D0EED"/>
    <w:rsid w:val="001D59D9"/>
    <w:rsid w:val="001D6136"/>
    <w:rsid w:val="001E119C"/>
    <w:rsid w:val="00201C0D"/>
    <w:rsid w:val="00204407"/>
    <w:rsid w:val="0020749F"/>
    <w:rsid w:val="002108AD"/>
    <w:rsid w:val="00211977"/>
    <w:rsid w:val="002130B0"/>
    <w:rsid w:val="0021627D"/>
    <w:rsid w:val="00225288"/>
    <w:rsid w:val="00227D02"/>
    <w:rsid w:val="00231C58"/>
    <w:rsid w:val="002331C3"/>
    <w:rsid w:val="00241719"/>
    <w:rsid w:val="00243F6B"/>
    <w:rsid w:val="00256592"/>
    <w:rsid w:val="0027261F"/>
    <w:rsid w:val="00272F4F"/>
    <w:rsid w:val="0027301E"/>
    <w:rsid w:val="00274985"/>
    <w:rsid w:val="002768C6"/>
    <w:rsid w:val="00276A92"/>
    <w:rsid w:val="00277667"/>
    <w:rsid w:val="00290CA4"/>
    <w:rsid w:val="00292018"/>
    <w:rsid w:val="002A31D3"/>
    <w:rsid w:val="002A7E2E"/>
    <w:rsid w:val="002B726E"/>
    <w:rsid w:val="002C2A0F"/>
    <w:rsid w:val="002D0DB0"/>
    <w:rsid w:val="002D3B01"/>
    <w:rsid w:val="002E1221"/>
    <w:rsid w:val="002E17F9"/>
    <w:rsid w:val="002F09CA"/>
    <w:rsid w:val="002F35F0"/>
    <w:rsid w:val="003045E3"/>
    <w:rsid w:val="00313D12"/>
    <w:rsid w:val="0032132E"/>
    <w:rsid w:val="00340E4B"/>
    <w:rsid w:val="00345DF0"/>
    <w:rsid w:val="00345F7F"/>
    <w:rsid w:val="00347D7E"/>
    <w:rsid w:val="00353092"/>
    <w:rsid w:val="003544B1"/>
    <w:rsid w:val="00357D70"/>
    <w:rsid w:val="00362449"/>
    <w:rsid w:val="00364E0F"/>
    <w:rsid w:val="00366842"/>
    <w:rsid w:val="00367746"/>
    <w:rsid w:val="00377D5A"/>
    <w:rsid w:val="0038290F"/>
    <w:rsid w:val="00387D06"/>
    <w:rsid w:val="00391F72"/>
    <w:rsid w:val="00392259"/>
    <w:rsid w:val="003A3F8C"/>
    <w:rsid w:val="003B348C"/>
    <w:rsid w:val="003B3A93"/>
    <w:rsid w:val="003B41F7"/>
    <w:rsid w:val="003B798E"/>
    <w:rsid w:val="003D09A9"/>
    <w:rsid w:val="003D3AE7"/>
    <w:rsid w:val="003D4684"/>
    <w:rsid w:val="003D4687"/>
    <w:rsid w:val="003E0CC2"/>
    <w:rsid w:val="003E450C"/>
    <w:rsid w:val="003F0C97"/>
    <w:rsid w:val="003F1149"/>
    <w:rsid w:val="003F1B5F"/>
    <w:rsid w:val="003F651C"/>
    <w:rsid w:val="00403814"/>
    <w:rsid w:val="004049B9"/>
    <w:rsid w:val="00414F05"/>
    <w:rsid w:val="0041626C"/>
    <w:rsid w:val="00417E23"/>
    <w:rsid w:val="00425F75"/>
    <w:rsid w:val="00440BC2"/>
    <w:rsid w:val="00444232"/>
    <w:rsid w:val="00460C30"/>
    <w:rsid w:val="00465FB9"/>
    <w:rsid w:val="00466302"/>
    <w:rsid w:val="00466915"/>
    <w:rsid w:val="0047370C"/>
    <w:rsid w:val="0047522D"/>
    <w:rsid w:val="00476BA1"/>
    <w:rsid w:val="00496A1A"/>
    <w:rsid w:val="004A3E25"/>
    <w:rsid w:val="004B51ED"/>
    <w:rsid w:val="004C51EC"/>
    <w:rsid w:val="004E65DD"/>
    <w:rsid w:val="004F549E"/>
    <w:rsid w:val="00504C79"/>
    <w:rsid w:val="005201E9"/>
    <w:rsid w:val="00521B4C"/>
    <w:rsid w:val="00522E2A"/>
    <w:rsid w:val="005259E7"/>
    <w:rsid w:val="005265A5"/>
    <w:rsid w:val="00527B27"/>
    <w:rsid w:val="005316B2"/>
    <w:rsid w:val="00531BEE"/>
    <w:rsid w:val="005323A2"/>
    <w:rsid w:val="0053470F"/>
    <w:rsid w:val="00535473"/>
    <w:rsid w:val="00537DBF"/>
    <w:rsid w:val="00540F01"/>
    <w:rsid w:val="00544BFC"/>
    <w:rsid w:val="00545F19"/>
    <w:rsid w:val="00547EE5"/>
    <w:rsid w:val="00567DEC"/>
    <w:rsid w:val="0057035B"/>
    <w:rsid w:val="005818E3"/>
    <w:rsid w:val="00582D26"/>
    <w:rsid w:val="0058358B"/>
    <w:rsid w:val="00583A87"/>
    <w:rsid w:val="00585D65"/>
    <w:rsid w:val="005904C2"/>
    <w:rsid w:val="00592259"/>
    <w:rsid w:val="005948EF"/>
    <w:rsid w:val="00597430"/>
    <w:rsid w:val="005A0B70"/>
    <w:rsid w:val="005A782D"/>
    <w:rsid w:val="005B2924"/>
    <w:rsid w:val="005C524E"/>
    <w:rsid w:val="005C5AB9"/>
    <w:rsid w:val="005D3E68"/>
    <w:rsid w:val="005E0EC2"/>
    <w:rsid w:val="005E2CBE"/>
    <w:rsid w:val="005E4870"/>
    <w:rsid w:val="005F4C97"/>
    <w:rsid w:val="00605902"/>
    <w:rsid w:val="00606105"/>
    <w:rsid w:val="0061360C"/>
    <w:rsid w:val="00613A39"/>
    <w:rsid w:val="00622ABC"/>
    <w:rsid w:val="00623204"/>
    <w:rsid w:val="00624034"/>
    <w:rsid w:val="006442E0"/>
    <w:rsid w:val="0064607A"/>
    <w:rsid w:val="00652672"/>
    <w:rsid w:val="0065542B"/>
    <w:rsid w:val="0065594D"/>
    <w:rsid w:val="00655A90"/>
    <w:rsid w:val="00655BA3"/>
    <w:rsid w:val="00657AD2"/>
    <w:rsid w:val="00671DB5"/>
    <w:rsid w:val="00680D8A"/>
    <w:rsid w:val="006834B0"/>
    <w:rsid w:val="00686BB2"/>
    <w:rsid w:val="006878E1"/>
    <w:rsid w:val="0069304A"/>
    <w:rsid w:val="00697D6C"/>
    <w:rsid w:val="006A0499"/>
    <w:rsid w:val="006B5CAE"/>
    <w:rsid w:val="006C1A65"/>
    <w:rsid w:val="006C29A7"/>
    <w:rsid w:val="006C4C21"/>
    <w:rsid w:val="006C6261"/>
    <w:rsid w:val="006D2BA9"/>
    <w:rsid w:val="006D397E"/>
    <w:rsid w:val="006E2366"/>
    <w:rsid w:val="006E4547"/>
    <w:rsid w:val="006F36EF"/>
    <w:rsid w:val="006F47A8"/>
    <w:rsid w:val="006F4986"/>
    <w:rsid w:val="0070030F"/>
    <w:rsid w:val="00701598"/>
    <w:rsid w:val="00701893"/>
    <w:rsid w:val="00703430"/>
    <w:rsid w:val="00704A95"/>
    <w:rsid w:val="00706392"/>
    <w:rsid w:val="00706EB2"/>
    <w:rsid w:val="00707C99"/>
    <w:rsid w:val="0072050F"/>
    <w:rsid w:val="00720DBC"/>
    <w:rsid w:val="0072240A"/>
    <w:rsid w:val="007261FD"/>
    <w:rsid w:val="007300C4"/>
    <w:rsid w:val="00744447"/>
    <w:rsid w:val="00760034"/>
    <w:rsid w:val="007703E9"/>
    <w:rsid w:val="007708AB"/>
    <w:rsid w:val="00771625"/>
    <w:rsid w:val="00781235"/>
    <w:rsid w:val="00784355"/>
    <w:rsid w:val="007906AF"/>
    <w:rsid w:val="00794424"/>
    <w:rsid w:val="007950DD"/>
    <w:rsid w:val="007965C0"/>
    <w:rsid w:val="007A09BB"/>
    <w:rsid w:val="007A4108"/>
    <w:rsid w:val="007A4EA9"/>
    <w:rsid w:val="007A7F95"/>
    <w:rsid w:val="007B1018"/>
    <w:rsid w:val="007C14D0"/>
    <w:rsid w:val="007C213D"/>
    <w:rsid w:val="007C69FE"/>
    <w:rsid w:val="007D13E3"/>
    <w:rsid w:val="007D13F3"/>
    <w:rsid w:val="007D39D3"/>
    <w:rsid w:val="007D5BB1"/>
    <w:rsid w:val="007D7213"/>
    <w:rsid w:val="007E5917"/>
    <w:rsid w:val="007F74F1"/>
    <w:rsid w:val="008010D0"/>
    <w:rsid w:val="008020A1"/>
    <w:rsid w:val="00816B3F"/>
    <w:rsid w:val="0081754D"/>
    <w:rsid w:val="008177B9"/>
    <w:rsid w:val="00821801"/>
    <w:rsid w:val="00836831"/>
    <w:rsid w:val="00837DDE"/>
    <w:rsid w:val="008523F5"/>
    <w:rsid w:val="008548F9"/>
    <w:rsid w:val="0085575C"/>
    <w:rsid w:val="0085791F"/>
    <w:rsid w:val="00857988"/>
    <w:rsid w:val="0086244F"/>
    <w:rsid w:val="00871F40"/>
    <w:rsid w:val="00883121"/>
    <w:rsid w:val="0088392F"/>
    <w:rsid w:val="00884426"/>
    <w:rsid w:val="00886D60"/>
    <w:rsid w:val="00887814"/>
    <w:rsid w:val="008916FF"/>
    <w:rsid w:val="00891DB3"/>
    <w:rsid w:val="00895A85"/>
    <w:rsid w:val="008A1D12"/>
    <w:rsid w:val="008A3A47"/>
    <w:rsid w:val="008C5D09"/>
    <w:rsid w:val="008D6DDF"/>
    <w:rsid w:val="008F1161"/>
    <w:rsid w:val="008F479E"/>
    <w:rsid w:val="009011F1"/>
    <w:rsid w:val="009127A6"/>
    <w:rsid w:val="0091528B"/>
    <w:rsid w:val="009157B1"/>
    <w:rsid w:val="00917CAF"/>
    <w:rsid w:val="009272D7"/>
    <w:rsid w:val="00933532"/>
    <w:rsid w:val="00943343"/>
    <w:rsid w:val="00946694"/>
    <w:rsid w:val="00951B99"/>
    <w:rsid w:val="00954E74"/>
    <w:rsid w:val="00955C03"/>
    <w:rsid w:val="00964237"/>
    <w:rsid w:val="00966813"/>
    <w:rsid w:val="00967B16"/>
    <w:rsid w:val="0097301B"/>
    <w:rsid w:val="00974D2D"/>
    <w:rsid w:val="009754DD"/>
    <w:rsid w:val="00997863"/>
    <w:rsid w:val="009A5B27"/>
    <w:rsid w:val="009A6404"/>
    <w:rsid w:val="009A701F"/>
    <w:rsid w:val="009A7E68"/>
    <w:rsid w:val="009B29C9"/>
    <w:rsid w:val="009B4291"/>
    <w:rsid w:val="009C1066"/>
    <w:rsid w:val="009C1372"/>
    <w:rsid w:val="009C5373"/>
    <w:rsid w:val="009C6404"/>
    <w:rsid w:val="009D3B98"/>
    <w:rsid w:val="009D6055"/>
    <w:rsid w:val="009E004E"/>
    <w:rsid w:val="009E5F11"/>
    <w:rsid w:val="009E7994"/>
    <w:rsid w:val="009F143B"/>
    <w:rsid w:val="009F2EEB"/>
    <w:rsid w:val="00A02270"/>
    <w:rsid w:val="00A077D2"/>
    <w:rsid w:val="00A16942"/>
    <w:rsid w:val="00A17A72"/>
    <w:rsid w:val="00A249BE"/>
    <w:rsid w:val="00A25F51"/>
    <w:rsid w:val="00A30393"/>
    <w:rsid w:val="00A32246"/>
    <w:rsid w:val="00A328C0"/>
    <w:rsid w:val="00A3714C"/>
    <w:rsid w:val="00A427D6"/>
    <w:rsid w:val="00A46E96"/>
    <w:rsid w:val="00A51F2A"/>
    <w:rsid w:val="00A62BEC"/>
    <w:rsid w:val="00A658C1"/>
    <w:rsid w:val="00A73313"/>
    <w:rsid w:val="00A734AD"/>
    <w:rsid w:val="00A837A0"/>
    <w:rsid w:val="00A83D6A"/>
    <w:rsid w:val="00A90926"/>
    <w:rsid w:val="00A97287"/>
    <w:rsid w:val="00AA2DED"/>
    <w:rsid w:val="00AB1C66"/>
    <w:rsid w:val="00AC5A9E"/>
    <w:rsid w:val="00AD1FEC"/>
    <w:rsid w:val="00AD2DF1"/>
    <w:rsid w:val="00AE4125"/>
    <w:rsid w:val="00AF16B6"/>
    <w:rsid w:val="00AF5E87"/>
    <w:rsid w:val="00B00552"/>
    <w:rsid w:val="00B02BEE"/>
    <w:rsid w:val="00B115C4"/>
    <w:rsid w:val="00B11C1C"/>
    <w:rsid w:val="00B17BD8"/>
    <w:rsid w:val="00B30B53"/>
    <w:rsid w:val="00B313E9"/>
    <w:rsid w:val="00B32325"/>
    <w:rsid w:val="00B340A4"/>
    <w:rsid w:val="00B45C2D"/>
    <w:rsid w:val="00B56649"/>
    <w:rsid w:val="00B625F2"/>
    <w:rsid w:val="00B663DC"/>
    <w:rsid w:val="00B710D8"/>
    <w:rsid w:val="00B73629"/>
    <w:rsid w:val="00B7466E"/>
    <w:rsid w:val="00B779BD"/>
    <w:rsid w:val="00B8021E"/>
    <w:rsid w:val="00B8028F"/>
    <w:rsid w:val="00B833BE"/>
    <w:rsid w:val="00B87B08"/>
    <w:rsid w:val="00B956C4"/>
    <w:rsid w:val="00BA1792"/>
    <w:rsid w:val="00BB2152"/>
    <w:rsid w:val="00BB2BE0"/>
    <w:rsid w:val="00BB405B"/>
    <w:rsid w:val="00BC29D0"/>
    <w:rsid w:val="00BD797F"/>
    <w:rsid w:val="00BE1470"/>
    <w:rsid w:val="00BE324A"/>
    <w:rsid w:val="00BE6FFA"/>
    <w:rsid w:val="00BE7C72"/>
    <w:rsid w:val="00BF1421"/>
    <w:rsid w:val="00BF414E"/>
    <w:rsid w:val="00BF78BF"/>
    <w:rsid w:val="00C00BBF"/>
    <w:rsid w:val="00C04AA4"/>
    <w:rsid w:val="00C05445"/>
    <w:rsid w:val="00C12CBD"/>
    <w:rsid w:val="00C134DB"/>
    <w:rsid w:val="00C25B78"/>
    <w:rsid w:val="00C32068"/>
    <w:rsid w:val="00C33FEF"/>
    <w:rsid w:val="00C4163B"/>
    <w:rsid w:val="00C41F24"/>
    <w:rsid w:val="00C47619"/>
    <w:rsid w:val="00C52848"/>
    <w:rsid w:val="00C61FF5"/>
    <w:rsid w:val="00C671F5"/>
    <w:rsid w:val="00C67E5D"/>
    <w:rsid w:val="00C70DB9"/>
    <w:rsid w:val="00C72528"/>
    <w:rsid w:val="00C748FF"/>
    <w:rsid w:val="00C74DA7"/>
    <w:rsid w:val="00C767DA"/>
    <w:rsid w:val="00C805FB"/>
    <w:rsid w:val="00C83750"/>
    <w:rsid w:val="00C8675B"/>
    <w:rsid w:val="00C86CD7"/>
    <w:rsid w:val="00C91C1D"/>
    <w:rsid w:val="00C9376B"/>
    <w:rsid w:val="00C9581A"/>
    <w:rsid w:val="00C960BE"/>
    <w:rsid w:val="00C9791B"/>
    <w:rsid w:val="00CA3682"/>
    <w:rsid w:val="00CB44BB"/>
    <w:rsid w:val="00CC4AEF"/>
    <w:rsid w:val="00CC6C0C"/>
    <w:rsid w:val="00CD4BE8"/>
    <w:rsid w:val="00CE4825"/>
    <w:rsid w:val="00CF55D6"/>
    <w:rsid w:val="00CF78D3"/>
    <w:rsid w:val="00D01E70"/>
    <w:rsid w:val="00D10B27"/>
    <w:rsid w:val="00D12CFF"/>
    <w:rsid w:val="00D156AF"/>
    <w:rsid w:val="00D16367"/>
    <w:rsid w:val="00D2092C"/>
    <w:rsid w:val="00D22AA1"/>
    <w:rsid w:val="00D22DC3"/>
    <w:rsid w:val="00D25683"/>
    <w:rsid w:val="00D27042"/>
    <w:rsid w:val="00D4253A"/>
    <w:rsid w:val="00D50B42"/>
    <w:rsid w:val="00D57228"/>
    <w:rsid w:val="00D61C6D"/>
    <w:rsid w:val="00D64034"/>
    <w:rsid w:val="00D73109"/>
    <w:rsid w:val="00D76C43"/>
    <w:rsid w:val="00D810EC"/>
    <w:rsid w:val="00D835B6"/>
    <w:rsid w:val="00D84464"/>
    <w:rsid w:val="00DA0540"/>
    <w:rsid w:val="00DA2840"/>
    <w:rsid w:val="00DA4030"/>
    <w:rsid w:val="00DB15FD"/>
    <w:rsid w:val="00DB58EC"/>
    <w:rsid w:val="00DC399B"/>
    <w:rsid w:val="00DD5E2B"/>
    <w:rsid w:val="00DF3781"/>
    <w:rsid w:val="00DF6E69"/>
    <w:rsid w:val="00E107CA"/>
    <w:rsid w:val="00E1216B"/>
    <w:rsid w:val="00E1477F"/>
    <w:rsid w:val="00E16C63"/>
    <w:rsid w:val="00E25D54"/>
    <w:rsid w:val="00E30E76"/>
    <w:rsid w:val="00E341F5"/>
    <w:rsid w:val="00E43D94"/>
    <w:rsid w:val="00E531B9"/>
    <w:rsid w:val="00E53BC5"/>
    <w:rsid w:val="00E57869"/>
    <w:rsid w:val="00E61DBC"/>
    <w:rsid w:val="00E64057"/>
    <w:rsid w:val="00E66AFF"/>
    <w:rsid w:val="00E6771C"/>
    <w:rsid w:val="00E70381"/>
    <w:rsid w:val="00E70F8F"/>
    <w:rsid w:val="00E73DEF"/>
    <w:rsid w:val="00E80D65"/>
    <w:rsid w:val="00E865E7"/>
    <w:rsid w:val="00EA4C4B"/>
    <w:rsid w:val="00EA77BE"/>
    <w:rsid w:val="00EC19C1"/>
    <w:rsid w:val="00EC7271"/>
    <w:rsid w:val="00ED3400"/>
    <w:rsid w:val="00ED38AF"/>
    <w:rsid w:val="00ED60A1"/>
    <w:rsid w:val="00ED6123"/>
    <w:rsid w:val="00EE1C4A"/>
    <w:rsid w:val="00EE6D21"/>
    <w:rsid w:val="00F01B55"/>
    <w:rsid w:val="00F0237B"/>
    <w:rsid w:val="00F06498"/>
    <w:rsid w:val="00F11E0A"/>
    <w:rsid w:val="00F13013"/>
    <w:rsid w:val="00F14F22"/>
    <w:rsid w:val="00F16CF9"/>
    <w:rsid w:val="00F20B09"/>
    <w:rsid w:val="00F3335E"/>
    <w:rsid w:val="00F349E0"/>
    <w:rsid w:val="00F439B5"/>
    <w:rsid w:val="00F52E75"/>
    <w:rsid w:val="00F54C75"/>
    <w:rsid w:val="00F57DED"/>
    <w:rsid w:val="00F63F49"/>
    <w:rsid w:val="00F65837"/>
    <w:rsid w:val="00F72D00"/>
    <w:rsid w:val="00F81150"/>
    <w:rsid w:val="00F833B7"/>
    <w:rsid w:val="00F83A22"/>
    <w:rsid w:val="00F84CF9"/>
    <w:rsid w:val="00F87C6C"/>
    <w:rsid w:val="00F87E38"/>
    <w:rsid w:val="00F97EA2"/>
    <w:rsid w:val="00FA155E"/>
    <w:rsid w:val="00FA2322"/>
    <w:rsid w:val="00FB4B0C"/>
    <w:rsid w:val="00FC0D10"/>
    <w:rsid w:val="00FC1934"/>
    <w:rsid w:val="00FC382A"/>
    <w:rsid w:val="00FE2121"/>
    <w:rsid w:val="00FE38F0"/>
    <w:rsid w:val="00FE43A9"/>
    <w:rsid w:val="00FF41F3"/>
    <w:rsid w:val="29CA1581"/>
    <w:rsid w:val="2FA4F3DC"/>
    <w:rsid w:val="4DD49DC6"/>
    <w:rsid w:val="5D68FCA3"/>
    <w:rsid w:val="6F8CE7BE"/>
    <w:rsid w:val="7A5754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lang w:val="es-PE"/>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Default" w:customStyle="1">
    <w:name w:val="Default"/>
    <w:rsid w:val="00072C60"/>
    <w:pPr>
      <w:autoSpaceDE w:val="0"/>
      <w:autoSpaceDN w:val="0"/>
      <w:adjustRightInd w:val="0"/>
      <w:spacing w:after="0" w:line="240" w:lineRule="auto"/>
    </w:pPr>
    <w:rPr>
      <w:rFonts w:ascii="Arial" w:hAnsi="Arial" w:cs="Arial"/>
      <w:color w:val="000000"/>
      <w:sz w:val="24"/>
      <w:szCs w:val="24"/>
      <w:lang w:val="es-PE"/>
    </w:rPr>
  </w:style>
  <w:style w:type="character" w:styleId="Textoennegrita">
    <w:name w:val="Strong"/>
    <w:qFormat/>
    <w:rsid w:val="0006204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16027959">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3E878999-767C-4B13-B6EA-7762B4968410}"/>
</file>

<file path=customXml/itemProps3.xml><?xml version="1.0" encoding="utf-8"?>
<ds:datastoreItem xmlns:ds="http://schemas.openxmlformats.org/officeDocument/2006/customXml" ds:itemID="{17D77E9D-EED8-4EE2-92BD-A11F5293E526}"/>
</file>

<file path=customXml/itemProps4.xml><?xml version="1.0" encoding="utf-8"?>
<ds:datastoreItem xmlns:ds="http://schemas.openxmlformats.org/officeDocument/2006/customXml" ds:itemID="{F1E4CF4F-46A8-4F46-8FCE-2ACA79061522}"/>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Valeria Santos</cp:lastModifiedBy>
  <cp:revision>33</cp:revision>
  <cp:lastPrinted>2021-02-15T19:53:00Z</cp:lastPrinted>
  <dcterms:created xsi:type="dcterms:W3CDTF">2020-12-18T20:17:00Z</dcterms:created>
  <dcterms:modified xsi:type="dcterms:W3CDTF">2026-02-02T21:18:02Z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