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6F2F97" w:rsidR="00707C99" w:rsidP="00072C60" w:rsidRDefault="00201C0D" w14:paraId="19FE0E96" w14:textId="2902F56E">
      <w:pPr>
        <w:spacing w:after="0" w:line="240" w:lineRule="auto"/>
        <w:jc w:val="center"/>
        <w:rPr>
          <w:rFonts w:ascii="Times New Roman" w:hAnsi="Times New Roman" w:cs="Times New Roman"/>
          <w:b/>
          <w:sz w:val="24"/>
          <w:szCs w:val="24"/>
          <w:lang w:val="es-PE" w:eastAsia="ar-SA"/>
        </w:rPr>
      </w:pPr>
      <w:r w:rsidRPr="006F2F97">
        <w:rPr>
          <w:rFonts w:ascii="Times New Roman" w:hAnsi="Times New Roman" w:cs="Times New Roman"/>
          <w:b/>
          <w:sz w:val="24"/>
          <w:szCs w:val="24"/>
          <w:lang w:val="es-PE" w:eastAsia="ar-SA"/>
        </w:rPr>
        <w:t xml:space="preserve">RESOLUCIÓN DE RECURSO IMPUGNATIVO </w:t>
      </w:r>
      <w:proofErr w:type="spellStart"/>
      <w:r w:rsidRPr="006F2F97" w:rsidR="00707C99">
        <w:rPr>
          <w:rFonts w:ascii="Times New Roman" w:hAnsi="Times New Roman" w:cs="Times New Roman"/>
          <w:b/>
          <w:sz w:val="24"/>
          <w:szCs w:val="24"/>
          <w:lang w:val="es-PE" w:eastAsia="ar-SA"/>
        </w:rPr>
        <w:t>N°</w:t>
      </w:r>
      <w:proofErr w:type="spellEnd"/>
      <w:r w:rsidRPr="006F2F97" w:rsidR="00707C99">
        <w:rPr>
          <w:rFonts w:ascii="Times New Roman" w:hAnsi="Times New Roman" w:cs="Times New Roman"/>
          <w:b/>
          <w:sz w:val="24"/>
          <w:szCs w:val="24"/>
          <w:lang w:val="es-PE" w:eastAsia="ar-SA"/>
        </w:rPr>
        <w:t xml:space="preserve"> </w:t>
      </w:r>
      <w:r w:rsidRPr="006F2F97" w:rsidR="00C671F5">
        <w:rPr>
          <w:rFonts w:ascii="Times New Roman" w:hAnsi="Times New Roman" w:cs="Times New Roman"/>
          <w:b/>
          <w:sz w:val="24"/>
          <w:szCs w:val="24"/>
          <w:lang w:val="es-PE" w:eastAsia="ar-SA"/>
        </w:rPr>
        <w:t>0</w:t>
      </w:r>
      <w:r w:rsidRPr="006F2F97" w:rsidR="000752E4">
        <w:rPr>
          <w:rFonts w:ascii="Times New Roman" w:hAnsi="Times New Roman" w:cs="Times New Roman"/>
          <w:b/>
          <w:sz w:val="24"/>
          <w:szCs w:val="24"/>
          <w:lang w:val="es-PE" w:eastAsia="ar-SA"/>
        </w:rPr>
        <w:t>1</w:t>
      </w:r>
      <w:r w:rsidRPr="006F2F97" w:rsidR="006F2F97">
        <w:rPr>
          <w:rFonts w:ascii="Times New Roman" w:hAnsi="Times New Roman" w:cs="Times New Roman"/>
          <w:b/>
          <w:sz w:val="24"/>
          <w:szCs w:val="24"/>
          <w:lang w:val="es-PE" w:eastAsia="ar-SA"/>
        </w:rPr>
        <w:t>4</w:t>
      </w:r>
      <w:r w:rsidRPr="006F2F97" w:rsidR="00C671F5">
        <w:rPr>
          <w:rFonts w:ascii="Times New Roman" w:hAnsi="Times New Roman" w:cs="Times New Roman"/>
          <w:b/>
          <w:sz w:val="24"/>
          <w:szCs w:val="24"/>
          <w:lang w:val="es-PE" w:eastAsia="ar-SA"/>
        </w:rPr>
        <w:t>/2</w:t>
      </w:r>
      <w:r w:rsidRPr="006F2F97" w:rsidR="00231C58">
        <w:rPr>
          <w:rFonts w:ascii="Times New Roman" w:hAnsi="Times New Roman" w:cs="Times New Roman"/>
          <w:b/>
          <w:sz w:val="24"/>
          <w:szCs w:val="24"/>
          <w:lang w:val="es-PE" w:eastAsia="ar-SA"/>
        </w:rPr>
        <w:t>1</w:t>
      </w:r>
    </w:p>
    <w:p w:rsidRPr="006F2F97"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6F2F97"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6F2F97" w:rsidR="006F2F97" w:rsidP="006F2F97" w:rsidRDefault="006F2F97" w14:paraId="1565E72C"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6F2F97">
        <w:rPr>
          <w:rFonts w:ascii="Times New Roman" w:hAnsi="Times New Roman" w:eastAsia="Times New Roman" w:cs="Times New Roman"/>
          <w:b/>
          <w:bCs/>
          <w:sz w:val="24"/>
          <w:szCs w:val="24"/>
          <w:lang w:val="es-MX" w:eastAsia="ar-SA"/>
        </w:rPr>
        <w:t>Vistos:</w:t>
      </w:r>
    </w:p>
    <w:p w:rsidRPr="006F2F97" w:rsidR="006F2F97" w:rsidP="006F2F97" w:rsidRDefault="006F2F97" w14:paraId="01623CFC"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6F2F97">
        <w:rPr>
          <w:rFonts w:ascii="Times New Roman" w:hAnsi="Times New Roman" w:eastAsia="Times New Roman" w:cs="Times New Roman"/>
          <w:b/>
          <w:bCs/>
          <w:sz w:val="24"/>
          <w:szCs w:val="24"/>
          <w:lang w:val="es-MX" w:eastAsia="ar-SA"/>
        </w:rPr>
        <w:t xml:space="preserve">   </w:t>
      </w:r>
    </w:p>
    <w:p w:rsidRPr="006F2F97" w:rsidR="006F2F97" w:rsidP="006F2F97" w:rsidRDefault="006F2F97" w14:paraId="30CA334A" w14:textId="56DAF1DC">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20B12637" w:rsidR="006F2F97">
        <w:rPr>
          <w:rFonts w:ascii="Times New Roman" w:hAnsi="Times New Roman" w:eastAsia="Times New Roman" w:cs="Times New Roman"/>
          <w:sz w:val="24"/>
          <w:szCs w:val="24"/>
          <w:lang w:val="es-ES" w:eastAsia="ar-SA"/>
        </w:rPr>
        <w:t xml:space="preserve">El recurso de impugnación presentado el 18 de enero de 2021 por don </w:t>
      </w:r>
      <w:r w:rsidRPr="20B12637" w:rsidR="3D257315">
        <w:rPr>
          <w:rFonts w:ascii="Times New Roman" w:hAnsi="Times New Roman" w:eastAsia="Times New Roman" w:cs="Times New Roman"/>
          <w:sz w:val="24"/>
          <w:szCs w:val="24"/>
          <w:lang w:val="es-ES" w:eastAsia="ar-SA"/>
        </w:rPr>
        <w:t>............................................................</w:t>
      </w:r>
      <w:r w:rsidRPr="20B12637" w:rsidR="006F2F97">
        <w:rPr>
          <w:rFonts w:ascii="Times New Roman" w:hAnsi="Times New Roman" w:cs="Times New Roman"/>
          <w:b w:val="1"/>
          <w:bCs w:val="1"/>
          <w:sz w:val="24"/>
          <w:szCs w:val="24"/>
          <w:lang w:val="es-ES"/>
        </w:rPr>
        <w:t xml:space="preserve"> </w:t>
      </w:r>
      <w:r w:rsidRPr="20B12637" w:rsidR="006F2F97">
        <w:rPr>
          <w:rFonts w:ascii="Times New Roman" w:hAnsi="Times New Roman" w:eastAsia="Times New Roman" w:cs="Times New Roman"/>
          <w:sz w:val="24"/>
          <w:szCs w:val="24"/>
          <w:lang w:val="es-ES" w:eastAsia="ar-SA"/>
        </w:rPr>
        <w:t xml:space="preserve">respecto de la Resolución </w:t>
      </w:r>
      <w:r w:rsidRPr="20B12637" w:rsidR="006F2F97">
        <w:rPr>
          <w:rFonts w:ascii="Times New Roman" w:hAnsi="Times New Roman" w:eastAsia="Times New Roman" w:cs="Times New Roman"/>
          <w:sz w:val="24"/>
          <w:szCs w:val="24"/>
          <w:lang w:val="es-ES" w:eastAsia="ar-SA"/>
        </w:rPr>
        <w:t>Nro. 134/20, del 30 de diciembre</w:t>
      </w:r>
      <w:r w:rsidRPr="20B12637" w:rsidR="006F2F97">
        <w:rPr>
          <w:rFonts w:ascii="Times New Roman" w:hAnsi="Times New Roman" w:eastAsia="Times New Roman" w:cs="Times New Roman"/>
          <w:sz w:val="24"/>
          <w:szCs w:val="24"/>
          <w:lang w:val="es-ES" w:eastAsia="ar-SA"/>
        </w:rPr>
        <w:t xml:space="preserve"> de 2020, emitida por esta Defensoría del Asegurado (DEFASEG), que declaró IMPROCEDENTE</w:t>
      </w:r>
      <w:r w:rsidRPr="20B12637" w:rsidR="006F2F97">
        <w:rPr>
          <w:rFonts w:ascii="Times New Roman" w:hAnsi="Times New Roman" w:cs="Times New Roman"/>
          <w:sz w:val="24"/>
          <w:szCs w:val="24"/>
          <w:lang w:val="es-PE"/>
        </w:rPr>
        <w:t xml:space="preserve"> </w:t>
      </w:r>
      <w:r w:rsidRPr="20B12637" w:rsidR="006F2F97">
        <w:rPr>
          <w:rFonts w:ascii="Times New Roman" w:hAnsi="Times New Roman" w:eastAsia="Arial Unicode MS" w:cs="Times New Roman"/>
          <w:sz w:val="24"/>
          <w:szCs w:val="24"/>
          <w:lang w:val="es-PE"/>
        </w:rPr>
        <w:t xml:space="preserve">su reclamación interpuesta contra </w:t>
      </w:r>
      <w:r w:rsidRPr="20B12637" w:rsidR="027D409A">
        <w:rPr>
          <w:rFonts w:ascii="Times New Roman" w:hAnsi="Times New Roman" w:eastAsia="Times New Roman" w:cs="Times New Roman"/>
          <w:sz w:val="24"/>
          <w:szCs w:val="24"/>
          <w:lang w:val="es-PE" w:eastAsia="es-ES"/>
        </w:rPr>
        <w:t>..............................................</w:t>
      </w:r>
      <w:r w:rsidRPr="20B12637" w:rsidR="006F2F97">
        <w:rPr>
          <w:rFonts w:ascii="Times New Roman" w:hAnsi="Times New Roman" w:eastAsia="Times New Roman" w:cs="Times New Roman"/>
          <w:sz w:val="24"/>
          <w:szCs w:val="24"/>
          <w:lang w:val="es-PE" w:eastAsia="es-ES"/>
        </w:rPr>
        <w:t xml:space="preserve"> sobre otorgamiento de cobertura al siniestro </w:t>
      </w:r>
      <w:r w:rsidRPr="20B12637" w:rsidR="006F2F97">
        <w:rPr>
          <w:rFonts w:ascii="Times New Roman" w:hAnsi="Times New Roman" w:cs="Times New Roman"/>
          <w:sz w:val="24"/>
          <w:szCs w:val="24"/>
          <w:lang w:val="es-PE"/>
        </w:rPr>
        <w:t xml:space="preserve">ocurrido el 9 de junio de 2017 y que correspondería a la configuración de su estado de invalidez total y permanente, según </w:t>
      </w:r>
      <w:r w:rsidRPr="20B12637" w:rsidR="006F2F97">
        <w:rPr>
          <w:rFonts w:ascii="Times New Roman" w:hAnsi="Times New Roman" w:cs="Times New Roman"/>
          <w:sz w:val="24"/>
          <w:szCs w:val="24"/>
          <w:lang w:val="es-ES"/>
        </w:rPr>
        <w:t>Dictamen de Evaluación y Calificación de Invalidez Nro. 0594-2019, expedido por el Comité Médico de la SBS-COMEC del 7 de agosto de 2019,</w:t>
      </w:r>
      <w:r w:rsidRPr="20B12637" w:rsidR="006F2F97">
        <w:rPr>
          <w:rFonts w:ascii="Times New Roman" w:hAnsi="Times New Roman" w:cs="Times New Roman"/>
          <w:sz w:val="24"/>
          <w:szCs w:val="24"/>
          <w:lang w:val="es-PE"/>
        </w:rPr>
        <w:t xml:space="preserve"> conforme a los términos y condiciones del </w:t>
      </w:r>
      <w:r w:rsidRPr="20B12637" w:rsidR="006F2F97">
        <w:rPr>
          <w:rFonts w:ascii="Times New Roman" w:hAnsi="Times New Roman" w:cs="Times New Roman"/>
          <w:sz w:val="24"/>
          <w:szCs w:val="24"/>
          <w:lang w:val="es-ES"/>
        </w:rPr>
        <w:t xml:space="preserve">Seguro de Vida Ley – Póliza Nro. </w:t>
      </w:r>
      <w:r w:rsidRPr="20B12637" w:rsidR="15B09CB2">
        <w:rPr>
          <w:rFonts w:ascii="Times New Roman" w:hAnsi="Times New Roman" w:cs="Times New Roman"/>
          <w:sz w:val="24"/>
          <w:szCs w:val="24"/>
          <w:lang w:val="es-ES"/>
        </w:rPr>
        <w:t>................</w:t>
      </w:r>
      <w:r w:rsidRPr="20B12637" w:rsidR="006F2F97">
        <w:rPr>
          <w:rFonts w:ascii="Times New Roman" w:hAnsi="Times New Roman" w:cs="Times New Roman"/>
          <w:sz w:val="24"/>
          <w:szCs w:val="24"/>
          <w:lang w:val="es-ES"/>
        </w:rPr>
        <w:t>;</w:t>
      </w:r>
    </w:p>
    <w:p w:rsidRPr="006F2F97" w:rsidR="006F2F97" w:rsidP="006F2F97" w:rsidRDefault="006F2F97" w14:paraId="581E6A03"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ES" w:eastAsia="ar-SA"/>
        </w:rPr>
      </w:pPr>
    </w:p>
    <w:p w:rsidRPr="006F2F97" w:rsidR="006F2F97" w:rsidP="006F2F97" w:rsidRDefault="006F2F97" w14:paraId="21D5C90D"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6F2F97">
        <w:rPr>
          <w:rFonts w:ascii="Times New Roman" w:hAnsi="Times New Roman" w:eastAsia="Times New Roman" w:cs="Times New Roman"/>
          <w:bCs/>
          <w:sz w:val="24"/>
          <w:szCs w:val="24"/>
          <w:lang w:val="es-MX" w:eastAsia="ar-SA"/>
        </w:rPr>
        <w:t>Que, a través del señalado recurso, el asegurado cuestiona lo resuelto por la DEFASEG, aunque no cuida de expresar clara y puntualmente un argumento por el cual postule que este colegiado ha incurrido en un error al analizar su caso, y los fundamentos expresados en su oportunidad para sustentar la reclamación interpuesta, haciendo solo referencia que, al haberse validado la presentación del dictamen médico, la aseguradora debería otorgar la cobertura, acompañando copia de su carné de registro en el CONADIS;</w:t>
      </w:r>
    </w:p>
    <w:p w:rsidRPr="006F2F97" w:rsidR="006F2F97" w:rsidP="006F2F97" w:rsidRDefault="006F2F97" w14:paraId="218EAC53"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6F2F97" w:rsidR="006F2F97" w:rsidP="7B4FE5DE" w:rsidRDefault="006F2F97" w14:paraId="7975B342" w14:textId="111ACE70">
      <w:pPr>
        <w:suppressAutoHyphens/>
        <w:spacing w:after="0" w:line="240" w:lineRule="auto"/>
        <w:jc w:val="both"/>
        <w:rPr>
          <w:rFonts w:ascii="Times New Roman" w:hAnsi="Times New Roman" w:eastAsia="Times New Roman" w:cs="Times New Roman"/>
          <w:sz w:val="24"/>
          <w:szCs w:val="24"/>
          <w:lang w:val="es-MX" w:eastAsia="ar-SA"/>
        </w:rPr>
      </w:pPr>
      <w:r w:rsidRPr="7B4FE5DE" w:rsidR="006F2F97">
        <w:rPr>
          <w:rFonts w:ascii="Times New Roman" w:hAnsi="Times New Roman" w:eastAsia="Times New Roman" w:cs="Times New Roman"/>
          <w:sz w:val="24"/>
          <w:szCs w:val="24"/>
          <w:lang w:val="es-MX" w:eastAsia="ar-SA"/>
        </w:rPr>
        <w:t xml:space="preserve">Que, habiéndosele corrido traslado a </w:t>
      </w:r>
      <w:r w:rsidRPr="7B4FE5DE" w:rsidR="027D409A">
        <w:rPr>
          <w:rFonts w:ascii="Times New Roman" w:hAnsi="Times New Roman" w:eastAsia="Times New Roman" w:cs="Times New Roman"/>
          <w:sz w:val="24"/>
          <w:szCs w:val="24"/>
          <w:lang w:val="es-MX" w:eastAsia="ar-SA"/>
        </w:rPr>
        <w:t>..............................................</w:t>
      </w:r>
      <w:r w:rsidRPr="7B4FE5DE" w:rsidR="006F2F97">
        <w:rPr>
          <w:rFonts w:ascii="Times New Roman" w:hAnsi="Times New Roman" w:eastAsia="Times New Roman" w:cs="Times New Roman"/>
          <w:sz w:val="24"/>
          <w:szCs w:val="24"/>
          <w:lang w:val="es-MX" w:eastAsia="ar-SA"/>
        </w:rPr>
        <w:t xml:space="preserve"> de la señalada impugnación, mediante escrito presentado el 22 de enero de 2021, la señalada aseguradora solicitó que el mismo sea desestimado, destacando que la DEFASEG se ha sustentado al resolver el caso en lo que establecen los artículos 4 y 5 del Decreto Legislativo Nro. 688, siendo que la cobertura es debida cuando media una invalidez total y permanente que corresponda a uno de los supuestos establecidos en la propia ley, lo cual no puede ser extendido a supuestos distintos; y sin perjuicio de ello, </w:t>
      </w:r>
      <w:r w:rsidRPr="7B4FE5DE" w:rsidR="027D409A">
        <w:rPr>
          <w:rFonts w:ascii="Times New Roman" w:hAnsi="Times New Roman" w:eastAsia="Times New Roman" w:cs="Times New Roman"/>
          <w:sz w:val="24"/>
          <w:szCs w:val="24"/>
          <w:lang w:val="es-MX" w:eastAsia="ar-SA"/>
        </w:rPr>
        <w:t>..............................................</w:t>
      </w:r>
      <w:r w:rsidRPr="7B4FE5DE" w:rsidR="006F2F97">
        <w:rPr>
          <w:rFonts w:ascii="Times New Roman" w:hAnsi="Times New Roman" w:eastAsia="Times New Roman" w:cs="Times New Roman"/>
          <w:sz w:val="24"/>
          <w:szCs w:val="24"/>
          <w:lang w:val="es-MX" w:eastAsia="ar-SA"/>
        </w:rPr>
        <w:t xml:space="preserve"> también destaca que lo expresado en la resolución recurrida sobre el origen o fuente del dictamen médico no modifica lo resuelto, ya que la situación del asegurado no califica como invalidez total y permanente conforme a los términos de la póliza contratada, la cual se ajusta al D. </w:t>
      </w:r>
      <w:r w:rsidRPr="7B4FE5DE" w:rsidR="006F2F97">
        <w:rPr>
          <w:rFonts w:ascii="Times New Roman" w:hAnsi="Times New Roman" w:eastAsia="Times New Roman" w:cs="Times New Roman"/>
          <w:sz w:val="24"/>
          <w:szCs w:val="24"/>
          <w:lang w:val="es-MX" w:eastAsia="ar-SA"/>
        </w:rPr>
        <w:t>Leg</w:t>
      </w:r>
      <w:r w:rsidRPr="7B4FE5DE" w:rsidR="006F2F97">
        <w:rPr>
          <w:rFonts w:ascii="Times New Roman" w:hAnsi="Times New Roman" w:eastAsia="Times New Roman" w:cs="Times New Roman"/>
          <w:sz w:val="24"/>
          <w:szCs w:val="24"/>
          <w:lang w:val="es-MX" w:eastAsia="ar-SA"/>
        </w:rPr>
        <w:t>. Nro. 688, siendo que la presentación del carné expedido por el CONADIS no modifica dicha situación, por lo que se reitera lo expresado al absolver el traslado de la reclamación;</w:t>
      </w:r>
    </w:p>
    <w:p w:rsidRPr="006F2F97" w:rsidR="006F2F97" w:rsidP="006F2F97" w:rsidRDefault="006F2F97" w14:paraId="336AD347"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6F2F97" w:rsidR="006F2F97" w:rsidP="006F2F97" w:rsidRDefault="006F2F97" w14:paraId="24381EA4" w14:textId="77777777">
      <w:pPr>
        <w:suppressAutoHyphens/>
        <w:spacing w:after="0" w:line="240" w:lineRule="auto"/>
        <w:jc w:val="both"/>
        <w:rPr>
          <w:rFonts w:ascii="Times New Roman" w:hAnsi="Times New Roman" w:cs="Times New Roman"/>
          <w:bCs/>
          <w:sz w:val="24"/>
          <w:szCs w:val="24"/>
          <w:lang w:val="es-ES"/>
        </w:rPr>
      </w:pPr>
      <w:r w:rsidRPr="006F2F97">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rsidRPr="006F2F97" w:rsidR="006F2F97" w:rsidP="006F2F97" w:rsidRDefault="006F2F97" w14:paraId="17FC36DF"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6F2F97" w:rsidR="006F2F97" w:rsidP="006F2F97" w:rsidRDefault="006F2F97" w14:paraId="41D1D2D1"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6F2F97">
        <w:rPr>
          <w:rFonts w:ascii="Times New Roman" w:hAnsi="Times New Roman" w:eastAsia="Times New Roman" w:cs="Times New Roman"/>
          <w:b/>
          <w:bCs/>
          <w:sz w:val="24"/>
          <w:szCs w:val="24"/>
          <w:lang w:val="es-MX" w:eastAsia="ar-SA"/>
        </w:rPr>
        <w:t>Considerando:</w:t>
      </w:r>
    </w:p>
    <w:p w:rsidRPr="006F2F97" w:rsidR="006F2F97" w:rsidP="006F2F97" w:rsidRDefault="006F2F97" w14:paraId="2991728B" w14:textId="77777777">
      <w:pPr>
        <w:suppressAutoHyphens/>
        <w:spacing w:after="0" w:line="240" w:lineRule="auto"/>
        <w:jc w:val="both"/>
        <w:rPr>
          <w:rFonts w:ascii="Times New Roman" w:hAnsi="Times New Roman" w:eastAsia="Times New Roman" w:cs="Times New Roman"/>
          <w:sz w:val="24"/>
          <w:szCs w:val="24"/>
          <w:lang w:val="es-ES" w:eastAsia="ar-SA"/>
        </w:rPr>
      </w:pPr>
    </w:p>
    <w:p w:rsidRPr="006F2F97" w:rsidR="006F2F97" w:rsidP="006F2F97" w:rsidRDefault="006F2F97" w14:paraId="4BE41770" w14:textId="77777777">
      <w:pPr>
        <w:spacing w:after="0" w:line="240" w:lineRule="auto"/>
        <w:jc w:val="both"/>
        <w:rPr>
          <w:rFonts w:ascii="Times New Roman" w:hAnsi="Times New Roman" w:cs="Times New Roman"/>
          <w:sz w:val="24"/>
          <w:szCs w:val="24"/>
          <w:lang w:val="es-PE"/>
        </w:rPr>
      </w:pPr>
      <w:r w:rsidRPr="006F2F97">
        <w:rPr>
          <w:rFonts w:ascii="Times New Roman" w:hAnsi="Times New Roman" w:cs="Times New Roman"/>
          <w:b/>
          <w:sz w:val="24"/>
          <w:szCs w:val="24"/>
          <w:u w:val="single"/>
          <w:lang w:val="es-PE"/>
        </w:rPr>
        <w:t>Primero</w:t>
      </w:r>
      <w:r w:rsidRPr="006F2F97">
        <w:rPr>
          <w:rFonts w:ascii="Times New Roman" w:hAnsi="Times New Roman" w:cs="Times New Roman"/>
          <w:b/>
          <w:sz w:val="24"/>
          <w:szCs w:val="24"/>
          <w:lang w:val="es-PE"/>
        </w:rPr>
        <w:t>:</w:t>
      </w:r>
      <w:r w:rsidRPr="006F2F97">
        <w:rPr>
          <w:rFonts w:ascii="Times New Roman" w:hAnsi="Times New Roman" w:cs="Times New Roman"/>
          <w:sz w:val="24"/>
          <w:szCs w:val="24"/>
          <w:lang w:val="es-PE"/>
        </w:rPr>
        <w:t xml:space="preserve"> El Reglamento de la DEFASEG </w:t>
      </w:r>
      <w:r w:rsidRPr="006F2F97">
        <w:rPr>
          <w:rFonts w:ascii="Times New Roman" w:hAnsi="Times New Roman" w:eastAsia="Arial Unicode MS" w:cs="Times New Roman"/>
          <w:sz w:val="24"/>
          <w:szCs w:val="24"/>
          <w:lang w:val="es-PE"/>
        </w:rPr>
        <w:t xml:space="preserve">(http://www.defaseg.com.pe/reglamento), en su artículo 10, </w:t>
      </w:r>
      <w:r w:rsidRPr="006F2F97">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6F2F97">
        <w:rPr>
          <w:rFonts w:ascii="Times New Roman" w:hAnsi="Times New Roman" w:cs="Times New Roman"/>
          <w:sz w:val="24"/>
          <w:szCs w:val="24"/>
          <w:lang w:val="es-ES"/>
        </w:rPr>
        <w:t>usuario de seguro recurre en forma voluntaria a la Defensoría, siendo que la presentación de una reclamación n</w:t>
      </w:r>
      <w:r w:rsidRPr="006F2F97">
        <w:rPr>
          <w:rFonts w:ascii="Times New Roman" w:hAnsi="Times New Roman" w:cs="Times New Roman"/>
          <w:sz w:val="24"/>
          <w:szCs w:val="24"/>
          <w:lang w:val="es-PE"/>
        </w:rPr>
        <w:t xml:space="preserve">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w:t>
      </w:r>
      <w:r w:rsidRPr="006F2F97">
        <w:rPr>
          <w:rFonts w:ascii="Times New Roman" w:hAnsi="Times New Roman" w:cs="Times New Roman"/>
          <w:sz w:val="24"/>
          <w:szCs w:val="24"/>
          <w:lang w:val="es-PE"/>
        </w:rPr>
        <w:lastRenderedPageBreak/>
        <w:t>posibilidad de poder recurrir a las instancias correspondientes, a diferencia de la aseguradora que sí queda comprometida con lo resuelto por la DEFASEG.</w:t>
      </w:r>
    </w:p>
    <w:p w:rsidRPr="006F2F97" w:rsidR="006F2F97" w:rsidP="006F2F97" w:rsidRDefault="006F2F97" w14:paraId="0863EE78" w14:textId="77777777">
      <w:pPr>
        <w:spacing w:after="0" w:line="240" w:lineRule="auto"/>
        <w:jc w:val="both"/>
        <w:rPr>
          <w:rFonts w:ascii="Times New Roman" w:hAnsi="Times New Roman" w:cs="Times New Roman"/>
          <w:sz w:val="24"/>
          <w:szCs w:val="24"/>
          <w:lang w:val="es-PE"/>
        </w:rPr>
      </w:pPr>
    </w:p>
    <w:p w:rsidRPr="006F2F97" w:rsidR="006F2F97" w:rsidP="006F2F97" w:rsidRDefault="006F2F97" w14:paraId="7CC02FB5" w14:textId="77777777">
      <w:pPr>
        <w:tabs>
          <w:tab w:val="left" w:pos="0"/>
          <w:tab w:val="left" w:pos="2160"/>
        </w:tabs>
        <w:spacing w:after="0" w:line="240" w:lineRule="auto"/>
        <w:jc w:val="both"/>
        <w:rPr>
          <w:rFonts w:ascii="Times New Roman" w:hAnsi="Times New Roman" w:cs="Times New Roman"/>
          <w:bCs/>
          <w:sz w:val="24"/>
          <w:szCs w:val="24"/>
          <w:lang w:val="es-ES"/>
        </w:rPr>
      </w:pPr>
      <w:r w:rsidRPr="006F2F97">
        <w:rPr>
          <w:rFonts w:ascii="Times New Roman" w:hAnsi="Times New Roman" w:cs="Times New Roman"/>
          <w:b/>
          <w:sz w:val="24"/>
          <w:szCs w:val="24"/>
          <w:u w:val="single"/>
          <w:lang w:val="es-PE"/>
        </w:rPr>
        <w:t>Segundo</w:t>
      </w:r>
      <w:r w:rsidRPr="006F2F97">
        <w:rPr>
          <w:rFonts w:ascii="Times New Roman" w:hAnsi="Times New Roman" w:cs="Times New Roman"/>
          <w:b/>
          <w:sz w:val="24"/>
          <w:szCs w:val="24"/>
          <w:lang w:val="es-PE"/>
        </w:rPr>
        <w:t>:</w:t>
      </w:r>
      <w:r w:rsidRPr="006F2F97">
        <w:rPr>
          <w:rFonts w:ascii="Times New Roman" w:hAnsi="Times New Roman" w:cs="Times New Roman"/>
          <w:sz w:val="24"/>
          <w:szCs w:val="24"/>
          <w:lang w:val="es-PE"/>
        </w:rPr>
        <w:t xml:space="preserve"> Según fue analizado al expedirse la resolución recurrida, el rechazo de cobertura se encuentra final y legítimamente sustentado, ajustándose al marco legal y a los términos de la póliza contratada</w:t>
      </w:r>
      <w:r w:rsidRPr="006F2F97">
        <w:rPr>
          <w:rFonts w:ascii="Times New Roman" w:hAnsi="Times New Roman" w:cs="Times New Roman"/>
          <w:bCs/>
          <w:sz w:val="24"/>
          <w:szCs w:val="24"/>
          <w:lang w:val="es-ES"/>
        </w:rPr>
        <w:t xml:space="preserve">.  El reclamante no ha enervado dicho análisis, ni ha probado cosa distinta a través de su recurso de impugnación, el mismo que, de hecho, se limita a ser un simple pedido de revisión general, correspondiendo al juicio del asegurado sobre que le corresponde la cobertura por el solo hecho de presentar una invalidez total y permanente, obviado que la misma debe corresponder necesariamente a una específica situación enunciada taxativamente en el D. </w:t>
      </w:r>
      <w:proofErr w:type="spellStart"/>
      <w:r w:rsidRPr="006F2F97">
        <w:rPr>
          <w:rFonts w:ascii="Times New Roman" w:hAnsi="Times New Roman" w:cs="Times New Roman"/>
          <w:bCs/>
          <w:sz w:val="24"/>
          <w:szCs w:val="24"/>
          <w:lang w:val="es-ES"/>
        </w:rPr>
        <w:t>Leg</w:t>
      </w:r>
      <w:proofErr w:type="spellEnd"/>
      <w:r w:rsidRPr="006F2F97">
        <w:rPr>
          <w:rFonts w:ascii="Times New Roman" w:hAnsi="Times New Roman" w:cs="Times New Roman"/>
          <w:bCs/>
          <w:sz w:val="24"/>
          <w:szCs w:val="24"/>
          <w:lang w:val="es-ES"/>
        </w:rPr>
        <w:t>. Nro. 688 y en la póliza, juicio que este colegiado respeta pero que de manera alguna comparte.</w:t>
      </w:r>
    </w:p>
    <w:p w:rsidRPr="006F2F97" w:rsidR="006F2F97" w:rsidP="006F2F97" w:rsidRDefault="006F2F97" w14:paraId="73F322D8" w14:textId="77777777">
      <w:pPr>
        <w:tabs>
          <w:tab w:val="left" w:pos="2160"/>
        </w:tabs>
        <w:spacing w:after="0" w:line="240" w:lineRule="auto"/>
        <w:jc w:val="both"/>
        <w:rPr>
          <w:rFonts w:ascii="Times New Roman" w:hAnsi="Times New Roman" w:cs="Times New Roman"/>
          <w:sz w:val="24"/>
          <w:szCs w:val="24"/>
          <w:lang w:val="es-PE"/>
        </w:rPr>
      </w:pPr>
    </w:p>
    <w:p w:rsidRPr="006F2F97" w:rsidR="006F2F97" w:rsidP="006F2F97" w:rsidRDefault="006F2F97" w14:paraId="518CAE7B" w14:textId="77777777">
      <w:pPr>
        <w:tabs>
          <w:tab w:val="left" w:pos="2160"/>
        </w:tabs>
        <w:spacing w:after="0" w:line="240" w:lineRule="auto"/>
        <w:jc w:val="both"/>
        <w:rPr>
          <w:rFonts w:ascii="Times New Roman" w:hAnsi="Times New Roman" w:cs="Times New Roman"/>
          <w:sz w:val="24"/>
          <w:szCs w:val="24"/>
          <w:lang w:val="es-ES"/>
        </w:rPr>
      </w:pPr>
      <w:r w:rsidRPr="006F2F97">
        <w:rPr>
          <w:rFonts w:ascii="Times New Roman" w:hAnsi="Times New Roman" w:cs="Times New Roman"/>
          <w:sz w:val="24"/>
          <w:szCs w:val="24"/>
          <w:lang w:val="es-ES"/>
        </w:rPr>
        <w:t>En atención a las consideraciones precedentes, este colegiado aprecia que no existe mérito ni razón objetiva para revocar la resolución recurrida; por lo tanto,</w:t>
      </w:r>
    </w:p>
    <w:p w:rsidRPr="006F2F97" w:rsidR="006F2F97" w:rsidP="006F2F97" w:rsidRDefault="006F2F97" w14:paraId="1D0E81D2" w14:textId="77777777">
      <w:pPr>
        <w:spacing w:after="0" w:line="240" w:lineRule="auto"/>
        <w:jc w:val="both"/>
        <w:rPr>
          <w:rFonts w:ascii="Times New Roman" w:hAnsi="Times New Roman" w:eastAsia="Times New Roman" w:cs="Times New Roman"/>
          <w:bCs/>
          <w:sz w:val="24"/>
          <w:szCs w:val="24"/>
          <w:lang w:val="es-ES" w:eastAsia="ar-SA"/>
        </w:rPr>
      </w:pPr>
    </w:p>
    <w:p w:rsidRPr="006F2F97" w:rsidR="006F2F97" w:rsidP="006F2F97" w:rsidRDefault="006F2F97" w14:paraId="509726A9" w14:textId="77777777">
      <w:pPr>
        <w:spacing w:after="0" w:line="240" w:lineRule="auto"/>
        <w:jc w:val="both"/>
        <w:rPr>
          <w:rFonts w:ascii="Times New Roman" w:hAnsi="Times New Roman" w:cs="Times New Roman"/>
          <w:b/>
          <w:sz w:val="24"/>
          <w:szCs w:val="24"/>
          <w:lang w:val="es-PE"/>
        </w:rPr>
      </w:pPr>
      <w:r w:rsidRPr="006F2F97">
        <w:rPr>
          <w:rFonts w:ascii="Times New Roman" w:hAnsi="Times New Roman" w:cs="Times New Roman"/>
          <w:b/>
          <w:sz w:val="24"/>
          <w:szCs w:val="24"/>
          <w:lang w:val="es-PE"/>
        </w:rPr>
        <w:t>Atendiendo a lo expresado, conforme a su reglamento, este colegiado resuelve:</w:t>
      </w:r>
    </w:p>
    <w:p w:rsidRPr="006F2F97" w:rsidR="006F2F97" w:rsidP="006F2F97" w:rsidRDefault="006F2F97" w14:paraId="51B30546" w14:textId="77777777">
      <w:pPr>
        <w:spacing w:after="0" w:line="240" w:lineRule="auto"/>
        <w:jc w:val="both"/>
        <w:rPr>
          <w:rFonts w:ascii="Times New Roman" w:hAnsi="Times New Roman" w:eastAsia="Arial Unicode MS" w:cs="Times New Roman"/>
          <w:b/>
          <w:sz w:val="24"/>
          <w:szCs w:val="24"/>
          <w:lang w:val="es-PE"/>
        </w:rPr>
      </w:pPr>
    </w:p>
    <w:p w:rsidRPr="006F2F97" w:rsidR="006F2F97" w:rsidP="7B4FE5DE" w:rsidRDefault="006F2F97" w14:paraId="53F9312B" w14:textId="2BA06E73">
      <w:pPr>
        <w:spacing w:after="0" w:line="240" w:lineRule="auto"/>
        <w:jc w:val="both"/>
        <w:rPr>
          <w:rFonts w:ascii="Times New Roman" w:hAnsi="Times New Roman" w:cs="Times New Roman"/>
          <w:b w:val="1"/>
          <w:bCs w:val="1"/>
          <w:sz w:val="24"/>
          <w:szCs w:val="24"/>
          <w:lang w:val="es-ES"/>
        </w:rPr>
      </w:pPr>
      <w:r w:rsidRPr="7B4FE5DE" w:rsidR="006F2F97">
        <w:rPr>
          <w:rFonts w:ascii="Times New Roman" w:hAnsi="Times New Roman" w:eastAsia="Arial Unicode MS" w:cs="Times New Roman"/>
          <w:b w:val="1"/>
          <w:bCs w:val="1"/>
          <w:sz w:val="24"/>
          <w:szCs w:val="24"/>
          <w:lang w:val="es-PE"/>
        </w:rPr>
        <w:t xml:space="preserve">Declarar INFUNDADO el recurso impugnativo </w:t>
      </w:r>
      <w:r w:rsidRPr="7B4FE5DE" w:rsidR="006F2F97">
        <w:rPr>
          <w:rFonts w:ascii="Times New Roman" w:hAnsi="Times New Roman" w:eastAsia="Arial Unicode MS" w:cs="Times New Roman"/>
          <w:sz w:val="24"/>
          <w:szCs w:val="24"/>
          <w:lang w:val="es-PE"/>
        </w:rPr>
        <w:t xml:space="preserve">interpuesto por </w:t>
      </w:r>
      <w:r w:rsidRPr="7B4FE5DE" w:rsidR="006F2F97">
        <w:rPr>
          <w:rFonts w:ascii="Times New Roman" w:hAnsi="Times New Roman" w:eastAsia="Times New Roman" w:cs="Times New Roman"/>
          <w:sz w:val="24"/>
          <w:szCs w:val="24"/>
          <w:lang w:val="es-ES" w:eastAsia="ar-SA"/>
        </w:rPr>
        <w:t>don</w:t>
      </w:r>
      <w:r w:rsidRPr="7B4FE5DE" w:rsidR="006F2F97">
        <w:rPr>
          <w:rFonts w:ascii="Times New Roman" w:hAnsi="Times New Roman" w:cs="Times New Roman"/>
          <w:sz w:val="24"/>
          <w:szCs w:val="24"/>
          <w:lang w:val="es-ES"/>
        </w:rPr>
        <w:t xml:space="preserve"> </w:t>
      </w:r>
      <w:r w:rsidRPr="7B4FE5DE" w:rsidR="3D257315">
        <w:rPr>
          <w:rFonts w:ascii="Times New Roman" w:hAnsi="Times New Roman" w:eastAsia="Times New Roman" w:cs="Times New Roman"/>
          <w:sz w:val="24"/>
          <w:szCs w:val="24"/>
          <w:lang w:val="es-ES" w:eastAsia="ar-SA"/>
        </w:rPr>
        <w:t>............................................................</w:t>
      </w:r>
      <w:r w:rsidRPr="7B4FE5DE" w:rsidR="006F2F97">
        <w:rPr>
          <w:rFonts w:ascii="Times New Roman" w:hAnsi="Times New Roman" w:cs="Times New Roman"/>
          <w:b w:val="1"/>
          <w:bCs w:val="1"/>
          <w:sz w:val="24"/>
          <w:szCs w:val="24"/>
          <w:lang w:val="es-ES"/>
        </w:rPr>
        <w:t xml:space="preserve"> </w:t>
      </w:r>
      <w:r w:rsidRPr="7B4FE5DE" w:rsidR="006F2F97">
        <w:rPr>
          <w:rFonts w:ascii="Times New Roman" w:hAnsi="Times New Roman" w:cs="Times New Roman"/>
          <w:sz w:val="24"/>
          <w:szCs w:val="24"/>
          <w:lang w:val="es-ES"/>
        </w:rPr>
        <w:t>y, por consiguiente,</w:t>
      </w:r>
      <w:r w:rsidRPr="7B4FE5DE" w:rsidR="006F2F97">
        <w:rPr>
          <w:rFonts w:ascii="Times New Roman" w:hAnsi="Times New Roman" w:cs="Times New Roman"/>
          <w:sz w:val="24"/>
          <w:szCs w:val="24"/>
          <w:lang w:val="es-PE"/>
        </w:rPr>
        <w:t xml:space="preserve"> ratificar la</w:t>
      </w:r>
      <w:r w:rsidRPr="7B4FE5DE" w:rsidR="006F2F97">
        <w:rPr>
          <w:rFonts w:ascii="Times New Roman" w:hAnsi="Times New Roman" w:eastAsia="Times New Roman" w:cs="Times New Roman"/>
          <w:sz w:val="24"/>
          <w:szCs w:val="24"/>
          <w:lang w:val="es-ES" w:eastAsia="ar-SA"/>
        </w:rPr>
        <w:t xml:space="preserve"> Resolución</w:t>
      </w:r>
      <w:r w:rsidRPr="7B4FE5DE" w:rsidR="006F2F97">
        <w:rPr>
          <w:rFonts w:ascii="Times New Roman" w:hAnsi="Times New Roman" w:cs="Times New Roman"/>
          <w:b w:val="1"/>
          <w:bCs w:val="1"/>
          <w:sz w:val="24"/>
          <w:szCs w:val="24"/>
          <w:lang w:val="es-ES"/>
        </w:rPr>
        <w:t xml:space="preserve"> </w:t>
      </w:r>
      <w:r w:rsidRPr="7B4FE5DE" w:rsidR="006F2F97">
        <w:rPr>
          <w:rFonts w:ascii="Times New Roman" w:hAnsi="Times New Roman" w:eastAsia="Times New Roman" w:cs="Times New Roman"/>
          <w:sz w:val="24"/>
          <w:szCs w:val="24"/>
          <w:lang w:val="es-ES" w:eastAsia="ar-SA"/>
        </w:rPr>
        <w:t>Nro. 134/20, del 30 de diciembre de 2020.</w:t>
      </w:r>
    </w:p>
    <w:p w:rsidRPr="006F2F97" w:rsidR="006F2F97" w:rsidP="006F2F97" w:rsidRDefault="006F2F97" w14:paraId="5B721050" w14:textId="77777777">
      <w:pPr>
        <w:spacing w:after="0" w:line="240" w:lineRule="auto"/>
        <w:jc w:val="both"/>
        <w:rPr>
          <w:rFonts w:ascii="Arial" w:hAnsi="Arial" w:cs="Arial"/>
          <w:b/>
          <w:lang w:val="es-ES"/>
        </w:rPr>
      </w:pPr>
    </w:p>
    <w:p w:rsidRPr="000752E4" w:rsidR="00077B6F" w:rsidP="00C671F5" w:rsidRDefault="0091528B" w14:paraId="78A39B5B" w14:textId="0A9D6A20">
      <w:pPr>
        <w:suppressAutoHyphens/>
        <w:spacing w:after="0" w:line="240" w:lineRule="auto"/>
        <w:jc w:val="right"/>
        <w:outlineLvl w:val="0"/>
        <w:rPr>
          <w:rFonts w:ascii="Times New Roman" w:hAnsi="Times New Roman" w:eastAsia="Arial Unicode MS" w:cs="Times New Roman"/>
          <w:sz w:val="24"/>
          <w:szCs w:val="24"/>
          <w:lang w:val="es-PE" w:eastAsia="ar-SA"/>
        </w:rPr>
      </w:pPr>
      <w:r w:rsidRPr="000752E4">
        <w:rPr>
          <w:rFonts w:ascii="Times New Roman" w:hAnsi="Times New Roman" w:eastAsia="Arial Unicode MS" w:cs="Times New Roman"/>
          <w:sz w:val="24"/>
          <w:szCs w:val="24"/>
          <w:lang w:val="es-PE" w:eastAsia="ar-SA"/>
        </w:rPr>
        <w:t xml:space="preserve">Lima, </w:t>
      </w:r>
      <w:r w:rsidR="006F2F97">
        <w:rPr>
          <w:rFonts w:ascii="Times New Roman" w:hAnsi="Times New Roman" w:eastAsia="Arial Unicode MS" w:cs="Times New Roman"/>
          <w:sz w:val="24"/>
          <w:szCs w:val="24"/>
          <w:lang w:val="es-PE" w:eastAsia="ar-SA"/>
        </w:rPr>
        <w:t>15</w:t>
      </w:r>
      <w:r w:rsidRPr="000752E4" w:rsidR="00707C99">
        <w:rPr>
          <w:rFonts w:ascii="Times New Roman" w:hAnsi="Times New Roman" w:eastAsia="Arial Unicode MS" w:cs="Times New Roman"/>
          <w:sz w:val="24"/>
          <w:szCs w:val="24"/>
          <w:lang w:val="es-PE" w:eastAsia="ar-SA"/>
        </w:rPr>
        <w:t xml:space="preserve"> de </w:t>
      </w:r>
      <w:r w:rsidRPr="000752E4" w:rsidR="00AF16B6">
        <w:rPr>
          <w:rFonts w:ascii="Times New Roman" w:hAnsi="Times New Roman" w:eastAsia="Arial Unicode MS" w:cs="Times New Roman"/>
          <w:sz w:val="24"/>
          <w:szCs w:val="24"/>
          <w:lang w:val="es-PE" w:eastAsia="ar-SA"/>
        </w:rPr>
        <w:t>febrero</w:t>
      </w:r>
      <w:r w:rsidRPr="000752E4" w:rsidR="00F06498">
        <w:rPr>
          <w:rFonts w:ascii="Times New Roman" w:hAnsi="Times New Roman" w:eastAsia="Arial Unicode MS" w:cs="Times New Roman"/>
          <w:sz w:val="24"/>
          <w:szCs w:val="24"/>
          <w:lang w:val="es-PE" w:eastAsia="ar-SA"/>
        </w:rPr>
        <w:t xml:space="preserve"> de 202</w:t>
      </w:r>
      <w:r w:rsidRPr="000752E4" w:rsidR="00231C58">
        <w:rPr>
          <w:rFonts w:ascii="Times New Roman" w:hAnsi="Times New Roman" w:eastAsia="Arial Unicode MS" w:cs="Times New Roman"/>
          <w:sz w:val="24"/>
          <w:szCs w:val="24"/>
          <w:lang w:val="es-PE" w:eastAsia="ar-SA"/>
        </w:rPr>
        <w:t>1</w:t>
      </w:r>
      <w:r w:rsidRPr="000752E4" w:rsidR="00707C99">
        <w:rPr>
          <w:rFonts w:ascii="Times New Roman" w:hAnsi="Times New Roman" w:eastAsia="Times New Roman" w:cs="Times New Roman"/>
          <w:sz w:val="24"/>
          <w:szCs w:val="24"/>
          <w:lang w:val="es-PE" w:eastAsia="ar-SA"/>
        </w:rPr>
        <w:t xml:space="preserve"> </w:t>
      </w:r>
    </w:p>
    <w:p w:rsidRPr="000752E4"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0752E4"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0752E4"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0752E4">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752E4"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0752E4"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0752E4">
        <w:rPr>
          <w:rFonts w:ascii="Times New Roman" w:hAnsi="Times New Roman" w:cs="Times New Roman"/>
          <w:b/>
          <w:bCs/>
          <w:sz w:val="24"/>
          <w:szCs w:val="24"/>
          <w:lang w:val="es-PE"/>
        </w:rPr>
        <w:t xml:space="preserve">María Eugenia Valdez Fernández Baca </w:t>
      </w:r>
      <w:r w:rsidRPr="000752E4" w:rsidR="00C671F5">
        <w:rPr>
          <w:rFonts w:ascii="Times New Roman" w:hAnsi="Times New Roman" w:cs="Times New Roman"/>
          <w:b/>
          <w:bCs/>
          <w:sz w:val="24"/>
          <w:szCs w:val="24"/>
          <w:lang w:val="es-PE"/>
        </w:rPr>
        <w:t xml:space="preserve">– </w:t>
      </w:r>
      <w:proofErr w:type="gramStart"/>
      <w:r w:rsidRPr="000752E4" w:rsidR="00C671F5">
        <w:rPr>
          <w:rFonts w:ascii="Times New Roman" w:hAnsi="Times New Roman" w:cs="Times New Roman"/>
          <w:b/>
          <w:bCs/>
          <w:sz w:val="24"/>
          <w:szCs w:val="24"/>
          <w:lang w:val="es-PE"/>
        </w:rPr>
        <w:t>Presidente</w:t>
      </w:r>
      <w:proofErr w:type="gramEnd"/>
    </w:p>
    <w:p w:rsidRPr="000752E4"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0752E4">
        <w:rPr>
          <w:rFonts w:ascii="Times New Roman" w:hAnsi="Times New Roman" w:cs="Times New Roman"/>
          <w:b/>
          <w:bCs/>
          <w:sz w:val="24"/>
          <w:szCs w:val="24"/>
          <w:lang w:val="es-PE"/>
        </w:rPr>
        <w:t>Marco Antonio Ortega Piana – Vocal</w:t>
      </w:r>
    </w:p>
    <w:p w:rsidRPr="000752E4"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0752E4">
        <w:rPr>
          <w:rFonts w:ascii="Times New Roman" w:hAnsi="Times New Roman" w:cs="Times New Roman"/>
          <w:b/>
          <w:bCs/>
          <w:sz w:val="24"/>
          <w:szCs w:val="24"/>
          <w:lang w:val="es-PE"/>
        </w:rPr>
        <w:t xml:space="preserve">Rolando Eyzaguirre </w:t>
      </w:r>
      <w:proofErr w:type="spellStart"/>
      <w:r w:rsidRPr="000752E4">
        <w:rPr>
          <w:rFonts w:ascii="Times New Roman" w:hAnsi="Times New Roman" w:cs="Times New Roman"/>
          <w:b/>
          <w:bCs/>
          <w:sz w:val="24"/>
          <w:szCs w:val="24"/>
          <w:lang w:val="es-PE"/>
        </w:rPr>
        <w:t>Maccan</w:t>
      </w:r>
      <w:proofErr w:type="spellEnd"/>
      <w:r w:rsidRPr="000752E4">
        <w:rPr>
          <w:rFonts w:ascii="Times New Roman" w:hAnsi="Times New Roman" w:cs="Times New Roman"/>
          <w:b/>
          <w:bCs/>
          <w:sz w:val="24"/>
          <w:szCs w:val="24"/>
          <w:lang w:val="es-PE"/>
        </w:rPr>
        <w:t xml:space="preserve"> – Vocal</w:t>
      </w:r>
    </w:p>
    <w:p w:rsidRPr="000752E4"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0752E4">
        <w:rPr>
          <w:rFonts w:ascii="Times New Roman" w:hAnsi="Times New Roman" w:cs="Times New Roman"/>
          <w:b/>
          <w:bCs/>
          <w:sz w:val="24"/>
          <w:szCs w:val="24"/>
          <w:lang w:val="es-PE"/>
        </w:rPr>
        <w:t xml:space="preserve">Gonzalo Abad del Busto </w:t>
      </w:r>
      <w:r w:rsidRPr="000752E4" w:rsidR="00231C58">
        <w:rPr>
          <w:rFonts w:ascii="Times New Roman" w:hAnsi="Times New Roman" w:cs="Times New Roman"/>
          <w:b/>
          <w:bCs/>
          <w:sz w:val="24"/>
          <w:szCs w:val="24"/>
          <w:lang w:val="es-PE"/>
        </w:rPr>
        <w:t xml:space="preserve">– </w:t>
      </w:r>
      <w:r w:rsidRPr="000752E4">
        <w:rPr>
          <w:rFonts w:ascii="Times New Roman" w:hAnsi="Times New Roman" w:cs="Times New Roman"/>
          <w:b/>
          <w:bCs/>
          <w:sz w:val="24"/>
          <w:szCs w:val="24"/>
          <w:lang w:val="es-PE"/>
        </w:rPr>
        <w:t>Vocal</w:t>
      </w:r>
    </w:p>
    <w:p w:rsidRPr="000752E4"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PE" w:eastAsia="ar-SA"/>
        </w:rPr>
      </w:pPr>
    </w:p>
    <w:p w:rsidRPr="000752E4"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0752E4"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3600" w:rsidP="00784355" w:rsidRDefault="006D3600" w14:paraId="7BAECBFE" w14:textId="77777777">
      <w:pPr>
        <w:spacing w:after="0" w:line="240" w:lineRule="auto"/>
      </w:pPr>
      <w:r>
        <w:separator/>
      </w:r>
    </w:p>
  </w:endnote>
  <w:endnote w:type="continuationSeparator" w:id="0">
    <w:p w:rsidR="006D3600" w:rsidP="00784355" w:rsidRDefault="006D3600" w14:paraId="2AC4342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3600" w:rsidP="00784355" w:rsidRDefault="006D3600" w14:paraId="6C685629" w14:textId="77777777">
      <w:pPr>
        <w:spacing w:after="0" w:line="240" w:lineRule="auto"/>
      </w:pPr>
      <w:r>
        <w:separator/>
      </w:r>
    </w:p>
  </w:footnote>
  <w:footnote w:type="continuationSeparator" w:id="0">
    <w:p w:rsidR="006D3600" w:rsidP="00784355" w:rsidRDefault="006D3600" w14:paraId="17542EC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27D409A"/>
    <w:rsid w:val="15B09CB2"/>
    <w:rsid w:val="20B12637"/>
    <w:rsid w:val="3D257315"/>
    <w:rsid w:val="7B4FE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EA1AC1F-F9FF-413F-9C68-CB77885D007E}"/>
</file>

<file path=customXml/itemProps3.xml><?xml version="1.0" encoding="utf-8"?>
<ds:datastoreItem xmlns:ds="http://schemas.openxmlformats.org/officeDocument/2006/customXml" ds:itemID="{8F18290B-64E3-4684-B3F4-53156DC3FBA4}"/>
</file>

<file path=customXml/itemProps4.xml><?xml version="1.0" encoding="utf-8"?>
<ds:datastoreItem xmlns:ds="http://schemas.openxmlformats.org/officeDocument/2006/customXml" ds:itemID="{45974DFA-73FF-470A-93B5-BC5F494F5A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28</cp:revision>
  <cp:lastPrinted>2021-02-05T14:15:00Z</cp:lastPrinted>
  <dcterms:created xsi:type="dcterms:W3CDTF">2020-12-18T20:17:00Z</dcterms:created>
  <dcterms:modified xsi:type="dcterms:W3CDTF">2026-02-03T21:27:36Z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