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6F2F97" w:rsidR="00707C99" w:rsidP="00072C60" w:rsidRDefault="00201C0D" w14:paraId="19FE0E96" w14:textId="6C0694E0">
      <w:pPr>
        <w:spacing w:after="0" w:line="240" w:lineRule="auto"/>
        <w:jc w:val="center"/>
        <w:rPr>
          <w:rFonts w:ascii="Times New Roman" w:hAnsi="Times New Roman" w:cs="Times New Roman"/>
          <w:b/>
          <w:sz w:val="24"/>
          <w:szCs w:val="24"/>
          <w:lang w:val="es-PE" w:eastAsia="ar-SA"/>
        </w:rPr>
      </w:pPr>
      <w:r w:rsidRPr="006F2F97">
        <w:rPr>
          <w:rFonts w:ascii="Times New Roman" w:hAnsi="Times New Roman" w:cs="Times New Roman"/>
          <w:b/>
          <w:sz w:val="24"/>
          <w:szCs w:val="24"/>
          <w:lang w:val="es-PE" w:eastAsia="ar-SA"/>
        </w:rPr>
        <w:t xml:space="preserve">RESOLUCIÓN DE RECURSO IMPUGNATIVO </w:t>
      </w:r>
      <w:proofErr w:type="spellStart"/>
      <w:r w:rsidRPr="006F2F97" w:rsidR="00707C99">
        <w:rPr>
          <w:rFonts w:ascii="Times New Roman" w:hAnsi="Times New Roman" w:cs="Times New Roman"/>
          <w:b/>
          <w:sz w:val="24"/>
          <w:szCs w:val="24"/>
          <w:lang w:val="es-PE" w:eastAsia="ar-SA"/>
        </w:rPr>
        <w:t>N°</w:t>
      </w:r>
      <w:proofErr w:type="spellEnd"/>
      <w:r w:rsidRPr="006F2F97" w:rsidR="00707C99">
        <w:rPr>
          <w:rFonts w:ascii="Times New Roman" w:hAnsi="Times New Roman" w:cs="Times New Roman"/>
          <w:b/>
          <w:sz w:val="24"/>
          <w:szCs w:val="24"/>
          <w:lang w:val="es-PE" w:eastAsia="ar-SA"/>
        </w:rPr>
        <w:t xml:space="preserve"> </w:t>
      </w:r>
      <w:r w:rsidRPr="006F2F97" w:rsidR="00C671F5">
        <w:rPr>
          <w:rFonts w:ascii="Times New Roman" w:hAnsi="Times New Roman" w:cs="Times New Roman"/>
          <w:b/>
          <w:sz w:val="24"/>
          <w:szCs w:val="24"/>
          <w:lang w:val="es-PE" w:eastAsia="ar-SA"/>
        </w:rPr>
        <w:t>0</w:t>
      </w:r>
      <w:r w:rsidRPr="006F2F97" w:rsidR="000752E4">
        <w:rPr>
          <w:rFonts w:ascii="Times New Roman" w:hAnsi="Times New Roman" w:cs="Times New Roman"/>
          <w:b/>
          <w:sz w:val="24"/>
          <w:szCs w:val="24"/>
          <w:lang w:val="es-PE" w:eastAsia="ar-SA"/>
        </w:rPr>
        <w:t>1</w:t>
      </w:r>
      <w:r w:rsidR="009E7FDD">
        <w:rPr>
          <w:rFonts w:ascii="Times New Roman" w:hAnsi="Times New Roman" w:cs="Times New Roman"/>
          <w:b/>
          <w:sz w:val="24"/>
          <w:szCs w:val="24"/>
          <w:lang w:val="es-PE" w:eastAsia="ar-SA"/>
        </w:rPr>
        <w:t>5</w:t>
      </w:r>
      <w:r w:rsidRPr="006F2F97" w:rsidR="00C671F5">
        <w:rPr>
          <w:rFonts w:ascii="Times New Roman" w:hAnsi="Times New Roman" w:cs="Times New Roman"/>
          <w:b/>
          <w:sz w:val="24"/>
          <w:szCs w:val="24"/>
          <w:lang w:val="es-PE" w:eastAsia="ar-SA"/>
        </w:rPr>
        <w:t>/2</w:t>
      </w:r>
      <w:r w:rsidRPr="006F2F97" w:rsidR="00231C58">
        <w:rPr>
          <w:rFonts w:ascii="Times New Roman" w:hAnsi="Times New Roman" w:cs="Times New Roman"/>
          <w:b/>
          <w:sz w:val="24"/>
          <w:szCs w:val="24"/>
          <w:lang w:val="es-PE" w:eastAsia="ar-SA"/>
        </w:rPr>
        <w:t>1</w:t>
      </w:r>
    </w:p>
    <w:p w:rsidRPr="006F2F97" w:rsidR="00707C99" w:rsidP="00072C60" w:rsidRDefault="00707C99" w14:paraId="428240E5" w14:textId="06F06948">
      <w:pPr>
        <w:suppressAutoHyphens/>
        <w:spacing w:after="0" w:line="240" w:lineRule="auto"/>
        <w:jc w:val="both"/>
        <w:rPr>
          <w:rFonts w:ascii="Times New Roman" w:hAnsi="Times New Roman" w:eastAsia="Times New Roman" w:cs="Times New Roman"/>
          <w:b/>
          <w:bCs/>
          <w:sz w:val="24"/>
          <w:szCs w:val="24"/>
          <w:lang w:val="es-PE" w:eastAsia="ar-SA"/>
        </w:rPr>
      </w:pPr>
    </w:p>
    <w:p w:rsidRPr="006F2F97" w:rsidR="00B32325" w:rsidP="00072C60" w:rsidRDefault="00B32325" w14:paraId="500397C4" w14:textId="77777777">
      <w:pPr>
        <w:suppressAutoHyphens/>
        <w:spacing w:after="0" w:line="240" w:lineRule="auto"/>
        <w:jc w:val="both"/>
        <w:rPr>
          <w:rFonts w:ascii="Times New Roman" w:hAnsi="Times New Roman" w:eastAsia="Times New Roman" w:cs="Times New Roman"/>
          <w:b/>
          <w:bCs/>
          <w:sz w:val="24"/>
          <w:szCs w:val="24"/>
          <w:lang w:val="es-PE" w:eastAsia="ar-SA"/>
        </w:rPr>
      </w:pPr>
    </w:p>
    <w:p w:rsidRPr="009E7FDD" w:rsidR="009E7FDD" w:rsidP="009E7FDD" w:rsidRDefault="009E7FDD" w14:paraId="45A7B31F" w14:textId="7261C98F">
      <w:pPr>
        <w:jc w:val="both"/>
        <w:outlineLvl w:val="0"/>
        <w:rPr>
          <w:rFonts w:ascii="Times New Roman" w:hAnsi="Times New Roman" w:cs="Times New Roman"/>
          <w:b/>
          <w:sz w:val="24"/>
          <w:szCs w:val="24"/>
          <w:lang w:val="es-PE"/>
        </w:rPr>
      </w:pPr>
      <w:r w:rsidRPr="009E7FDD">
        <w:rPr>
          <w:rFonts w:ascii="Times New Roman" w:hAnsi="Times New Roman" w:cs="Times New Roman"/>
          <w:b/>
          <w:sz w:val="24"/>
          <w:szCs w:val="24"/>
          <w:lang w:val="es-PE"/>
        </w:rPr>
        <w:t>VISTOS:</w:t>
      </w:r>
    </w:p>
    <w:p w:rsidRPr="009E7FDD" w:rsidR="009E7FDD" w:rsidP="4B179CC3" w:rsidRDefault="009E7FDD" w14:paraId="175A56A3" w14:textId="0EE91739">
      <w:pPr>
        <w:jc w:val="both"/>
        <w:rPr>
          <w:rFonts w:ascii="Times New Roman" w:hAnsi="Times New Roman" w:cs="Times New Roman"/>
          <w:sz w:val="24"/>
          <w:szCs w:val="24"/>
          <w:lang w:val="es-PE"/>
        </w:rPr>
      </w:pPr>
      <w:r w:rsidRPr="4B179CC3" w:rsidR="009E7FDD">
        <w:rPr>
          <w:rFonts w:ascii="Times New Roman" w:hAnsi="Times New Roman" w:cs="Times New Roman"/>
          <w:sz w:val="24"/>
          <w:szCs w:val="24"/>
          <w:lang w:val="es-PE"/>
        </w:rPr>
        <w:t xml:space="preserve">El recurso de impugnación presentado el 26 de noviembre de 2020 por </w:t>
      </w:r>
      <w:r w:rsidRPr="4B179CC3" w:rsidR="0A0E52DE">
        <w:rPr>
          <w:rFonts w:ascii="Times New Roman" w:hAnsi="Times New Roman" w:cs="Times New Roman"/>
          <w:sz w:val="24"/>
          <w:szCs w:val="24"/>
          <w:lang w:val="es-PE"/>
        </w:rPr>
        <w:t>.............................................</w:t>
      </w:r>
      <w:r w:rsidRPr="4B179CC3" w:rsidR="009E7FDD">
        <w:rPr>
          <w:rFonts w:ascii="Times New Roman" w:hAnsi="Times New Roman" w:cs="Times New Roman"/>
          <w:sz w:val="24"/>
          <w:szCs w:val="24"/>
          <w:lang w:val="es-PE"/>
        </w:rPr>
        <w:t xml:space="preserve"> respecto de la Resolución Nro. </w:t>
      </w:r>
      <w:r w:rsidRPr="4B179CC3" w:rsidR="009E7FDD">
        <w:rPr>
          <w:rFonts w:ascii="Times New Roman" w:hAnsi="Times New Roman" w:cs="Times New Roman"/>
          <w:sz w:val="24"/>
          <w:szCs w:val="24"/>
          <w:lang w:val="es-PE"/>
        </w:rPr>
        <w:t>110/2020</w:t>
      </w:r>
      <w:r w:rsidRPr="4B179CC3" w:rsidR="009E7FDD">
        <w:rPr>
          <w:rFonts w:ascii="Times New Roman" w:hAnsi="Times New Roman" w:cs="Times New Roman"/>
          <w:sz w:val="24"/>
          <w:szCs w:val="24"/>
          <w:lang w:val="es-PE"/>
        </w:rPr>
        <w:t xml:space="preserve"> de fecha </w:t>
      </w:r>
      <w:r w:rsidRPr="4B179CC3" w:rsidR="009E7FDD">
        <w:rPr>
          <w:rFonts w:ascii="Times New Roman" w:hAnsi="Times New Roman" w:cs="Times New Roman"/>
          <w:sz w:val="24"/>
          <w:szCs w:val="24"/>
          <w:lang w:val="es-PE"/>
        </w:rPr>
        <w:t>24</w:t>
      </w:r>
      <w:r w:rsidRPr="4B179CC3" w:rsidR="009E7FDD">
        <w:rPr>
          <w:rFonts w:ascii="Times New Roman" w:hAnsi="Times New Roman" w:cs="Times New Roman"/>
          <w:sz w:val="24"/>
          <w:szCs w:val="24"/>
          <w:lang w:val="es-PE"/>
        </w:rPr>
        <w:t xml:space="preserve"> de</w:t>
      </w:r>
      <w:r w:rsidRPr="4B179CC3" w:rsidR="009E7FDD">
        <w:rPr>
          <w:rFonts w:ascii="Times New Roman" w:hAnsi="Times New Roman" w:cs="Times New Roman"/>
          <w:sz w:val="24"/>
          <w:szCs w:val="24"/>
          <w:lang w:val="es-PE"/>
        </w:rPr>
        <w:t xml:space="preserve"> noviembre</w:t>
      </w:r>
      <w:r w:rsidRPr="4B179CC3" w:rsidR="009E7FDD">
        <w:rPr>
          <w:rFonts w:ascii="Times New Roman" w:hAnsi="Times New Roman" w:cs="Times New Roman"/>
          <w:sz w:val="24"/>
          <w:szCs w:val="24"/>
          <w:lang w:val="es-PE"/>
        </w:rPr>
        <w:t xml:space="preserve"> de 2020, expedida por esta Defensoría del Asegurado (DEFASEG), conforme a la cual se declaró INFUNDADA la reclamación interpuesta contra </w:t>
      </w:r>
      <w:r w:rsidRPr="4B179CC3" w:rsidR="104CCAD1">
        <w:rPr>
          <w:rFonts w:ascii="Times New Roman" w:hAnsi="Times New Roman" w:cs="Times New Roman"/>
          <w:sz w:val="24"/>
          <w:szCs w:val="24"/>
          <w:lang w:val="es-PE"/>
        </w:rPr>
        <w:t>.............................................</w:t>
      </w:r>
      <w:r w:rsidRPr="4B179CC3" w:rsidR="009E7FDD">
        <w:rPr>
          <w:rFonts w:ascii="Times New Roman" w:hAnsi="Times New Roman" w:cs="Times New Roman"/>
          <w:sz w:val="24"/>
          <w:szCs w:val="24"/>
          <w:lang w:val="es-PE"/>
        </w:rPr>
        <w:t xml:space="preserve"> respecto al seguro vehicular – Póliza </w:t>
      </w:r>
      <w:r w:rsidRPr="4B179CC3" w:rsidR="009E7FDD">
        <w:rPr>
          <w:rFonts w:ascii="Times New Roman" w:hAnsi="Times New Roman" w:cs="Times New Roman"/>
          <w:sz w:val="24"/>
          <w:szCs w:val="24"/>
          <w:lang w:val="es-PE"/>
        </w:rPr>
        <w:t>Nº</w:t>
      </w:r>
      <w:r w:rsidRPr="4B179CC3" w:rsidR="009E7FDD">
        <w:rPr>
          <w:rFonts w:ascii="Times New Roman" w:hAnsi="Times New Roman" w:cs="Times New Roman"/>
          <w:sz w:val="24"/>
          <w:szCs w:val="24"/>
          <w:lang w:val="es-PE"/>
        </w:rPr>
        <w:t xml:space="preserve"> 2004541057;  </w:t>
      </w:r>
    </w:p>
    <w:p w:rsidRPr="009E7FDD" w:rsidR="009E7FDD" w:rsidP="009E7FDD" w:rsidRDefault="009E7FDD" w14:paraId="7FBA5D0A" w14:textId="77777777">
      <w:pPr>
        <w:pStyle w:val="Textoindependiente"/>
        <w:rPr>
          <w:lang w:val="es-PE"/>
        </w:rPr>
      </w:pPr>
      <w:r w:rsidRPr="009E7FDD">
        <w:rPr>
          <w:lang w:val="es-PE"/>
        </w:rPr>
        <w:t xml:space="preserve">Que, el indicado recurso se sustenta resumidamente en lo siguiente: a) que la aseguradora indica que no existen daños en la parte baja del vehículo y que son simples suposiciones suyas que el </w:t>
      </w:r>
      <w:proofErr w:type="spellStart"/>
      <w:r w:rsidRPr="009E7FDD">
        <w:rPr>
          <w:lang w:val="es-PE"/>
        </w:rPr>
        <w:t>parachoque</w:t>
      </w:r>
      <w:proofErr w:type="spellEnd"/>
      <w:r w:rsidRPr="009E7FDD">
        <w:rPr>
          <w:lang w:val="es-PE"/>
        </w:rPr>
        <w:t xml:space="preserve"> se haya dañado productos de otros impactos que no se mencionaron; b) que sí existen daños en la parte inferior los cuales acredita con fotografías, que la aseguradora solo utilizó imágenes para llegar a sus conclusiones y se basa en el informe de un perito que es pagado por ellos; c) que por la forma del vehículo que lo impacta los daños en la parte superior sí habrían sido hechos por dicha unidad; que la aseguradora indica daños en el techo, los cuales no existen, y nunca reclamó, por lo que su conclusión es errada; d) que cambian de versión respecto al impacto del faro, por lo que tienen diversas versiones con el único objetivo de no atender su reclamo, inventando nuevos daños inexistentes; e) que no quieren reconocer que el guardafango posterior se descuadró como consecuencia que la llanta que impactó contra su vehículo pasó por debajo del mismo y salió por la parte posterior, afirmación que señala sustenta con las imágenes que adjunta; f) que la aseguradora refiere que autorizaron el cambio del neblinero; sin embargo no se hizo dicho cambio y la aseguradora no hace nada hasta la fecha para que corrijan dicha omisión. </w:t>
      </w:r>
    </w:p>
    <w:p w:rsidRPr="009E7FDD" w:rsidR="009E7FDD" w:rsidP="009E7FDD" w:rsidRDefault="009E7FDD" w14:paraId="2B9040D2" w14:textId="77777777">
      <w:pPr>
        <w:pStyle w:val="Textoindependiente"/>
        <w:rPr>
          <w:lang w:val="es-PE"/>
        </w:rPr>
      </w:pPr>
    </w:p>
    <w:p w:rsidRPr="009E7FDD" w:rsidR="009E7FDD" w:rsidP="009E7FDD" w:rsidRDefault="009E7FDD" w14:paraId="58137940" w14:textId="77777777">
      <w:pPr>
        <w:pStyle w:val="Default"/>
        <w:jc w:val="both"/>
        <w:rPr>
          <w:rFonts w:ascii="Times New Roman" w:hAnsi="Times New Roman" w:cs="Times New Roman"/>
          <w:bCs/>
        </w:rPr>
      </w:pPr>
      <w:r w:rsidRPr="009E7FDD">
        <w:rPr>
          <w:rFonts w:ascii="Times New Roman" w:hAnsi="Times New Roman" w:cs="Times New Roman"/>
          <w:bCs/>
        </w:rPr>
        <w:t xml:space="preserve">Que, habiéndose corrido traslado de la respectiva impugnación a la empresa aseguradora, esta lo absuelve mediante escrito de fecha 18 de enero de 2021, señalando resumidamente lo siguiente: a) adjuntan un informe pericial que desvirtúa y rechaza las alegaciones manifestadas por el reclamante en su escrito de impugnación, por lo que solicitan se declare infundado el recurso de impugnación interpuesto. </w:t>
      </w:r>
    </w:p>
    <w:p w:rsidRPr="009E7FDD" w:rsidR="009E7FDD" w:rsidP="009E7FDD" w:rsidRDefault="009E7FDD" w14:paraId="7E1F7898" w14:textId="77777777">
      <w:pPr>
        <w:pStyle w:val="Default"/>
        <w:jc w:val="both"/>
        <w:rPr>
          <w:rFonts w:ascii="Times New Roman" w:hAnsi="Times New Roman" w:cs="Times New Roman"/>
          <w:bCs/>
        </w:rPr>
      </w:pPr>
    </w:p>
    <w:p w:rsidRPr="009E7FDD" w:rsidR="009E7FDD" w:rsidP="009E7FDD" w:rsidRDefault="009E7FDD" w14:paraId="18625216" w14:textId="77777777">
      <w:pPr>
        <w:pStyle w:val="Default"/>
        <w:jc w:val="both"/>
        <w:rPr>
          <w:rFonts w:ascii="Times New Roman" w:hAnsi="Times New Roman" w:cs="Times New Roman"/>
        </w:rPr>
      </w:pPr>
      <w:r w:rsidRPr="009E7FDD">
        <w:rPr>
          <w:rFonts w:ascii="Times New Roman" w:hAnsi="Times New Roman" w:cs="Times New Roman"/>
          <w:bCs/>
        </w:rPr>
        <w:t>Que, esta Defensoría solicitó información adicional a las partes, y corrió traslado de las respectivas respuestas recibidas; por lo que el expediente se encuentra en condiciones de que este colegiado expida su pronunciamiento.</w:t>
      </w:r>
    </w:p>
    <w:p w:rsidRPr="009E7FDD" w:rsidR="009E7FDD" w:rsidP="009E7FDD" w:rsidRDefault="009E7FDD" w14:paraId="0EF3DB01" w14:textId="77777777">
      <w:pPr>
        <w:pStyle w:val="Textoindependiente"/>
        <w:rPr>
          <w:lang w:val="es-PE"/>
        </w:rPr>
      </w:pPr>
    </w:p>
    <w:p w:rsidRPr="009E7FDD" w:rsidR="009E7FDD" w:rsidP="009E7FDD" w:rsidRDefault="009E7FDD" w14:paraId="3C257401" w14:textId="77777777">
      <w:pPr>
        <w:pStyle w:val="Textoindependiente"/>
        <w:tabs>
          <w:tab w:val="left" w:pos="930"/>
        </w:tabs>
        <w:rPr>
          <w:lang w:val="es-PE"/>
        </w:rPr>
      </w:pPr>
      <w:r w:rsidRPr="009E7FDD">
        <w:rPr>
          <w:lang w:val="es-PE"/>
        </w:rPr>
        <w:t>Atendiendo a lo expuesto, esta Defensoría resuelve finalmente lo siguiente:</w:t>
      </w:r>
    </w:p>
    <w:p w:rsidRPr="009E7FDD" w:rsidR="009E7FDD" w:rsidP="009E7FDD" w:rsidRDefault="009E7FDD" w14:paraId="03E01E83" w14:textId="77777777">
      <w:pPr>
        <w:pStyle w:val="Default"/>
        <w:jc w:val="both"/>
        <w:rPr>
          <w:rFonts w:ascii="Times New Roman" w:hAnsi="Times New Roman" w:cs="Times New Roman"/>
          <w:bCs/>
        </w:rPr>
      </w:pPr>
    </w:p>
    <w:p w:rsidRPr="009E7FDD" w:rsidR="009E7FDD" w:rsidP="009E7FDD" w:rsidRDefault="009E7FDD" w14:paraId="256FEE03" w14:textId="13B091A1">
      <w:pPr>
        <w:jc w:val="both"/>
        <w:rPr>
          <w:rFonts w:ascii="Times New Roman" w:hAnsi="Times New Roman" w:cs="Times New Roman"/>
          <w:bCs/>
          <w:sz w:val="24"/>
          <w:szCs w:val="24"/>
          <w:lang w:val="es-PE"/>
        </w:rPr>
      </w:pPr>
      <w:r w:rsidRPr="009E7FDD">
        <w:rPr>
          <w:rFonts w:ascii="Times New Roman" w:hAnsi="Times New Roman" w:cs="Times New Roman"/>
          <w:b/>
          <w:sz w:val="24"/>
          <w:szCs w:val="24"/>
          <w:u w:val="single"/>
          <w:lang w:val="es-PE"/>
        </w:rPr>
        <w:t>PRIMERO</w:t>
      </w:r>
      <w:r w:rsidRPr="009E7FDD">
        <w:rPr>
          <w:rFonts w:ascii="Times New Roman" w:hAnsi="Times New Roman" w:cs="Times New Roman"/>
          <w:b/>
          <w:sz w:val="24"/>
          <w:szCs w:val="24"/>
          <w:lang w:val="es-PE"/>
        </w:rPr>
        <w:t>:</w:t>
      </w:r>
      <w:r w:rsidRPr="009E7FDD">
        <w:rPr>
          <w:rFonts w:ascii="Times New Roman" w:hAnsi="Times New Roman" w:cs="Times New Roman"/>
          <w:bCs/>
          <w:sz w:val="24"/>
          <w:szCs w:val="24"/>
          <w:lang w:val="es-PE"/>
        </w:rPr>
        <w:t xml:space="preserve"> El artículo 10 (Procedimiento) del Reglamento de la DEFASEG </w:t>
      </w:r>
      <w:r w:rsidRPr="009E7FDD">
        <w:rPr>
          <w:rFonts w:ascii="Times New Roman" w:hAnsi="Times New Roman" w:eastAsia="Arial Unicode MS" w:cs="Times New Roman"/>
          <w:bCs/>
          <w:sz w:val="24"/>
          <w:szCs w:val="24"/>
          <w:lang w:val="es-PE"/>
        </w:rPr>
        <w:t>(http://www.defaseg.com.pe/reglamento)</w:t>
      </w:r>
      <w:r w:rsidRPr="009E7FDD">
        <w:rPr>
          <w:rFonts w:ascii="Times New Roman" w:hAnsi="Times New Roman" w:cs="Times New Roman"/>
          <w:bCs/>
          <w:sz w:val="24"/>
          <w:szCs w:val="24"/>
          <w:lang w:val="es-PE"/>
        </w:rPr>
        <w:t xml:space="preserve"> establece que cualquiera de las partes que no se encuentre de acuerdo con la decisión adoptada por el colegiado sobre la materia reclamada, podrá impugnarla, interponiendo el correspondiente recurso de impugnación.  </w:t>
      </w:r>
    </w:p>
    <w:p w:rsidRPr="009E7FDD" w:rsidR="009E7FDD" w:rsidP="009E7FDD" w:rsidRDefault="009E7FDD" w14:paraId="520AC134" w14:textId="77777777">
      <w:pPr>
        <w:jc w:val="both"/>
        <w:rPr>
          <w:rFonts w:ascii="Times New Roman" w:hAnsi="Times New Roman" w:cs="Times New Roman"/>
          <w:bCs/>
          <w:sz w:val="24"/>
          <w:szCs w:val="24"/>
          <w:lang w:val="es-PE"/>
        </w:rPr>
      </w:pPr>
      <w:r w:rsidRPr="009E7FDD">
        <w:rPr>
          <w:rFonts w:ascii="Times New Roman" w:hAnsi="Times New Roman" w:cs="Times New Roman"/>
          <w:bCs/>
          <w:sz w:val="24"/>
          <w:szCs w:val="24"/>
          <w:lang w:val="es-PE"/>
        </w:rPr>
        <w:t>Conforme a ello, en el caso concreto, al interponer el recurso de impugnación el reclamante ha ejercido formalmente su derecho a contradecir lo resuelto por la Defensoría.</w:t>
      </w:r>
    </w:p>
    <w:p w:rsidRPr="009E7FDD" w:rsidR="009E7FDD" w:rsidP="009E7FDD" w:rsidRDefault="009E7FDD" w14:paraId="01A2D91D" w14:textId="77777777">
      <w:pPr>
        <w:pStyle w:val="Textoindependiente"/>
        <w:tabs>
          <w:tab w:val="left" w:pos="0"/>
          <w:tab w:val="left" w:pos="720"/>
        </w:tabs>
        <w:rPr>
          <w:u w:val="single"/>
          <w:lang w:val="es-PE"/>
        </w:rPr>
      </w:pPr>
    </w:p>
    <w:p w:rsidRPr="009E7FDD" w:rsidR="009E7FDD" w:rsidP="009E7FDD" w:rsidRDefault="009E7FDD" w14:paraId="5EFBC596" w14:textId="06660A94">
      <w:pPr>
        <w:jc w:val="both"/>
        <w:rPr>
          <w:rFonts w:ascii="Times New Roman" w:hAnsi="Times New Roman" w:cs="Times New Roman"/>
          <w:sz w:val="24"/>
          <w:szCs w:val="24"/>
          <w:lang w:val="es-PE"/>
        </w:rPr>
      </w:pPr>
      <w:r w:rsidRPr="009E7FDD">
        <w:rPr>
          <w:rFonts w:ascii="Times New Roman" w:hAnsi="Times New Roman" w:cs="Times New Roman"/>
          <w:b/>
          <w:sz w:val="24"/>
          <w:szCs w:val="24"/>
          <w:u w:val="single"/>
          <w:lang w:val="es-PE"/>
        </w:rPr>
        <w:lastRenderedPageBreak/>
        <w:t>SEGUNDO:</w:t>
      </w:r>
      <w:r w:rsidRPr="009E7FDD">
        <w:rPr>
          <w:rFonts w:ascii="Times New Roman" w:hAnsi="Times New Roman" w:cs="Times New Roman"/>
          <w:bCs/>
          <w:sz w:val="24"/>
          <w:szCs w:val="24"/>
          <w:lang w:val="es-PE"/>
        </w:rPr>
        <w:t xml:space="preserve">  </w:t>
      </w:r>
      <w:r w:rsidRPr="009E7FDD">
        <w:rPr>
          <w:rFonts w:ascii="Times New Roman" w:hAnsi="Times New Roman" w:cs="Times New Roman"/>
          <w:sz w:val="24"/>
          <w:szCs w:val="24"/>
          <w:lang w:val="es-PE"/>
        </w:rPr>
        <w:t xml:space="preserve">Que, el reclamante considera que sí se encuentran acreditados los daños en la parte inferior del vehículo. Que, la aseguradora en el informe pericial presentado señala que con respecto a los daños en la zona inferior de la unidad están aprobados en el presupuesto inicial el cobertor inferior, así como los protectores inferiores de radiador derecho e izquierdo y el travesaño inferior para la realización de los trabajos correspondientes. Añade asimismo que el neblinero delantero izquierdo o foco intermitente delantero izquierdo (en el </w:t>
      </w:r>
      <w:proofErr w:type="spellStart"/>
      <w:r w:rsidRPr="009E7FDD">
        <w:rPr>
          <w:rFonts w:ascii="Times New Roman" w:hAnsi="Times New Roman" w:cs="Times New Roman"/>
          <w:sz w:val="24"/>
          <w:szCs w:val="24"/>
          <w:lang w:val="es-PE"/>
        </w:rPr>
        <w:t>audatex</w:t>
      </w:r>
      <w:proofErr w:type="spellEnd"/>
      <w:r w:rsidRPr="009E7FDD">
        <w:rPr>
          <w:rFonts w:ascii="Times New Roman" w:hAnsi="Times New Roman" w:cs="Times New Roman"/>
          <w:sz w:val="24"/>
          <w:szCs w:val="24"/>
          <w:lang w:val="es-PE"/>
        </w:rPr>
        <w:t xml:space="preserve"> figura ese nombre), está siendo aprobado en el presupuesto inicial del perito.</w:t>
      </w:r>
    </w:p>
    <w:p w:rsidRPr="009E7FDD" w:rsidR="009E7FDD" w:rsidP="009E7FDD" w:rsidRDefault="009E7FDD" w14:paraId="24C4FCB5" w14:textId="5CFA38E8">
      <w:pPr>
        <w:jc w:val="both"/>
        <w:rPr>
          <w:rFonts w:ascii="Times New Roman" w:hAnsi="Times New Roman" w:cs="Times New Roman"/>
          <w:sz w:val="24"/>
          <w:szCs w:val="24"/>
          <w:lang w:val="es-PE"/>
        </w:rPr>
      </w:pPr>
      <w:r w:rsidRPr="009E7FDD">
        <w:rPr>
          <w:rFonts w:ascii="Times New Roman" w:hAnsi="Times New Roman" w:cs="Times New Roman"/>
          <w:sz w:val="24"/>
          <w:szCs w:val="24"/>
          <w:lang w:val="es-PE"/>
        </w:rPr>
        <w:t>Que lo que se encuentra en discusión son los daños posteriores, y ya no los daños en la parte inferior conforme a lo expuesto en el párrafo anterior. Que en opinión de la aseguradora los daños posteriores no serían consecuencia del supuesto roce con la furgoneta, pues en opinión del perito un impacto con dicha unidad realizaría una afectación continua vertical en la zona posterior derecho y un daño de mayores dimensiones.</w:t>
      </w:r>
    </w:p>
    <w:p w:rsidRPr="009E7FDD" w:rsidR="009E7FDD" w:rsidP="009E7FDD" w:rsidRDefault="009E7FDD" w14:paraId="362D02B9" w14:textId="0CC42CE0">
      <w:pPr>
        <w:jc w:val="both"/>
        <w:rPr>
          <w:rFonts w:ascii="Times New Roman" w:hAnsi="Times New Roman" w:cs="Times New Roman"/>
          <w:sz w:val="24"/>
          <w:szCs w:val="24"/>
          <w:lang w:val="es-PE"/>
        </w:rPr>
      </w:pPr>
      <w:r w:rsidRPr="009E7FDD">
        <w:rPr>
          <w:rFonts w:ascii="Times New Roman" w:hAnsi="Times New Roman" w:cs="Times New Roman"/>
          <w:sz w:val="24"/>
          <w:szCs w:val="24"/>
          <w:lang w:val="es-PE"/>
        </w:rPr>
        <w:t xml:space="preserve">Que, a fin de contar con mayores elementos de juicio y dado lo expresado por el reclamante, esta Defensoría requirió a la aseguradora pronunciarse expresamente sobre el parachoques posterior y el argumento formulado por el reclamante en el sentido que el mismo se habría descuadrado por el paso de la llanta; asimismo se le requirió informar si se hizo el cambio del neblinero delantero izquierdo (autorizado en el informe policial) toda vez que el reclamante menciona que no se ha aprobado ni realizado aún. </w:t>
      </w:r>
    </w:p>
    <w:p w:rsidRPr="009E7FDD" w:rsidR="009E7FDD" w:rsidP="009E7FDD" w:rsidRDefault="009E7FDD" w14:paraId="3E3570A3" w14:textId="6F7C4085">
      <w:pPr>
        <w:jc w:val="both"/>
        <w:rPr>
          <w:rFonts w:ascii="Times New Roman" w:hAnsi="Times New Roman" w:cs="Times New Roman"/>
          <w:sz w:val="24"/>
          <w:szCs w:val="24"/>
          <w:lang w:val="es-PE"/>
        </w:rPr>
      </w:pPr>
      <w:r w:rsidRPr="009E7FDD">
        <w:rPr>
          <w:rFonts w:ascii="Times New Roman" w:hAnsi="Times New Roman" w:cs="Times New Roman"/>
          <w:sz w:val="24"/>
          <w:szCs w:val="24"/>
          <w:lang w:val="es-PE"/>
        </w:rPr>
        <w:t>Que, con fecha 05 de febrero del año en curso, la aseguradora absolvió el requerimiento adjuntando fotografías y expresando lo siguiente:</w:t>
      </w:r>
    </w:p>
    <w:p w:rsidRPr="009E7FDD" w:rsidR="009E7FDD" w:rsidP="009E7FDD" w:rsidRDefault="009E7FDD" w14:paraId="232F00F2" w14:textId="77777777">
      <w:pPr>
        <w:ind w:left="720"/>
        <w:jc w:val="both"/>
        <w:rPr>
          <w:rFonts w:ascii="Times New Roman" w:hAnsi="Times New Roman" w:cs="Times New Roman"/>
          <w:bCs/>
          <w:i/>
          <w:iCs/>
          <w:sz w:val="24"/>
          <w:szCs w:val="24"/>
          <w:lang w:val="es-PE"/>
        </w:rPr>
      </w:pPr>
      <w:r w:rsidRPr="009E7FDD">
        <w:rPr>
          <w:rFonts w:ascii="Times New Roman" w:hAnsi="Times New Roman" w:cs="Times New Roman"/>
          <w:bCs/>
          <w:i/>
          <w:iCs/>
          <w:sz w:val="24"/>
          <w:szCs w:val="24"/>
          <w:lang w:val="es-PE"/>
        </w:rPr>
        <w:t>“i) Con respecto al parachoques posterior, el taller solicitó la reparación, desmontaje y montaje y pintura.</w:t>
      </w:r>
    </w:p>
    <w:p w:rsidRPr="009E7FDD" w:rsidR="009E7FDD" w:rsidP="009E7FDD" w:rsidRDefault="009E7FDD" w14:paraId="5D4414AF" w14:textId="77777777">
      <w:pPr>
        <w:ind w:left="720"/>
        <w:jc w:val="both"/>
        <w:rPr>
          <w:rFonts w:ascii="Times New Roman" w:hAnsi="Times New Roman" w:cs="Times New Roman"/>
          <w:bCs/>
          <w:i/>
          <w:iCs/>
          <w:sz w:val="24"/>
          <w:szCs w:val="24"/>
          <w:lang w:val="es-PE"/>
        </w:rPr>
      </w:pPr>
      <w:r w:rsidRPr="009E7FDD">
        <w:rPr>
          <w:rFonts w:ascii="Times New Roman" w:hAnsi="Times New Roman" w:cs="Times New Roman"/>
          <w:bCs/>
          <w:i/>
          <w:iCs/>
          <w:sz w:val="24"/>
          <w:szCs w:val="24"/>
          <w:lang w:val="es-PE"/>
        </w:rPr>
        <w:t>Al pasar el neumático que dañó en primera instancia la parte delantera, al pasar por debajo presentaría daños en la parte inferior más próxima a la autopista (flechas celestes-foto 1). No se visualizan daños ni que la funda posterior haya presentado indicios de palanca a causa de un objeto contundente, solo se aprecia un raspón en la parte posterior derecha leve y un leve raspón de manera vertical en la zona izquierda con un leve descuadre a causa de esa fricción (estos daños se relacionan a choque por alcance o golpe contra objeto al retroceder o estacionarse), el perno de sujeción del lado izquierdo no se visualiza que se haya movido y se encuentra en su posición original (foto 2).</w:t>
      </w:r>
    </w:p>
    <w:p w:rsidRPr="009E7FDD" w:rsidR="009E7FDD" w:rsidP="009E7FDD" w:rsidRDefault="009E7FDD" w14:paraId="17DA7670" w14:textId="77777777">
      <w:pPr>
        <w:ind w:left="720"/>
        <w:jc w:val="both"/>
        <w:rPr>
          <w:rFonts w:ascii="Times New Roman" w:hAnsi="Times New Roman" w:cs="Times New Roman"/>
          <w:bCs/>
          <w:i/>
          <w:iCs/>
          <w:sz w:val="24"/>
          <w:szCs w:val="24"/>
          <w:lang w:val="es-PE"/>
        </w:rPr>
      </w:pPr>
      <w:r w:rsidRPr="009E7FDD">
        <w:rPr>
          <w:rFonts w:ascii="Times New Roman" w:hAnsi="Times New Roman" w:cs="Times New Roman"/>
          <w:bCs/>
          <w:i/>
          <w:iCs/>
          <w:sz w:val="24"/>
          <w:szCs w:val="24"/>
          <w:lang w:val="es-PE"/>
        </w:rPr>
        <w:t>De tener daños a causa del objeto contundente mencionado se debería apreciar en primera instancia daños en la parte media inferior central del parachoques posterior que validen que por esa zona ha salido el objeto mencionado (fotos), debido a que no se aprecian daños en su estructura ni un descuadre propio de similares características al daño delantero (de ser generado por el mismo objeto presentaría similares características debido que la altura de la unidad es estándar tanto adelante como posterior).</w:t>
      </w:r>
    </w:p>
    <w:p w:rsidRPr="009E7FDD" w:rsidR="009E7FDD" w:rsidP="009E7FDD" w:rsidRDefault="009E7FDD" w14:paraId="32FE59A4" w14:textId="77777777">
      <w:pPr>
        <w:ind w:left="720"/>
        <w:jc w:val="both"/>
        <w:rPr>
          <w:rFonts w:ascii="Times New Roman" w:hAnsi="Times New Roman" w:cs="Times New Roman"/>
          <w:bCs/>
          <w:i/>
          <w:iCs/>
          <w:sz w:val="24"/>
          <w:szCs w:val="24"/>
          <w:lang w:val="es-PE"/>
        </w:rPr>
      </w:pPr>
    </w:p>
    <w:p w:rsidRPr="009E7FDD" w:rsidR="009E7FDD" w:rsidP="009E7FDD" w:rsidRDefault="009E7FDD" w14:paraId="3B83749E" w14:textId="6A5239B2">
      <w:pPr>
        <w:ind w:left="720"/>
        <w:jc w:val="both"/>
        <w:rPr>
          <w:rFonts w:ascii="Times New Roman" w:hAnsi="Times New Roman" w:cs="Times New Roman"/>
          <w:bCs/>
          <w:i/>
          <w:iCs/>
          <w:sz w:val="24"/>
          <w:szCs w:val="24"/>
          <w:lang w:val="es-PE"/>
        </w:rPr>
      </w:pPr>
      <w:proofErr w:type="spellStart"/>
      <w:r w:rsidRPr="009E7FDD">
        <w:rPr>
          <w:rFonts w:ascii="Times New Roman" w:hAnsi="Times New Roman" w:cs="Times New Roman"/>
          <w:bCs/>
          <w:i/>
          <w:iCs/>
          <w:sz w:val="24"/>
          <w:szCs w:val="24"/>
          <w:lang w:val="es-PE"/>
        </w:rPr>
        <w:lastRenderedPageBreak/>
        <w:t>ii</w:t>
      </w:r>
      <w:proofErr w:type="spellEnd"/>
      <w:r w:rsidRPr="009E7FDD">
        <w:rPr>
          <w:rFonts w:ascii="Times New Roman" w:hAnsi="Times New Roman" w:cs="Times New Roman"/>
          <w:bCs/>
          <w:i/>
          <w:iCs/>
          <w:sz w:val="24"/>
          <w:szCs w:val="24"/>
          <w:lang w:val="es-PE"/>
        </w:rPr>
        <w:t>) El neblinero llegó ente los días 25 y 26 de enero del 2021 al taller para que sea instalado, el asegurado debe contactarse con el taller para su respectiva instalación.”</w:t>
      </w:r>
    </w:p>
    <w:p w:rsidRPr="009E7FDD" w:rsidR="009E7FDD" w:rsidP="009E7FDD" w:rsidRDefault="009E7FDD" w14:paraId="341CED68" w14:textId="2E756FE4">
      <w:pPr>
        <w:jc w:val="both"/>
        <w:rPr>
          <w:rFonts w:ascii="Times New Roman" w:hAnsi="Times New Roman" w:cs="Times New Roman"/>
          <w:bCs/>
          <w:sz w:val="24"/>
          <w:szCs w:val="24"/>
          <w:lang w:val="es-PE"/>
        </w:rPr>
      </w:pPr>
      <w:r w:rsidRPr="009E7FDD">
        <w:rPr>
          <w:rFonts w:ascii="Times New Roman" w:hAnsi="Times New Roman" w:cs="Times New Roman"/>
          <w:bCs/>
          <w:sz w:val="24"/>
          <w:szCs w:val="24"/>
          <w:lang w:val="es-PE"/>
        </w:rPr>
        <w:t>Que, dicha respuesta fue trasladada a la parte reclamante, sin que hasta la fecha se haya pronunciado al respecto.</w:t>
      </w:r>
    </w:p>
    <w:p w:rsidRPr="009E7FDD" w:rsidR="009E7FDD" w:rsidP="009E7FDD" w:rsidRDefault="009E7FDD" w14:paraId="422CB544" w14:textId="7C60F3C9">
      <w:pPr>
        <w:jc w:val="both"/>
        <w:rPr>
          <w:rFonts w:ascii="Times New Roman" w:hAnsi="Times New Roman" w:cs="Times New Roman"/>
          <w:bCs/>
          <w:sz w:val="24"/>
          <w:szCs w:val="24"/>
          <w:lang w:val="es-PE"/>
        </w:rPr>
      </w:pPr>
      <w:proofErr w:type="gramStart"/>
      <w:r w:rsidRPr="009E7FDD">
        <w:rPr>
          <w:rFonts w:ascii="Times New Roman" w:hAnsi="Times New Roman" w:cs="Times New Roman"/>
          <w:bCs/>
          <w:sz w:val="24"/>
          <w:szCs w:val="24"/>
          <w:lang w:val="es-PE"/>
        </w:rPr>
        <w:t>Que</w:t>
      </w:r>
      <w:proofErr w:type="gramEnd"/>
      <w:r w:rsidRPr="009E7FDD">
        <w:rPr>
          <w:rFonts w:ascii="Times New Roman" w:hAnsi="Times New Roman" w:cs="Times New Roman"/>
          <w:bCs/>
          <w:sz w:val="24"/>
          <w:szCs w:val="24"/>
          <w:lang w:val="es-PE"/>
        </w:rPr>
        <w:t xml:space="preserve"> en virtud a lo expuesto, este colegiado considera que no se han presentado pruebas que permitan evidenciar que se ha cometido un error en la resolución impugnada; siendo que a juicio de este colegiado, el recurso impugnativo interpuesto puede ser categorizado, por su contenido mismo, como una solicitud de revisión general, sustentado en el muy respetable criterio de la reclamante que este colegiado no comparte definitivamente.</w:t>
      </w:r>
    </w:p>
    <w:p w:rsidRPr="009E7FDD" w:rsidR="009E7FDD" w:rsidP="009E7FDD" w:rsidRDefault="009E7FDD" w14:paraId="6024A040" w14:textId="08749ABD">
      <w:pPr>
        <w:jc w:val="both"/>
        <w:rPr>
          <w:rFonts w:ascii="Times New Roman" w:hAnsi="Times New Roman" w:cs="Times New Roman"/>
          <w:bCs/>
          <w:sz w:val="24"/>
          <w:szCs w:val="24"/>
          <w:lang w:val="es-PE"/>
        </w:rPr>
      </w:pPr>
      <w:r w:rsidRPr="009E7FDD">
        <w:rPr>
          <w:rFonts w:ascii="Times New Roman" w:hAnsi="Times New Roman" w:cs="Times New Roman"/>
          <w:bCs/>
          <w:sz w:val="24"/>
          <w:szCs w:val="24"/>
          <w:lang w:val="es-PE"/>
        </w:rPr>
        <w:t xml:space="preserve">Que, en lo que respecta al cambio de neblinero, la aseguradora ha ratificado la aceptación del cambio, el cual informan ya se encuentra en el taller, por lo que se exhorta a ambas partes a realizar las respectivas coordinaciones para la instalación </w:t>
      </w:r>
      <w:proofErr w:type="gramStart"/>
      <w:r w:rsidRPr="009E7FDD">
        <w:rPr>
          <w:rFonts w:ascii="Times New Roman" w:hAnsi="Times New Roman" w:cs="Times New Roman"/>
          <w:bCs/>
          <w:sz w:val="24"/>
          <w:szCs w:val="24"/>
          <w:lang w:val="es-PE"/>
        </w:rPr>
        <w:t>del mismo</w:t>
      </w:r>
      <w:proofErr w:type="gramEnd"/>
      <w:r w:rsidRPr="009E7FDD">
        <w:rPr>
          <w:rFonts w:ascii="Times New Roman" w:hAnsi="Times New Roman" w:cs="Times New Roman"/>
          <w:bCs/>
          <w:sz w:val="24"/>
          <w:szCs w:val="24"/>
          <w:lang w:val="es-PE"/>
        </w:rPr>
        <w:t>.</w:t>
      </w:r>
    </w:p>
    <w:p w:rsidRPr="009E7FDD" w:rsidR="009E7FDD" w:rsidP="009E7FDD" w:rsidRDefault="009E7FDD" w14:paraId="3314B505" w14:textId="0F714BC6">
      <w:pPr>
        <w:jc w:val="both"/>
        <w:rPr>
          <w:rFonts w:ascii="Times New Roman" w:hAnsi="Times New Roman" w:cs="Times New Roman"/>
          <w:b/>
          <w:sz w:val="24"/>
          <w:szCs w:val="24"/>
          <w:lang w:val="es-PE"/>
        </w:rPr>
      </w:pPr>
      <w:r w:rsidRPr="009E7FDD">
        <w:rPr>
          <w:rFonts w:ascii="Times New Roman" w:hAnsi="Times New Roman" w:cs="Times New Roman"/>
          <w:b/>
          <w:sz w:val="24"/>
          <w:szCs w:val="24"/>
          <w:lang w:val="es-PE"/>
        </w:rPr>
        <w:t>Atendiendo a lo expresado, conforme a su Reglamento, este colegiado resuelve:</w:t>
      </w:r>
    </w:p>
    <w:p w:rsidRPr="009E7FDD" w:rsidR="009E7FDD" w:rsidP="4B179CC3" w:rsidRDefault="009E7FDD" w14:paraId="3C71605A" w14:textId="4656D558">
      <w:pPr>
        <w:jc w:val="both"/>
        <w:rPr>
          <w:rFonts w:ascii="Times New Roman" w:hAnsi="Times New Roman" w:eastAsia="Arial Unicode MS" w:cs="Times New Roman"/>
          <w:sz w:val="24"/>
          <w:szCs w:val="24"/>
          <w:lang w:val="es-PE"/>
        </w:rPr>
      </w:pPr>
      <w:r w:rsidRPr="4B179CC3" w:rsidR="009E7FDD">
        <w:rPr>
          <w:rFonts w:ascii="Times New Roman" w:hAnsi="Times New Roman" w:eastAsia="Arial Unicode MS" w:cs="Times New Roman"/>
          <w:sz w:val="24"/>
          <w:szCs w:val="24"/>
          <w:lang w:val="es-PE"/>
        </w:rPr>
        <w:t xml:space="preserve">Declarar </w:t>
      </w:r>
      <w:r w:rsidRPr="4B179CC3" w:rsidR="009E7FDD">
        <w:rPr>
          <w:rFonts w:ascii="Times New Roman" w:hAnsi="Times New Roman" w:eastAsia="Arial Unicode MS" w:cs="Times New Roman"/>
          <w:b w:val="1"/>
          <w:bCs w:val="1"/>
          <w:sz w:val="24"/>
          <w:szCs w:val="24"/>
          <w:lang w:val="es-PE"/>
        </w:rPr>
        <w:t xml:space="preserve">INFUNDADO </w:t>
      </w:r>
      <w:r w:rsidRPr="4B179CC3" w:rsidR="009E7FDD">
        <w:rPr>
          <w:rFonts w:ascii="Times New Roman" w:hAnsi="Times New Roman" w:eastAsia="Arial Unicode MS" w:cs="Times New Roman"/>
          <w:sz w:val="24"/>
          <w:szCs w:val="24"/>
          <w:lang w:val="es-PE"/>
        </w:rPr>
        <w:t xml:space="preserve">el recurso de impugnación interpuesto y confirmar la Resolución </w:t>
      </w:r>
      <w:r w:rsidRPr="4B179CC3" w:rsidR="009E7FDD">
        <w:rPr>
          <w:rFonts w:ascii="Times New Roman" w:hAnsi="Times New Roman" w:eastAsia="Arial Unicode MS" w:cs="Times New Roman"/>
          <w:sz w:val="24"/>
          <w:szCs w:val="24"/>
          <w:lang w:val="es-PE"/>
        </w:rPr>
        <w:t>Nº</w:t>
      </w:r>
      <w:r w:rsidRPr="4B179CC3" w:rsidR="009E7FDD">
        <w:rPr>
          <w:rFonts w:ascii="Times New Roman" w:hAnsi="Times New Roman" w:eastAsia="Arial Unicode MS" w:cs="Times New Roman"/>
          <w:sz w:val="24"/>
          <w:szCs w:val="24"/>
          <w:lang w:val="es-PE"/>
        </w:rPr>
        <w:t xml:space="preserve"> </w:t>
      </w:r>
      <w:r w:rsidRPr="4B179CC3" w:rsidR="009E7FDD">
        <w:rPr>
          <w:rFonts w:ascii="Times New Roman" w:hAnsi="Times New Roman" w:cs="Times New Roman"/>
          <w:sz w:val="24"/>
          <w:szCs w:val="24"/>
          <w:lang w:val="es-PE"/>
        </w:rPr>
        <w:t>110/2020</w:t>
      </w:r>
      <w:r w:rsidRPr="4B179CC3" w:rsidR="009E7FDD">
        <w:rPr>
          <w:rFonts w:ascii="Times New Roman" w:hAnsi="Times New Roman" w:cs="Times New Roman"/>
          <w:sz w:val="24"/>
          <w:szCs w:val="24"/>
          <w:lang w:val="es-PE"/>
        </w:rPr>
        <w:t xml:space="preserve"> de fecha 24 de noviembre de 2020</w:t>
      </w:r>
      <w:r w:rsidRPr="4B179CC3" w:rsidR="009E7FDD">
        <w:rPr>
          <w:rFonts w:ascii="Times New Roman" w:hAnsi="Times New Roman" w:cs="Times New Roman"/>
          <w:sz w:val="24"/>
          <w:szCs w:val="24"/>
          <w:lang w:val="es-PE"/>
        </w:rPr>
        <w:t xml:space="preserve"> </w:t>
      </w:r>
      <w:r w:rsidRPr="4B179CC3" w:rsidR="009E7FDD">
        <w:rPr>
          <w:rFonts w:ascii="Times New Roman" w:hAnsi="Times New Roman" w:eastAsia="Arial Unicode MS" w:cs="Times New Roman"/>
          <w:sz w:val="24"/>
          <w:szCs w:val="24"/>
          <w:lang w:val="es-PE"/>
        </w:rPr>
        <w:t xml:space="preserve">que declaro infundado el reclamo interpuesto por </w:t>
      </w:r>
      <w:r w:rsidRPr="4B179CC3" w:rsidR="0A0E52DE">
        <w:rPr>
          <w:rFonts w:ascii="Times New Roman" w:hAnsi="Times New Roman" w:eastAsia="Arial Unicode MS" w:cs="Times New Roman"/>
          <w:sz w:val="24"/>
          <w:szCs w:val="24"/>
          <w:lang w:val="es-PE"/>
        </w:rPr>
        <w:t>.............................................</w:t>
      </w:r>
      <w:r w:rsidRPr="4B179CC3" w:rsidR="009E7FDD">
        <w:rPr>
          <w:rFonts w:ascii="Times New Roman" w:hAnsi="Times New Roman" w:eastAsia="Arial Unicode MS" w:cs="Times New Roman"/>
          <w:sz w:val="24"/>
          <w:szCs w:val="24"/>
          <w:lang w:val="es-PE"/>
        </w:rPr>
        <w:t xml:space="preserve"> contra </w:t>
      </w:r>
      <w:r w:rsidRPr="4B179CC3" w:rsidR="104CCAD1">
        <w:rPr>
          <w:rFonts w:ascii="Times New Roman" w:hAnsi="Times New Roman" w:eastAsia="Arial Unicode MS" w:cs="Times New Roman"/>
          <w:sz w:val="24"/>
          <w:szCs w:val="24"/>
          <w:lang w:val="es-PE"/>
        </w:rPr>
        <w:t>.............................................</w:t>
      </w:r>
      <w:r w:rsidRPr="4B179CC3" w:rsidR="009E7FDD">
        <w:rPr>
          <w:rFonts w:ascii="Times New Roman" w:hAnsi="Times New Roman" w:eastAsia="Arial Unicode MS" w:cs="Times New Roman"/>
          <w:sz w:val="24"/>
          <w:szCs w:val="24"/>
          <w:lang w:val="es-PE"/>
        </w:rPr>
        <w:t>, dejando a salvo el derecho del reclamante de recurrir ante las instancias que estime pertinentes.</w:t>
      </w:r>
    </w:p>
    <w:p w:rsidRPr="009E7FDD" w:rsidR="006F2F97" w:rsidP="006F2F97" w:rsidRDefault="006F2F97" w14:paraId="5B721050" w14:textId="247DF6C9">
      <w:pPr>
        <w:spacing w:after="0" w:line="240" w:lineRule="auto"/>
        <w:jc w:val="both"/>
        <w:rPr>
          <w:rFonts w:ascii="Times New Roman" w:hAnsi="Times New Roman" w:cs="Times New Roman"/>
          <w:b/>
          <w:sz w:val="24"/>
          <w:szCs w:val="24"/>
          <w:lang w:val="es-PE"/>
        </w:rPr>
      </w:pPr>
    </w:p>
    <w:p w:rsidRPr="009E7FDD" w:rsidR="00077B6F" w:rsidP="00C671F5" w:rsidRDefault="0091528B" w14:paraId="78A39B5B" w14:textId="6718B95C">
      <w:pPr>
        <w:suppressAutoHyphens/>
        <w:spacing w:after="0" w:line="240" w:lineRule="auto"/>
        <w:jc w:val="right"/>
        <w:outlineLvl w:val="0"/>
        <w:rPr>
          <w:rFonts w:ascii="Times New Roman" w:hAnsi="Times New Roman" w:eastAsia="Arial Unicode MS" w:cs="Times New Roman"/>
          <w:sz w:val="24"/>
          <w:szCs w:val="24"/>
          <w:lang w:val="es-PE" w:eastAsia="ar-SA"/>
        </w:rPr>
      </w:pPr>
      <w:r w:rsidRPr="009E7FDD">
        <w:rPr>
          <w:rFonts w:ascii="Times New Roman" w:hAnsi="Times New Roman" w:eastAsia="Arial Unicode MS" w:cs="Times New Roman"/>
          <w:sz w:val="24"/>
          <w:szCs w:val="24"/>
          <w:lang w:val="es-PE" w:eastAsia="ar-SA"/>
        </w:rPr>
        <w:t xml:space="preserve">Lima, </w:t>
      </w:r>
      <w:r w:rsidRPr="009E7FDD" w:rsidR="006F2F97">
        <w:rPr>
          <w:rFonts w:ascii="Times New Roman" w:hAnsi="Times New Roman" w:eastAsia="Arial Unicode MS" w:cs="Times New Roman"/>
          <w:sz w:val="24"/>
          <w:szCs w:val="24"/>
          <w:lang w:val="es-PE" w:eastAsia="ar-SA"/>
        </w:rPr>
        <w:t>1</w:t>
      </w:r>
      <w:r w:rsidRPr="009E7FDD" w:rsidR="009E7FDD">
        <w:rPr>
          <w:rFonts w:ascii="Times New Roman" w:hAnsi="Times New Roman" w:eastAsia="Arial Unicode MS" w:cs="Times New Roman"/>
          <w:sz w:val="24"/>
          <w:szCs w:val="24"/>
          <w:lang w:val="es-PE" w:eastAsia="ar-SA"/>
        </w:rPr>
        <w:t>6</w:t>
      </w:r>
      <w:r w:rsidRPr="009E7FDD" w:rsidR="00707C99">
        <w:rPr>
          <w:rFonts w:ascii="Times New Roman" w:hAnsi="Times New Roman" w:eastAsia="Arial Unicode MS" w:cs="Times New Roman"/>
          <w:sz w:val="24"/>
          <w:szCs w:val="24"/>
          <w:lang w:val="es-PE" w:eastAsia="ar-SA"/>
        </w:rPr>
        <w:t xml:space="preserve"> de </w:t>
      </w:r>
      <w:r w:rsidRPr="009E7FDD" w:rsidR="00AF16B6">
        <w:rPr>
          <w:rFonts w:ascii="Times New Roman" w:hAnsi="Times New Roman" w:eastAsia="Arial Unicode MS" w:cs="Times New Roman"/>
          <w:sz w:val="24"/>
          <w:szCs w:val="24"/>
          <w:lang w:val="es-PE" w:eastAsia="ar-SA"/>
        </w:rPr>
        <w:t>febrero</w:t>
      </w:r>
      <w:r w:rsidRPr="009E7FDD" w:rsidR="00F06498">
        <w:rPr>
          <w:rFonts w:ascii="Times New Roman" w:hAnsi="Times New Roman" w:eastAsia="Arial Unicode MS" w:cs="Times New Roman"/>
          <w:sz w:val="24"/>
          <w:szCs w:val="24"/>
          <w:lang w:val="es-PE" w:eastAsia="ar-SA"/>
        </w:rPr>
        <w:t xml:space="preserve"> de 202</w:t>
      </w:r>
      <w:r w:rsidRPr="009E7FDD" w:rsidR="00231C58">
        <w:rPr>
          <w:rFonts w:ascii="Times New Roman" w:hAnsi="Times New Roman" w:eastAsia="Arial Unicode MS" w:cs="Times New Roman"/>
          <w:sz w:val="24"/>
          <w:szCs w:val="24"/>
          <w:lang w:val="es-PE" w:eastAsia="ar-SA"/>
        </w:rPr>
        <w:t>1</w:t>
      </w:r>
      <w:r w:rsidRPr="009E7FDD" w:rsidR="00707C99">
        <w:rPr>
          <w:rFonts w:ascii="Times New Roman" w:hAnsi="Times New Roman" w:eastAsia="Times New Roman" w:cs="Times New Roman"/>
          <w:sz w:val="24"/>
          <w:szCs w:val="24"/>
          <w:lang w:val="es-PE" w:eastAsia="ar-SA"/>
        </w:rPr>
        <w:t xml:space="preserve"> </w:t>
      </w:r>
    </w:p>
    <w:p w:rsidRPr="009E7FDD" w:rsidR="00C671F5" w:rsidP="00C671F5" w:rsidRDefault="00C671F5" w14:paraId="486C3F46" w14:textId="3443E457">
      <w:pPr>
        <w:suppressAutoHyphens/>
        <w:spacing w:after="0" w:line="240" w:lineRule="auto"/>
        <w:outlineLvl w:val="0"/>
        <w:rPr>
          <w:rFonts w:ascii="Times New Roman" w:hAnsi="Times New Roman" w:eastAsia="Arial Unicode MS" w:cs="Times New Roman"/>
          <w:sz w:val="24"/>
          <w:szCs w:val="24"/>
          <w:lang w:val="es-PE" w:eastAsia="ar-SA"/>
        </w:rPr>
      </w:pPr>
    </w:p>
    <w:p w:rsidRPr="009E7FDD" w:rsidR="00231C58" w:rsidP="00C671F5"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9E7FDD" w:rsidR="00C671F5" w:rsidP="00C671F5" w:rsidRDefault="00C671F5" w14:paraId="7BC448E0" w14:textId="77777777">
      <w:pPr>
        <w:spacing w:after="0" w:line="240" w:lineRule="auto"/>
        <w:jc w:val="both"/>
        <w:rPr>
          <w:rFonts w:ascii="Times New Roman" w:hAnsi="Times New Roman" w:cs="Times New Roman"/>
          <w:b/>
          <w:bCs/>
          <w:i/>
          <w:iCs/>
          <w:sz w:val="24"/>
          <w:szCs w:val="24"/>
          <w:lang w:val="es-PE"/>
        </w:rPr>
      </w:pPr>
      <w:r w:rsidRPr="009E7FDD">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9E7FDD" w:rsidR="00C671F5" w:rsidP="00C671F5" w:rsidRDefault="00C671F5" w14:paraId="3408E6CE" w14:textId="77777777">
      <w:pPr>
        <w:spacing w:after="0" w:line="360" w:lineRule="auto"/>
        <w:jc w:val="both"/>
        <w:rPr>
          <w:rFonts w:ascii="Times New Roman" w:hAnsi="Times New Roman" w:cs="Times New Roman"/>
          <w:b/>
          <w:bCs/>
          <w:i/>
          <w:iCs/>
          <w:sz w:val="24"/>
          <w:szCs w:val="24"/>
          <w:lang w:val="es-PE"/>
        </w:rPr>
      </w:pPr>
    </w:p>
    <w:p w:rsidRPr="009E7FDD" w:rsidR="00C671F5" w:rsidP="00C671F5" w:rsidRDefault="00231C58" w14:paraId="548B3E5B" w14:textId="47A8BA49">
      <w:pPr>
        <w:spacing w:after="0" w:line="360" w:lineRule="auto"/>
        <w:jc w:val="center"/>
        <w:rPr>
          <w:rFonts w:ascii="Times New Roman" w:hAnsi="Times New Roman" w:cs="Times New Roman"/>
          <w:b/>
          <w:bCs/>
          <w:sz w:val="24"/>
          <w:szCs w:val="24"/>
          <w:lang w:val="es-PE"/>
        </w:rPr>
      </w:pPr>
      <w:r w:rsidRPr="009E7FDD">
        <w:rPr>
          <w:rFonts w:ascii="Times New Roman" w:hAnsi="Times New Roman" w:cs="Times New Roman"/>
          <w:b/>
          <w:bCs/>
          <w:sz w:val="24"/>
          <w:szCs w:val="24"/>
          <w:lang w:val="es-PE"/>
        </w:rPr>
        <w:t xml:space="preserve">María Eugenia Valdez Fernández Baca </w:t>
      </w:r>
      <w:r w:rsidRPr="009E7FDD" w:rsidR="00C671F5">
        <w:rPr>
          <w:rFonts w:ascii="Times New Roman" w:hAnsi="Times New Roman" w:cs="Times New Roman"/>
          <w:b/>
          <w:bCs/>
          <w:sz w:val="24"/>
          <w:szCs w:val="24"/>
          <w:lang w:val="es-PE"/>
        </w:rPr>
        <w:t xml:space="preserve">– </w:t>
      </w:r>
      <w:proofErr w:type="gramStart"/>
      <w:r w:rsidRPr="009E7FDD" w:rsidR="00C671F5">
        <w:rPr>
          <w:rFonts w:ascii="Times New Roman" w:hAnsi="Times New Roman" w:cs="Times New Roman"/>
          <w:b/>
          <w:bCs/>
          <w:sz w:val="24"/>
          <w:szCs w:val="24"/>
          <w:lang w:val="es-PE"/>
        </w:rPr>
        <w:t>Presidente</w:t>
      </w:r>
      <w:proofErr w:type="gramEnd"/>
    </w:p>
    <w:p w:rsidRPr="009E7FDD" w:rsidR="00C671F5" w:rsidP="00C671F5" w:rsidRDefault="00C671F5" w14:paraId="55E7D9D7" w14:textId="724A8615">
      <w:pPr>
        <w:spacing w:after="0" w:line="360" w:lineRule="auto"/>
        <w:jc w:val="center"/>
        <w:rPr>
          <w:rFonts w:ascii="Times New Roman" w:hAnsi="Times New Roman" w:cs="Times New Roman"/>
          <w:b/>
          <w:bCs/>
          <w:sz w:val="24"/>
          <w:szCs w:val="24"/>
          <w:lang w:val="es-PE"/>
        </w:rPr>
      </w:pPr>
      <w:r w:rsidRPr="009E7FDD">
        <w:rPr>
          <w:rFonts w:ascii="Times New Roman" w:hAnsi="Times New Roman" w:cs="Times New Roman"/>
          <w:b/>
          <w:bCs/>
          <w:sz w:val="24"/>
          <w:szCs w:val="24"/>
          <w:lang w:val="es-PE"/>
        </w:rPr>
        <w:t>Marco Antonio Ortega Piana – Vocal</w:t>
      </w:r>
    </w:p>
    <w:p w:rsidRPr="009E7FDD" w:rsidR="00292018" w:rsidP="00292018" w:rsidRDefault="00292018" w14:paraId="3006BA35" w14:textId="7871895F">
      <w:pPr>
        <w:spacing w:after="0" w:line="360" w:lineRule="auto"/>
        <w:jc w:val="center"/>
        <w:rPr>
          <w:rFonts w:ascii="Times New Roman" w:hAnsi="Times New Roman" w:cs="Times New Roman"/>
          <w:b/>
          <w:bCs/>
          <w:sz w:val="24"/>
          <w:szCs w:val="24"/>
          <w:lang w:val="es-PE"/>
        </w:rPr>
      </w:pPr>
      <w:r w:rsidRPr="009E7FDD">
        <w:rPr>
          <w:rFonts w:ascii="Times New Roman" w:hAnsi="Times New Roman" w:cs="Times New Roman"/>
          <w:b/>
          <w:bCs/>
          <w:sz w:val="24"/>
          <w:szCs w:val="24"/>
          <w:lang w:val="es-PE"/>
        </w:rPr>
        <w:t xml:space="preserve">Rolando Eyzaguirre </w:t>
      </w:r>
      <w:proofErr w:type="spellStart"/>
      <w:r w:rsidRPr="009E7FDD">
        <w:rPr>
          <w:rFonts w:ascii="Times New Roman" w:hAnsi="Times New Roman" w:cs="Times New Roman"/>
          <w:b/>
          <w:bCs/>
          <w:sz w:val="24"/>
          <w:szCs w:val="24"/>
          <w:lang w:val="es-PE"/>
        </w:rPr>
        <w:t>Maccan</w:t>
      </w:r>
      <w:proofErr w:type="spellEnd"/>
      <w:r w:rsidRPr="009E7FDD">
        <w:rPr>
          <w:rFonts w:ascii="Times New Roman" w:hAnsi="Times New Roman" w:cs="Times New Roman"/>
          <w:b/>
          <w:bCs/>
          <w:sz w:val="24"/>
          <w:szCs w:val="24"/>
          <w:lang w:val="es-PE"/>
        </w:rPr>
        <w:t xml:space="preserve"> – Vocal</w:t>
      </w:r>
    </w:p>
    <w:p w:rsidRPr="009E7FDD" w:rsidR="00C671F5" w:rsidP="00C671F5" w:rsidRDefault="00C671F5" w14:paraId="3A9CFE9F" w14:textId="4DFF4426">
      <w:pPr>
        <w:spacing w:after="0" w:line="360" w:lineRule="auto"/>
        <w:jc w:val="center"/>
        <w:rPr>
          <w:rFonts w:ascii="Times New Roman" w:hAnsi="Times New Roman" w:cs="Times New Roman"/>
          <w:sz w:val="24"/>
          <w:szCs w:val="24"/>
          <w:lang w:val="es-PE"/>
        </w:rPr>
      </w:pPr>
      <w:r w:rsidRPr="009E7FDD">
        <w:rPr>
          <w:rFonts w:ascii="Times New Roman" w:hAnsi="Times New Roman" w:cs="Times New Roman"/>
          <w:b/>
          <w:bCs/>
          <w:sz w:val="24"/>
          <w:szCs w:val="24"/>
          <w:lang w:val="es-PE"/>
        </w:rPr>
        <w:t xml:space="preserve">Gonzalo Abad del Busto </w:t>
      </w:r>
      <w:r w:rsidRPr="009E7FDD" w:rsidR="00231C58">
        <w:rPr>
          <w:rFonts w:ascii="Times New Roman" w:hAnsi="Times New Roman" w:cs="Times New Roman"/>
          <w:b/>
          <w:bCs/>
          <w:sz w:val="24"/>
          <w:szCs w:val="24"/>
          <w:lang w:val="es-PE"/>
        </w:rPr>
        <w:t xml:space="preserve">– </w:t>
      </w:r>
      <w:r w:rsidRPr="009E7FDD">
        <w:rPr>
          <w:rFonts w:ascii="Times New Roman" w:hAnsi="Times New Roman" w:cs="Times New Roman"/>
          <w:b/>
          <w:bCs/>
          <w:sz w:val="24"/>
          <w:szCs w:val="24"/>
          <w:lang w:val="es-PE"/>
        </w:rPr>
        <w:t>Vocal</w:t>
      </w:r>
    </w:p>
    <w:p w:rsidRPr="009E7FDD"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9E7FDD" w:rsidR="00C671F5" w:rsidP="00C671F5" w:rsidRDefault="00C671F5" w14:paraId="2C3A0205" w14:textId="77777777">
      <w:pPr>
        <w:rPr>
          <w:rFonts w:ascii="Times New Roman" w:hAnsi="Times New Roman" w:eastAsia="Arial Unicode MS" w:cs="Times New Roman"/>
          <w:sz w:val="24"/>
          <w:szCs w:val="24"/>
          <w:lang w:val="es-PE" w:eastAsia="ar-SA"/>
        </w:rPr>
      </w:pPr>
    </w:p>
    <w:sectPr w:rsidRPr="009E7FDD"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82259" w:rsidP="00784355" w:rsidRDefault="00482259" w14:paraId="3599E99A" w14:textId="77777777">
      <w:pPr>
        <w:spacing w:after="0" w:line="240" w:lineRule="auto"/>
      </w:pPr>
      <w:r>
        <w:separator/>
      </w:r>
    </w:p>
  </w:endnote>
  <w:endnote w:type="continuationSeparator" w:id="0">
    <w:p w:rsidR="00482259" w:rsidP="00784355" w:rsidRDefault="00482259" w14:paraId="5649687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rsidR="00C671F5" w:rsidRDefault="00C671F5" w14:paraId="1A7D4DE2" w14:textId="27FEA839">
            <w:pPr>
              <w:pStyle w:val="Piedepgina"/>
              <w:jc w:val="right"/>
            </w:pPr>
            <w:r w:rsidRPr="00C45F20">
              <w:rPr>
                <w:rFonts w:ascii="Times New Roman" w:hAnsi="Times New Roman" w:cs="Times New Roman"/>
                <w:sz w:val="20"/>
                <w:szCs w:val="20"/>
                <w:lang w:val="es-ES"/>
              </w:rPr>
              <w:t xml:space="preserve">Página </w:t>
            </w:r>
            <w:r w:rsidRPr="00C45F20">
              <w:rPr>
                <w:rFonts w:ascii="Times New Roman" w:hAnsi="Times New Roman" w:cs="Times New Roman"/>
                <w:b/>
                <w:bCs/>
                <w:sz w:val="20"/>
                <w:szCs w:val="20"/>
              </w:rPr>
              <w:fldChar w:fldCharType="begin"/>
            </w:r>
            <w:r w:rsidRPr="00C45F20">
              <w:rPr>
                <w:rFonts w:ascii="Times New Roman" w:hAnsi="Times New Roman" w:cs="Times New Roman"/>
                <w:b/>
                <w:bCs/>
                <w:sz w:val="20"/>
                <w:szCs w:val="20"/>
              </w:rPr>
              <w:instrText>PAGE</w:instrText>
            </w:r>
            <w:r w:rsidRPr="00C45F20">
              <w:rPr>
                <w:rFonts w:ascii="Times New Roman" w:hAnsi="Times New Roman" w:cs="Times New Roman"/>
                <w:b/>
                <w:bCs/>
                <w:sz w:val="20"/>
                <w:szCs w:val="20"/>
              </w:rPr>
              <w:fldChar w:fldCharType="separate"/>
            </w:r>
            <w:r w:rsidRPr="00C45F20">
              <w:rPr>
                <w:rFonts w:ascii="Times New Roman" w:hAnsi="Times New Roman" w:cs="Times New Roman"/>
                <w:b/>
                <w:bCs/>
                <w:sz w:val="20"/>
                <w:szCs w:val="20"/>
                <w:lang w:val="es-ES"/>
              </w:rPr>
              <w:t>2</w:t>
            </w:r>
            <w:r w:rsidRPr="00C45F20">
              <w:rPr>
                <w:rFonts w:ascii="Times New Roman" w:hAnsi="Times New Roman" w:cs="Times New Roman"/>
                <w:b/>
                <w:bCs/>
                <w:sz w:val="20"/>
                <w:szCs w:val="20"/>
              </w:rPr>
              <w:fldChar w:fldCharType="end"/>
            </w:r>
            <w:r w:rsidRPr="00C45F20">
              <w:rPr>
                <w:rFonts w:ascii="Times New Roman" w:hAnsi="Times New Roman" w:cs="Times New Roman"/>
                <w:sz w:val="20"/>
                <w:szCs w:val="20"/>
                <w:lang w:val="es-ES"/>
              </w:rPr>
              <w:t xml:space="preserve"> de </w:t>
            </w:r>
            <w:r w:rsidRPr="00C45F20">
              <w:rPr>
                <w:rFonts w:ascii="Times New Roman" w:hAnsi="Times New Roman" w:cs="Times New Roman"/>
                <w:b/>
                <w:bCs/>
                <w:sz w:val="20"/>
                <w:szCs w:val="20"/>
              </w:rPr>
              <w:fldChar w:fldCharType="begin"/>
            </w:r>
            <w:r w:rsidRPr="00C45F20">
              <w:rPr>
                <w:rFonts w:ascii="Times New Roman" w:hAnsi="Times New Roman" w:cs="Times New Roman"/>
                <w:b/>
                <w:bCs/>
                <w:sz w:val="20"/>
                <w:szCs w:val="20"/>
              </w:rPr>
              <w:instrText>NUMPAGES</w:instrText>
            </w:r>
            <w:r w:rsidRPr="00C45F20">
              <w:rPr>
                <w:rFonts w:ascii="Times New Roman" w:hAnsi="Times New Roman" w:cs="Times New Roman"/>
                <w:b/>
                <w:bCs/>
                <w:sz w:val="20"/>
                <w:szCs w:val="20"/>
              </w:rPr>
              <w:fldChar w:fldCharType="separate"/>
            </w:r>
            <w:r w:rsidRPr="00C45F20">
              <w:rPr>
                <w:rFonts w:ascii="Times New Roman" w:hAnsi="Times New Roman" w:cs="Times New Roman"/>
                <w:b/>
                <w:bCs/>
                <w:sz w:val="20"/>
                <w:szCs w:val="20"/>
                <w:lang w:val="es-ES"/>
              </w:rPr>
              <w:t>2</w:t>
            </w:r>
            <w:r w:rsidRPr="00C45F20">
              <w:rPr>
                <w:rFonts w:ascii="Times New Roman" w:hAnsi="Times New Roman" w:cs="Times New Roman"/>
                <w:b/>
                <w:bCs/>
                <w:sz w:val="20"/>
                <w:szCs w:val="20"/>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82259" w:rsidP="00784355" w:rsidRDefault="00482259" w14:paraId="6DEFB6CC" w14:textId="77777777">
      <w:pPr>
        <w:spacing w:after="0" w:line="240" w:lineRule="auto"/>
      </w:pPr>
      <w:r>
        <w:separator/>
      </w:r>
    </w:p>
  </w:footnote>
  <w:footnote w:type="continuationSeparator" w:id="0">
    <w:p w:rsidR="00482259" w:rsidP="00784355" w:rsidRDefault="00482259" w14:paraId="01E2B03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4480C"/>
    <w:rsid w:val="00053D16"/>
    <w:rsid w:val="00056D9F"/>
    <w:rsid w:val="00062040"/>
    <w:rsid w:val="00063183"/>
    <w:rsid w:val="0006548C"/>
    <w:rsid w:val="00070DB6"/>
    <w:rsid w:val="00071A25"/>
    <w:rsid w:val="00072C60"/>
    <w:rsid w:val="000752E4"/>
    <w:rsid w:val="00076E73"/>
    <w:rsid w:val="00077B6F"/>
    <w:rsid w:val="00080A9A"/>
    <w:rsid w:val="000835CB"/>
    <w:rsid w:val="00083D69"/>
    <w:rsid w:val="00083F50"/>
    <w:rsid w:val="00084148"/>
    <w:rsid w:val="00092684"/>
    <w:rsid w:val="000A5666"/>
    <w:rsid w:val="000A5CAA"/>
    <w:rsid w:val="000B19A0"/>
    <w:rsid w:val="000B58D8"/>
    <w:rsid w:val="000C0734"/>
    <w:rsid w:val="000D0DFE"/>
    <w:rsid w:val="000F6340"/>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81908"/>
    <w:rsid w:val="00181DCE"/>
    <w:rsid w:val="00187BFD"/>
    <w:rsid w:val="001A008A"/>
    <w:rsid w:val="001A3395"/>
    <w:rsid w:val="001A44E1"/>
    <w:rsid w:val="001B1E59"/>
    <w:rsid w:val="001B58A3"/>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41719"/>
    <w:rsid w:val="00243F6B"/>
    <w:rsid w:val="00256592"/>
    <w:rsid w:val="0027261F"/>
    <w:rsid w:val="00272F4F"/>
    <w:rsid w:val="0027301E"/>
    <w:rsid w:val="00274985"/>
    <w:rsid w:val="002768C6"/>
    <w:rsid w:val="00276A92"/>
    <w:rsid w:val="00277667"/>
    <w:rsid w:val="00290CA4"/>
    <w:rsid w:val="00292018"/>
    <w:rsid w:val="0029331C"/>
    <w:rsid w:val="002A31D3"/>
    <w:rsid w:val="002A7E2E"/>
    <w:rsid w:val="002B726E"/>
    <w:rsid w:val="002C2A0F"/>
    <w:rsid w:val="002D0DB0"/>
    <w:rsid w:val="002D3B01"/>
    <w:rsid w:val="002E1221"/>
    <w:rsid w:val="002E17F9"/>
    <w:rsid w:val="002F09CA"/>
    <w:rsid w:val="002F35F0"/>
    <w:rsid w:val="003045E3"/>
    <w:rsid w:val="00313D12"/>
    <w:rsid w:val="0032132E"/>
    <w:rsid w:val="00340E4B"/>
    <w:rsid w:val="00345DF0"/>
    <w:rsid w:val="00345F7F"/>
    <w:rsid w:val="00347D7E"/>
    <w:rsid w:val="00353092"/>
    <w:rsid w:val="003544B1"/>
    <w:rsid w:val="00357D70"/>
    <w:rsid w:val="00362449"/>
    <w:rsid w:val="00364E0F"/>
    <w:rsid w:val="00366842"/>
    <w:rsid w:val="00367746"/>
    <w:rsid w:val="00377D5A"/>
    <w:rsid w:val="0038290F"/>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3814"/>
    <w:rsid w:val="004049B9"/>
    <w:rsid w:val="00414F05"/>
    <w:rsid w:val="0041626C"/>
    <w:rsid w:val="00417E23"/>
    <w:rsid w:val="00425F75"/>
    <w:rsid w:val="00440BC2"/>
    <w:rsid w:val="00444232"/>
    <w:rsid w:val="00460C30"/>
    <w:rsid w:val="00465FB9"/>
    <w:rsid w:val="00466302"/>
    <w:rsid w:val="0047370C"/>
    <w:rsid w:val="0047522D"/>
    <w:rsid w:val="00476BA1"/>
    <w:rsid w:val="00482259"/>
    <w:rsid w:val="00496A1A"/>
    <w:rsid w:val="004A3E25"/>
    <w:rsid w:val="004B51ED"/>
    <w:rsid w:val="004C51EC"/>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4BFC"/>
    <w:rsid w:val="00545F19"/>
    <w:rsid w:val="00547EE5"/>
    <w:rsid w:val="00567DEC"/>
    <w:rsid w:val="0057035B"/>
    <w:rsid w:val="005818E3"/>
    <w:rsid w:val="00582D26"/>
    <w:rsid w:val="0058358B"/>
    <w:rsid w:val="00583A87"/>
    <w:rsid w:val="00585D65"/>
    <w:rsid w:val="005904C2"/>
    <w:rsid w:val="00592259"/>
    <w:rsid w:val="005948EF"/>
    <w:rsid w:val="00597430"/>
    <w:rsid w:val="005A0B70"/>
    <w:rsid w:val="005A782D"/>
    <w:rsid w:val="005B2924"/>
    <w:rsid w:val="005C524E"/>
    <w:rsid w:val="005C5AB9"/>
    <w:rsid w:val="005D3E68"/>
    <w:rsid w:val="005E0EC2"/>
    <w:rsid w:val="005E2CBE"/>
    <w:rsid w:val="005E4870"/>
    <w:rsid w:val="005F4C97"/>
    <w:rsid w:val="00605902"/>
    <w:rsid w:val="00606105"/>
    <w:rsid w:val="0061360C"/>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60034"/>
    <w:rsid w:val="007703E9"/>
    <w:rsid w:val="007708AB"/>
    <w:rsid w:val="00771625"/>
    <w:rsid w:val="00781235"/>
    <w:rsid w:val="00784355"/>
    <w:rsid w:val="007906AF"/>
    <w:rsid w:val="00794424"/>
    <w:rsid w:val="007950DD"/>
    <w:rsid w:val="007965C0"/>
    <w:rsid w:val="007A09BB"/>
    <w:rsid w:val="007A4108"/>
    <w:rsid w:val="007A4EA9"/>
    <w:rsid w:val="007A7F95"/>
    <w:rsid w:val="007B101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D6DDF"/>
    <w:rsid w:val="008F1161"/>
    <w:rsid w:val="008F479E"/>
    <w:rsid w:val="009011F1"/>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97863"/>
    <w:rsid w:val="009A5B27"/>
    <w:rsid w:val="009A6404"/>
    <w:rsid w:val="009A701F"/>
    <w:rsid w:val="009A7E68"/>
    <w:rsid w:val="009B29C9"/>
    <w:rsid w:val="009B4291"/>
    <w:rsid w:val="009C1066"/>
    <w:rsid w:val="009C1372"/>
    <w:rsid w:val="009C5373"/>
    <w:rsid w:val="009C6404"/>
    <w:rsid w:val="009D3B98"/>
    <w:rsid w:val="009D6055"/>
    <w:rsid w:val="009E5F11"/>
    <w:rsid w:val="009E7994"/>
    <w:rsid w:val="009E7FDD"/>
    <w:rsid w:val="009F143B"/>
    <w:rsid w:val="009F2EEB"/>
    <w:rsid w:val="00A02270"/>
    <w:rsid w:val="00A077D2"/>
    <w:rsid w:val="00A16942"/>
    <w:rsid w:val="00A17A72"/>
    <w:rsid w:val="00A25F51"/>
    <w:rsid w:val="00A30393"/>
    <w:rsid w:val="00A32246"/>
    <w:rsid w:val="00A328C0"/>
    <w:rsid w:val="00A3714C"/>
    <w:rsid w:val="00A427D6"/>
    <w:rsid w:val="00A46E96"/>
    <w:rsid w:val="00A51F2A"/>
    <w:rsid w:val="00A62BEC"/>
    <w:rsid w:val="00A658C1"/>
    <w:rsid w:val="00A734AD"/>
    <w:rsid w:val="00A837A0"/>
    <w:rsid w:val="00A83D6A"/>
    <w:rsid w:val="00A90926"/>
    <w:rsid w:val="00A97287"/>
    <w:rsid w:val="00AA2DED"/>
    <w:rsid w:val="00AB1C66"/>
    <w:rsid w:val="00AC5A9E"/>
    <w:rsid w:val="00AD1FEC"/>
    <w:rsid w:val="00AD2DF1"/>
    <w:rsid w:val="00AE4125"/>
    <w:rsid w:val="00AF16B6"/>
    <w:rsid w:val="00AF5E87"/>
    <w:rsid w:val="00B00552"/>
    <w:rsid w:val="00B02BEE"/>
    <w:rsid w:val="00B115C4"/>
    <w:rsid w:val="00B11C1C"/>
    <w:rsid w:val="00B17BD8"/>
    <w:rsid w:val="00B30B53"/>
    <w:rsid w:val="00B313E9"/>
    <w:rsid w:val="00B32325"/>
    <w:rsid w:val="00B340A4"/>
    <w:rsid w:val="00B45C2D"/>
    <w:rsid w:val="00B56649"/>
    <w:rsid w:val="00B625F2"/>
    <w:rsid w:val="00B663DC"/>
    <w:rsid w:val="00B710D8"/>
    <w:rsid w:val="00B73629"/>
    <w:rsid w:val="00B7466E"/>
    <w:rsid w:val="00B779BD"/>
    <w:rsid w:val="00B8021E"/>
    <w:rsid w:val="00B8028F"/>
    <w:rsid w:val="00B833BE"/>
    <w:rsid w:val="00B87B08"/>
    <w:rsid w:val="00B94FDB"/>
    <w:rsid w:val="00B956C4"/>
    <w:rsid w:val="00BB2152"/>
    <w:rsid w:val="00BB2BE0"/>
    <w:rsid w:val="00BB405B"/>
    <w:rsid w:val="00BC29D0"/>
    <w:rsid w:val="00BD797F"/>
    <w:rsid w:val="00BE1470"/>
    <w:rsid w:val="00BE6FFA"/>
    <w:rsid w:val="00BE7C72"/>
    <w:rsid w:val="00BF1421"/>
    <w:rsid w:val="00BF414E"/>
    <w:rsid w:val="00BF78BF"/>
    <w:rsid w:val="00C00BBF"/>
    <w:rsid w:val="00C04AA4"/>
    <w:rsid w:val="00C05445"/>
    <w:rsid w:val="00C12CBD"/>
    <w:rsid w:val="00C134DB"/>
    <w:rsid w:val="00C25B78"/>
    <w:rsid w:val="00C32068"/>
    <w:rsid w:val="00C33FEF"/>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55D6"/>
    <w:rsid w:val="00CF78D3"/>
    <w:rsid w:val="00D01E70"/>
    <w:rsid w:val="00D10B27"/>
    <w:rsid w:val="00D12CFF"/>
    <w:rsid w:val="00D156AF"/>
    <w:rsid w:val="00D16367"/>
    <w:rsid w:val="00D2092C"/>
    <w:rsid w:val="00D22AA1"/>
    <w:rsid w:val="00D22DC3"/>
    <w:rsid w:val="00D25683"/>
    <w:rsid w:val="00D27042"/>
    <w:rsid w:val="00D4253A"/>
    <w:rsid w:val="00D50B42"/>
    <w:rsid w:val="00D57228"/>
    <w:rsid w:val="00D61C6D"/>
    <w:rsid w:val="00D64034"/>
    <w:rsid w:val="00D73109"/>
    <w:rsid w:val="00D76C43"/>
    <w:rsid w:val="00D810EC"/>
    <w:rsid w:val="00D835B6"/>
    <w:rsid w:val="00D84464"/>
    <w:rsid w:val="00DA0540"/>
    <w:rsid w:val="00DA2840"/>
    <w:rsid w:val="00DA4030"/>
    <w:rsid w:val="00DB15FD"/>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865E7"/>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2D00"/>
    <w:rsid w:val="00F81150"/>
    <w:rsid w:val="00F833B7"/>
    <w:rsid w:val="00F83A22"/>
    <w:rsid w:val="00F84CF9"/>
    <w:rsid w:val="00F87C6C"/>
    <w:rsid w:val="00F87E38"/>
    <w:rsid w:val="00F97EA2"/>
    <w:rsid w:val="00FA155E"/>
    <w:rsid w:val="00FA2322"/>
    <w:rsid w:val="00FB4B0C"/>
    <w:rsid w:val="00FC0D10"/>
    <w:rsid w:val="00FC1934"/>
    <w:rsid w:val="00FC382A"/>
    <w:rsid w:val="00FE2121"/>
    <w:rsid w:val="00FE38F0"/>
    <w:rsid w:val="00FE43A9"/>
    <w:rsid w:val="00FF41F3"/>
    <w:rsid w:val="0A0E52DE"/>
    <w:rsid w:val="104CCAD1"/>
    <w:rsid w:val="4B179C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qFormat/>
    <w:rsid w:val="000620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250823B3-825A-4E04-AA02-CCB56E69C2C3}"/>
</file>

<file path=customXml/itemProps3.xml><?xml version="1.0" encoding="utf-8"?>
<ds:datastoreItem xmlns:ds="http://schemas.openxmlformats.org/officeDocument/2006/customXml" ds:itemID="{5AE8FC6C-41FE-484A-9F9A-1A839F22DB8A}"/>
</file>

<file path=customXml/itemProps4.xml><?xml version="1.0" encoding="utf-8"?>
<ds:datastoreItem xmlns:ds="http://schemas.openxmlformats.org/officeDocument/2006/customXml" ds:itemID="{387FB249-0A1E-4548-B283-4494B8D8F92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30</cp:revision>
  <cp:lastPrinted>2021-02-16T15:38:00Z</cp:lastPrinted>
  <dcterms:created xsi:type="dcterms:W3CDTF">2020-12-18T20:17:00Z</dcterms:created>
  <dcterms:modified xsi:type="dcterms:W3CDTF">2026-02-02T21:25:05Z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