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9C7C2B" w:rsidR="00707C99" w:rsidP="00072C60" w:rsidRDefault="00201C0D" w14:paraId="19FE0E96" w14:textId="44084F5A">
      <w:pPr>
        <w:spacing w:after="0" w:line="240" w:lineRule="auto"/>
        <w:jc w:val="center"/>
        <w:rPr>
          <w:rFonts w:ascii="Times New Roman" w:hAnsi="Times New Roman" w:cs="Times New Roman"/>
          <w:b/>
          <w:sz w:val="24"/>
          <w:szCs w:val="24"/>
          <w:lang w:val="es-PE" w:eastAsia="ar-SA"/>
        </w:rPr>
      </w:pPr>
      <w:r w:rsidRPr="009C7C2B">
        <w:rPr>
          <w:rFonts w:ascii="Times New Roman" w:hAnsi="Times New Roman" w:cs="Times New Roman"/>
          <w:b/>
          <w:sz w:val="24"/>
          <w:szCs w:val="24"/>
          <w:lang w:val="es-PE" w:eastAsia="ar-SA"/>
        </w:rPr>
        <w:t xml:space="preserve">RESOLUCIÓN DE RECURSO IMPUGNATIVO </w:t>
      </w:r>
      <w:proofErr w:type="spellStart"/>
      <w:r w:rsidRPr="009C7C2B" w:rsidR="00707C99">
        <w:rPr>
          <w:rFonts w:ascii="Times New Roman" w:hAnsi="Times New Roman" w:cs="Times New Roman"/>
          <w:b/>
          <w:sz w:val="24"/>
          <w:szCs w:val="24"/>
          <w:lang w:val="es-PE" w:eastAsia="ar-SA"/>
        </w:rPr>
        <w:t>N°</w:t>
      </w:r>
      <w:proofErr w:type="spellEnd"/>
      <w:r w:rsidRPr="009C7C2B" w:rsidR="00707C99">
        <w:rPr>
          <w:rFonts w:ascii="Times New Roman" w:hAnsi="Times New Roman" w:cs="Times New Roman"/>
          <w:b/>
          <w:sz w:val="24"/>
          <w:szCs w:val="24"/>
          <w:lang w:val="es-PE" w:eastAsia="ar-SA"/>
        </w:rPr>
        <w:t xml:space="preserve"> </w:t>
      </w:r>
      <w:r w:rsidRPr="009C7C2B" w:rsidR="00C671F5">
        <w:rPr>
          <w:rFonts w:ascii="Times New Roman" w:hAnsi="Times New Roman" w:cs="Times New Roman"/>
          <w:b/>
          <w:sz w:val="24"/>
          <w:szCs w:val="24"/>
          <w:lang w:val="es-PE" w:eastAsia="ar-SA"/>
        </w:rPr>
        <w:t>0</w:t>
      </w:r>
      <w:r w:rsidRPr="009C7C2B" w:rsidR="000752E4">
        <w:rPr>
          <w:rFonts w:ascii="Times New Roman" w:hAnsi="Times New Roman" w:cs="Times New Roman"/>
          <w:b/>
          <w:sz w:val="24"/>
          <w:szCs w:val="24"/>
          <w:lang w:val="es-PE" w:eastAsia="ar-SA"/>
        </w:rPr>
        <w:t>1</w:t>
      </w:r>
      <w:r w:rsidRPr="009C7C2B" w:rsidR="009C7C2B">
        <w:rPr>
          <w:rFonts w:ascii="Times New Roman" w:hAnsi="Times New Roman" w:cs="Times New Roman"/>
          <w:b/>
          <w:sz w:val="24"/>
          <w:szCs w:val="24"/>
          <w:lang w:val="es-PE" w:eastAsia="ar-SA"/>
        </w:rPr>
        <w:t>6</w:t>
      </w:r>
      <w:r w:rsidRPr="009C7C2B" w:rsidR="00C671F5">
        <w:rPr>
          <w:rFonts w:ascii="Times New Roman" w:hAnsi="Times New Roman" w:cs="Times New Roman"/>
          <w:b/>
          <w:sz w:val="24"/>
          <w:szCs w:val="24"/>
          <w:lang w:val="es-PE" w:eastAsia="ar-SA"/>
        </w:rPr>
        <w:t>/2</w:t>
      </w:r>
      <w:r w:rsidRPr="009C7C2B" w:rsidR="00231C58">
        <w:rPr>
          <w:rFonts w:ascii="Times New Roman" w:hAnsi="Times New Roman" w:cs="Times New Roman"/>
          <w:b/>
          <w:sz w:val="24"/>
          <w:szCs w:val="24"/>
          <w:lang w:val="es-PE" w:eastAsia="ar-SA"/>
        </w:rPr>
        <w:t>1</w:t>
      </w:r>
    </w:p>
    <w:p w:rsidRPr="009C7C2B"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9C7C2B" w:rsidR="00B32325" w:rsidP="00072C60" w:rsidRDefault="00B32325" w14:paraId="500397C4" w14:textId="77777777">
      <w:pPr>
        <w:suppressAutoHyphens/>
        <w:spacing w:after="0" w:line="240" w:lineRule="auto"/>
        <w:jc w:val="both"/>
        <w:rPr>
          <w:rFonts w:ascii="Times New Roman" w:hAnsi="Times New Roman" w:eastAsia="Times New Roman" w:cs="Times New Roman"/>
          <w:b/>
          <w:bCs/>
          <w:sz w:val="24"/>
          <w:szCs w:val="24"/>
          <w:lang w:val="es-PE" w:eastAsia="ar-SA"/>
        </w:rPr>
      </w:pPr>
    </w:p>
    <w:p w:rsidRPr="009C7C2B" w:rsidR="009C7C2B" w:rsidP="009C7C2B" w:rsidRDefault="009C7C2B" w14:paraId="2C9462DB" w14:textId="77777777">
      <w:pPr>
        <w:jc w:val="both"/>
        <w:outlineLvl w:val="0"/>
        <w:rPr>
          <w:rFonts w:ascii="Times New Roman" w:hAnsi="Times New Roman" w:cs="Times New Roman"/>
          <w:b/>
          <w:bCs/>
          <w:sz w:val="24"/>
          <w:szCs w:val="24"/>
          <w:lang w:val="es-PE"/>
        </w:rPr>
      </w:pPr>
      <w:r w:rsidRPr="009C7C2B">
        <w:rPr>
          <w:rFonts w:ascii="Times New Roman" w:hAnsi="Times New Roman" w:cs="Times New Roman"/>
          <w:b/>
          <w:bCs/>
          <w:sz w:val="24"/>
          <w:szCs w:val="24"/>
          <w:lang w:val="es-PE"/>
        </w:rPr>
        <w:t>VISTOS:</w:t>
      </w:r>
    </w:p>
    <w:p w:rsidRPr="009C7C2B" w:rsidR="009C7C2B" w:rsidP="04E442EA" w:rsidRDefault="009C7C2B" w14:paraId="7FF2477F" w14:textId="0933D06E">
      <w:pPr>
        <w:jc w:val="both"/>
        <w:outlineLvl w:val="0"/>
        <w:rPr>
          <w:rFonts w:ascii="Times New Roman" w:hAnsi="Times New Roman" w:cs="Times New Roman"/>
          <w:b w:val="1"/>
          <w:bCs w:val="1"/>
          <w:sz w:val="24"/>
          <w:szCs w:val="24"/>
          <w:lang w:val="en-US"/>
        </w:rPr>
      </w:pPr>
      <w:r w:rsidRPr="04E442EA" w:rsidR="009C7C2B">
        <w:rPr>
          <w:rFonts w:ascii="Times New Roman" w:hAnsi="Times New Roman" w:cs="Times New Roman"/>
          <w:sz w:val="24"/>
          <w:szCs w:val="24"/>
          <w:lang w:val="en-US"/>
        </w:rPr>
        <w:t xml:space="preserve">El </w:t>
      </w:r>
      <w:r w:rsidRPr="04E442EA" w:rsidR="009C7C2B">
        <w:rPr>
          <w:rFonts w:ascii="Times New Roman" w:hAnsi="Times New Roman" w:cs="Times New Roman"/>
          <w:sz w:val="24"/>
          <w:szCs w:val="24"/>
          <w:lang w:val="en-US"/>
        </w:rPr>
        <w:t>recurso</w:t>
      </w:r>
      <w:r w:rsidRPr="04E442EA" w:rsidR="009C7C2B">
        <w:rPr>
          <w:rFonts w:ascii="Times New Roman" w:hAnsi="Times New Roman" w:cs="Times New Roman"/>
          <w:sz w:val="24"/>
          <w:szCs w:val="24"/>
          <w:lang w:val="en-US"/>
        </w:rPr>
        <w:t xml:space="preserve"> de </w:t>
      </w:r>
      <w:r w:rsidRPr="04E442EA" w:rsidR="009C7C2B">
        <w:rPr>
          <w:rFonts w:ascii="Times New Roman" w:hAnsi="Times New Roman" w:cs="Times New Roman"/>
          <w:sz w:val="24"/>
          <w:szCs w:val="24"/>
          <w:lang w:val="en-US"/>
        </w:rPr>
        <w:t>impugnación</w:t>
      </w:r>
      <w:r w:rsidRPr="04E442EA" w:rsidR="009C7C2B">
        <w:rPr>
          <w:rFonts w:ascii="Times New Roman" w:hAnsi="Times New Roman" w:cs="Times New Roman"/>
          <w:sz w:val="24"/>
          <w:szCs w:val="24"/>
          <w:lang w:val="en-US"/>
        </w:rPr>
        <w:t xml:space="preserve"> </w:t>
      </w:r>
      <w:r w:rsidRPr="04E442EA" w:rsidR="009C7C2B">
        <w:rPr>
          <w:rFonts w:ascii="Times New Roman" w:hAnsi="Times New Roman" w:cs="Times New Roman"/>
          <w:sz w:val="24"/>
          <w:szCs w:val="24"/>
          <w:lang w:val="en-US"/>
        </w:rPr>
        <w:t>presentado</w:t>
      </w:r>
      <w:r w:rsidRPr="04E442EA" w:rsidR="009C7C2B">
        <w:rPr>
          <w:rFonts w:ascii="Times New Roman" w:hAnsi="Times New Roman" w:cs="Times New Roman"/>
          <w:sz w:val="24"/>
          <w:szCs w:val="24"/>
          <w:lang w:val="en-US"/>
        </w:rPr>
        <w:t xml:space="preserve"> </w:t>
      </w:r>
      <w:r w:rsidRPr="04E442EA" w:rsidR="009C7C2B">
        <w:rPr>
          <w:rFonts w:ascii="Times New Roman" w:hAnsi="Times New Roman" w:cs="Times New Roman"/>
          <w:sz w:val="24"/>
          <w:szCs w:val="24"/>
          <w:lang w:val="en-US"/>
        </w:rPr>
        <w:t>por</w:t>
      </w:r>
      <w:r w:rsidRPr="04E442EA" w:rsidR="009C7C2B">
        <w:rPr>
          <w:rFonts w:ascii="Times New Roman" w:hAnsi="Times New Roman" w:cs="Times New Roman"/>
          <w:sz w:val="24"/>
          <w:szCs w:val="24"/>
          <w:lang w:val="en-US"/>
        </w:rPr>
        <w:t xml:space="preserve"> </w:t>
      </w:r>
      <w:r w:rsidRPr="04E442EA" w:rsidR="645682F5">
        <w:rPr>
          <w:rFonts w:ascii="Times New Roman" w:hAnsi="Times New Roman" w:cs="Times New Roman"/>
          <w:b w:val="1"/>
          <w:bCs w:val="1"/>
          <w:sz w:val="24"/>
          <w:szCs w:val="24"/>
          <w:lang w:val="en-US"/>
        </w:rPr>
        <w:t>....................................................</w:t>
      </w:r>
      <w:r w:rsidRPr="04E442EA" w:rsidR="009C7C2B">
        <w:rPr>
          <w:rFonts w:ascii="Times New Roman" w:hAnsi="Times New Roman" w:cs="Times New Roman"/>
          <w:b w:val="1"/>
          <w:bCs w:val="1"/>
          <w:sz w:val="24"/>
          <w:szCs w:val="24"/>
          <w:lang w:val="en-US"/>
        </w:rPr>
        <w:t xml:space="preserve"> </w:t>
      </w:r>
      <w:r w:rsidRPr="04E442EA" w:rsidR="009C7C2B">
        <w:rPr>
          <w:rFonts w:ascii="Times New Roman" w:hAnsi="Times New Roman" w:cs="Times New Roman"/>
          <w:sz w:val="24"/>
          <w:szCs w:val="24"/>
          <w:lang w:val="en-US"/>
        </w:rPr>
        <w:t>respecto</w:t>
      </w:r>
      <w:r w:rsidRPr="04E442EA" w:rsidR="009C7C2B">
        <w:rPr>
          <w:rFonts w:ascii="Times New Roman" w:hAnsi="Times New Roman" w:cs="Times New Roman"/>
          <w:sz w:val="24"/>
          <w:szCs w:val="24"/>
          <w:lang w:val="en-US"/>
        </w:rPr>
        <w:t xml:space="preserve"> de la </w:t>
      </w:r>
      <w:r w:rsidRPr="04E442EA" w:rsidR="009C7C2B">
        <w:rPr>
          <w:rFonts w:ascii="Times New Roman" w:hAnsi="Times New Roman" w:cs="Times New Roman"/>
          <w:sz w:val="24"/>
          <w:szCs w:val="24"/>
          <w:lang w:val="en-US"/>
        </w:rPr>
        <w:t>Resolución</w:t>
      </w:r>
      <w:r w:rsidRPr="04E442EA" w:rsidR="009C7C2B">
        <w:rPr>
          <w:rFonts w:ascii="Times New Roman" w:hAnsi="Times New Roman" w:cs="Times New Roman"/>
          <w:sz w:val="24"/>
          <w:szCs w:val="24"/>
          <w:lang w:val="en-US"/>
        </w:rPr>
        <w:t xml:space="preserve"> </w:t>
      </w:r>
      <w:r w:rsidRPr="04E442EA" w:rsidR="009C7C2B">
        <w:rPr>
          <w:rFonts w:ascii="Times New Roman" w:hAnsi="Times New Roman" w:cs="Times New Roman"/>
          <w:sz w:val="24"/>
          <w:szCs w:val="24"/>
          <w:lang w:val="en-US"/>
        </w:rPr>
        <w:t>Nro</w:t>
      </w:r>
      <w:r w:rsidRPr="04E442EA" w:rsidR="009C7C2B">
        <w:rPr>
          <w:rFonts w:ascii="Times New Roman" w:hAnsi="Times New Roman" w:cs="Times New Roman"/>
          <w:sz w:val="24"/>
          <w:szCs w:val="24"/>
          <w:lang w:val="en-US"/>
        </w:rPr>
        <w:t xml:space="preserve">. 132/2020, </w:t>
      </w:r>
      <w:r w:rsidRPr="04E442EA" w:rsidR="009C7C2B">
        <w:rPr>
          <w:rFonts w:ascii="Times New Roman" w:hAnsi="Times New Roman" w:cs="Times New Roman"/>
          <w:sz w:val="24"/>
          <w:szCs w:val="24"/>
          <w:lang w:val="en-US"/>
        </w:rPr>
        <w:t>expedida</w:t>
      </w:r>
      <w:r w:rsidRPr="04E442EA" w:rsidR="009C7C2B">
        <w:rPr>
          <w:rFonts w:ascii="Times New Roman" w:hAnsi="Times New Roman" w:cs="Times New Roman"/>
          <w:sz w:val="24"/>
          <w:szCs w:val="24"/>
          <w:lang w:val="en-US"/>
        </w:rPr>
        <w:t xml:space="preserve"> </w:t>
      </w:r>
      <w:r w:rsidRPr="04E442EA" w:rsidR="009C7C2B">
        <w:rPr>
          <w:rFonts w:ascii="Times New Roman" w:hAnsi="Times New Roman" w:cs="Times New Roman"/>
          <w:sz w:val="24"/>
          <w:szCs w:val="24"/>
          <w:lang w:val="en-US"/>
        </w:rPr>
        <w:t>por</w:t>
      </w:r>
      <w:r w:rsidRPr="04E442EA" w:rsidR="009C7C2B">
        <w:rPr>
          <w:rFonts w:ascii="Times New Roman" w:hAnsi="Times New Roman" w:cs="Times New Roman"/>
          <w:sz w:val="24"/>
          <w:szCs w:val="24"/>
          <w:lang w:val="en-US"/>
        </w:rPr>
        <w:t xml:space="preserve"> </w:t>
      </w:r>
      <w:r w:rsidRPr="04E442EA" w:rsidR="009C7C2B">
        <w:rPr>
          <w:rFonts w:ascii="Times New Roman" w:hAnsi="Times New Roman" w:cs="Times New Roman"/>
          <w:sz w:val="24"/>
          <w:szCs w:val="24"/>
          <w:lang w:val="en-US"/>
        </w:rPr>
        <w:t>esta</w:t>
      </w:r>
      <w:r w:rsidRPr="04E442EA" w:rsidR="009C7C2B">
        <w:rPr>
          <w:rFonts w:ascii="Times New Roman" w:hAnsi="Times New Roman" w:cs="Times New Roman"/>
          <w:sz w:val="24"/>
          <w:szCs w:val="24"/>
          <w:lang w:val="en-US"/>
        </w:rPr>
        <w:t xml:space="preserve"> </w:t>
      </w:r>
      <w:r w:rsidRPr="04E442EA" w:rsidR="009C7C2B">
        <w:rPr>
          <w:rFonts w:ascii="Times New Roman" w:hAnsi="Times New Roman" w:cs="Times New Roman"/>
          <w:sz w:val="24"/>
          <w:szCs w:val="24"/>
          <w:lang w:val="en-US"/>
        </w:rPr>
        <w:t>Defensoría</w:t>
      </w:r>
      <w:r w:rsidRPr="04E442EA" w:rsidR="009C7C2B">
        <w:rPr>
          <w:rFonts w:ascii="Times New Roman" w:hAnsi="Times New Roman" w:cs="Times New Roman"/>
          <w:sz w:val="24"/>
          <w:szCs w:val="24"/>
          <w:lang w:val="en-US"/>
        </w:rPr>
        <w:t xml:space="preserve"> del </w:t>
      </w:r>
      <w:r w:rsidRPr="04E442EA" w:rsidR="009C7C2B">
        <w:rPr>
          <w:rFonts w:ascii="Times New Roman" w:hAnsi="Times New Roman" w:cs="Times New Roman"/>
          <w:sz w:val="24"/>
          <w:szCs w:val="24"/>
          <w:lang w:val="en-US"/>
        </w:rPr>
        <w:t>Asegurado</w:t>
      </w:r>
      <w:r w:rsidRPr="04E442EA" w:rsidR="009C7C2B">
        <w:rPr>
          <w:rFonts w:ascii="Times New Roman" w:hAnsi="Times New Roman" w:cs="Times New Roman"/>
          <w:sz w:val="24"/>
          <w:szCs w:val="24"/>
          <w:lang w:val="en-US"/>
        </w:rPr>
        <w:t xml:space="preserve"> y, </w:t>
      </w:r>
      <w:r w:rsidRPr="04E442EA" w:rsidR="009C7C2B">
        <w:rPr>
          <w:rFonts w:ascii="Times New Roman" w:hAnsi="Times New Roman" w:cs="Times New Roman"/>
          <w:sz w:val="24"/>
          <w:szCs w:val="24"/>
          <w:lang w:val="en-US"/>
        </w:rPr>
        <w:t>conforme</w:t>
      </w:r>
      <w:r w:rsidRPr="04E442EA" w:rsidR="009C7C2B">
        <w:rPr>
          <w:rFonts w:ascii="Times New Roman" w:hAnsi="Times New Roman" w:cs="Times New Roman"/>
          <w:sz w:val="24"/>
          <w:szCs w:val="24"/>
          <w:lang w:val="en-US"/>
        </w:rPr>
        <w:t xml:space="preserve"> a la </w:t>
      </w:r>
      <w:r w:rsidRPr="04E442EA" w:rsidR="009C7C2B">
        <w:rPr>
          <w:rFonts w:ascii="Times New Roman" w:hAnsi="Times New Roman" w:cs="Times New Roman"/>
          <w:sz w:val="24"/>
          <w:szCs w:val="24"/>
          <w:lang w:val="en-US"/>
        </w:rPr>
        <w:t>cual</w:t>
      </w:r>
      <w:r w:rsidRPr="04E442EA" w:rsidR="009C7C2B">
        <w:rPr>
          <w:rFonts w:ascii="Times New Roman" w:hAnsi="Times New Roman" w:cs="Times New Roman"/>
          <w:sz w:val="24"/>
          <w:szCs w:val="24"/>
          <w:lang w:val="en-US"/>
        </w:rPr>
        <w:t xml:space="preserve"> se </w:t>
      </w:r>
      <w:r w:rsidRPr="04E442EA" w:rsidR="009C7C2B">
        <w:rPr>
          <w:rFonts w:ascii="Times New Roman" w:hAnsi="Times New Roman" w:cs="Times New Roman"/>
          <w:sz w:val="24"/>
          <w:szCs w:val="24"/>
          <w:lang w:val="en-US"/>
        </w:rPr>
        <w:t>declaró</w:t>
      </w:r>
      <w:r w:rsidRPr="04E442EA" w:rsidR="009C7C2B">
        <w:rPr>
          <w:rFonts w:ascii="Times New Roman" w:hAnsi="Times New Roman" w:cs="Times New Roman"/>
          <w:sz w:val="24"/>
          <w:szCs w:val="24"/>
          <w:lang w:val="en-US"/>
        </w:rPr>
        <w:t xml:space="preserve"> INFUNDADA la </w:t>
      </w:r>
      <w:r w:rsidRPr="04E442EA" w:rsidR="009C7C2B">
        <w:rPr>
          <w:rFonts w:ascii="Times New Roman" w:hAnsi="Times New Roman" w:cs="Times New Roman"/>
          <w:sz w:val="24"/>
          <w:szCs w:val="24"/>
          <w:lang w:val="en-US"/>
        </w:rPr>
        <w:t>reclamación</w:t>
      </w:r>
      <w:r w:rsidRPr="04E442EA" w:rsidR="009C7C2B">
        <w:rPr>
          <w:rFonts w:ascii="Times New Roman" w:hAnsi="Times New Roman" w:cs="Times New Roman"/>
          <w:sz w:val="24"/>
          <w:szCs w:val="24"/>
          <w:lang w:val="en-US"/>
        </w:rPr>
        <w:t xml:space="preserve"> </w:t>
      </w:r>
      <w:r w:rsidRPr="04E442EA" w:rsidR="009C7C2B">
        <w:rPr>
          <w:rFonts w:ascii="Times New Roman" w:hAnsi="Times New Roman" w:cs="Times New Roman"/>
          <w:sz w:val="24"/>
          <w:szCs w:val="24"/>
          <w:lang w:val="en-US"/>
        </w:rPr>
        <w:t>interpuesta</w:t>
      </w:r>
      <w:r w:rsidRPr="04E442EA" w:rsidR="009C7C2B">
        <w:rPr>
          <w:rFonts w:ascii="Times New Roman" w:hAnsi="Times New Roman" w:cs="Times New Roman"/>
          <w:sz w:val="24"/>
          <w:szCs w:val="24"/>
          <w:lang w:val="en-US"/>
        </w:rPr>
        <w:t xml:space="preserve"> contra </w:t>
      </w:r>
      <w:r w:rsidRPr="04E442EA" w:rsidR="539B30C6">
        <w:rPr>
          <w:rFonts w:ascii="Times New Roman" w:hAnsi="Times New Roman" w:cs="Times New Roman"/>
          <w:b w:val="1"/>
          <w:bCs w:val="1"/>
          <w:sz w:val="24"/>
          <w:szCs w:val="24"/>
          <w:lang w:val="en-US"/>
        </w:rPr>
        <w:t>...........................................</w:t>
      </w:r>
      <w:r w:rsidRPr="04E442EA" w:rsidR="009C7C2B">
        <w:rPr>
          <w:rFonts w:ascii="Times New Roman" w:hAnsi="Times New Roman" w:cs="Times New Roman"/>
          <w:sz w:val="24"/>
          <w:szCs w:val="24"/>
          <w:lang w:val="en-US"/>
        </w:rPr>
        <w:t xml:space="preserve">, </w:t>
      </w:r>
      <w:r w:rsidRPr="04E442EA" w:rsidR="009C7C2B">
        <w:rPr>
          <w:rFonts w:ascii="Times New Roman" w:hAnsi="Times New Roman" w:cs="Times New Roman"/>
          <w:sz w:val="24"/>
          <w:szCs w:val="24"/>
          <w:lang w:val="en-US"/>
        </w:rPr>
        <w:t>en</w:t>
      </w:r>
      <w:r w:rsidRPr="04E442EA" w:rsidR="009C7C2B">
        <w:rPr>
          <w:rFonts w:ascii="Times New Roman" w:hAnsi="Times New Roman" w:cs="Times New Roman"/>
          <w:sz w:val="24"/>
          <w:szCs w:val="24"/>
          <w:lang w:val="en-US"/>
        </w:rPr>
        <w:t xml:space="preserve"> </w:t>
      </w:r>
      <w:r w:rsidRPr="04E442EA" w:rsidR="009C7C2B">
        <w:rPr>
          <w:rFonts w:ascii="Times New Roman" w:hAnsi="Times New Roman" w:cs="Times New Roman"/>
          <w:sz w:val="24"/>
          <w:szCs w:val="24"/>
          <w:lang w:val="en-US"/>
        </w:rPr>
        <w:t>relación</w:t>
      </w:r>
      <w:r w:rsidRPr="04E442EA" w:rsidR="009C7C2B">
        <w:rPr>
          <w:rFonts w:ascii="Times New Roman" w:hAnsi="Times New Roman" w:cs="Times New Roman"/>
          <w:sz w:val="24"/>
          <w:szCs w:val="24"/>
          <w:lang w:val="en-US"/>
        </w:rPr>
        <w:t xml:space="preserve"> al</w:t>
      </w:r>
      <w:r w:rsidRPr="04E442EA" w:rsidR="009C7C2B">
        <w:rPr>
          <w:rFonts w:ascii="Times New Roman" w:hAnsi="Times New Roman" w:cs="Times New Roman"/>
          <w:sz w:val="24"/>
          <w:szCs w:val="24"/>
          <w:lang w:val="en-US"/>
        </w:rPr>
        <w:t xml:space="preserve"> </w:t>
      </w:r>
      <w:r w:rsidRPr="04E442EA" w:rsidR="009C7C2B">
        <w:rPr>
          <w:rFonts w:ascii="Times New Roman" w:hAnsi="Times New Roman" w:cs="Times New Roman"/>
          <w:b w:val="1"/>
          <w:bCs w:val="1"/>
          <w:sz w:val="24"/>
          <w:szCs w:val="24"/>
          <w:lang w:val="en-US"/>
        </w:rPr>
        <w:t>SEGURO DE DESGRAVAMEN TARJETA DE CRÉDITO - PÓLIZA</w:t>
      </w:r>
      <w:r w:rsidRPr="04E442EA" w:rsidR="009C7C2B">
        <w:rPr>
          <w:rFonts w:ascii="Times New Roman" w:hAnsi="Times New Roman" w:cs="Times New Roman"/>
          <w:b w:val="1"/>
          <w:bCs w:val="1"/>
          <w:sz w:val="24"/>
          <w:szCs w:val="24"/>
          <w:lang w:val="en-US"/>
        </w:rPr>
        <w:t xml:space="preserve"> </w:t>
      </w:r>
      <w:r w:rsidRPr="04E442EA" w:rsidR="423055FA">
        <w:rPr>
          <w:rFonts w:ascii="Times New Roman" w:hAnsi="Times New Roman" w:cs="Times New Roman"/>
          <w:b w:val="1"/>
          <w:bCs w:val="1"/>
          <w:sz w:val="24"/>
          <w:szCs w:val="24"/>
          <w:lang w:val="en-US"/>
        </w:rPr>
        <w:t>...............</w:t>
      </w:r>
      <w:r w:rsidRPr="04E442EA" w:rsidR="009C7C2B">
        <w:rPr>
          <w:rFonts w:ascii="Times New Roman" w:hAnsi="Times New Roman" w:cs="Times New Roman"/>
          <w:sz w:val="24"/>
          <w:szCs w:val="24"/>
          <w:lang w:val="en-US"/>
        </w:rPr>
        <w:t>.;</w:t>
      </w:r>
    </w:p>
    <w:p w:rsidRPr="009C7C2B" w:rsidR="009C7C2B" w:rsidP="009C7C2B" w:rsidRDefault="009C7C2B" w14:paraId="05D9082E" w14:textId="54B87DCE">
      <w:pPr>
        <w:pStyle w:val="Textoindependiente"/>
        <w:rPr>
          <w:lang w:val="es-PE" w:eastAsia="es-PE"/>
        </w:rPr>
      </w:pPr>
      <w:r w:rsidRPr="04E442EA" w:rsidR="009C7C2B">
        <w:rPr>
          <w:lang w:val="es-PE"/>
        </w:rPr>
        <w:t xml:space="preserve">Que, el indicado recurso se sustenta resumidamente en lo siguiente: (1) a </w:t>
      </w:r>
      <w:r w:rsidRPr="04E442EA" w:rsidR="009C7C2B">
        <w:rPr>
          <w:lang w:val="es-PE" w:eastAsia="es-PE"/>
        </w:rPr>
        <w:t xml:space="preserve">efectos de la cobertura reclamada, la póliza de Seguro de Desgravamen considera que el asegurado se encuentra en situación de Invalidez Total y Permanente si a consecuencia de una enfermedad presenta una pérdida de disminución irreversible de su fuerza física e intelectual igual o superior a los 2/3 de su capacidad de trabajo. Siempre que el carácter de tal incapacidad sea reconocido y haya existido de modo continuo durante un periodo no menor de seis (6) meses (periodo de observación; (2) la calificación de invalidez descrita párrafo arriba, es obtenida por el asegurado en el dictamen </w:t>
      </w:r>
      <w:r w:rsidRPr="04E442EA" w:rsidR="37BD6852">
        <w:rPr>
          <w:lang w:val="es-PE" w:eastAsia="es-PE"/>
        </w:rPr>
        <w:t>..............................................</w:t>
      </w:r>
      <w:r w:rsidRPr="04E442EA" w:rsidR="009C7C2B">
        <w:rPr>
          <w:lang w:val="es-PE" w:eastAsia="es-PE"/>
        </w:rPr>
        <w:t xml:space="preserve">, calificación de invalidez total por un periodo de doce meses; (3) que después el suscrito se haya mejorado es totalmente irrelevante para el propósito de la activación de Seguro de Desgravamen; (4) la resolución es nula puesto que determina una supuesta asistencia de </w:t>
      </w:r>
      <w:r w:rsidRPr="04E442EA" w:rsidR="4A26CFF8">
        <w:rPr>
          <w:lang w:val="es-PE" w:eastAsia="es-PE"/>
        </w:rPr>
        <w:t>........................................</w:t>
      </w:r>
      <w:r w:rsidRPr="04E442EA" w:rsidR="009C7C2B">
        <w:rPr>
          <w:lang w:val="es-PE" w:eastAsia="es-PE"/>
        </w:rPr>
        <w:t xml:space="preserve"> a la audiencia virtual de conciliación citada por la Defensoría del Asegurado en fecha 07/12/2020, indicando asistieron ambas partes, es decir </w:t>
      </w:r>
      <w:r w:rsidRPr="04E442EA" w:rsidR="4A26CFF8">
        <w:rPr>
          <w:lang w:val="es-PE" w:eastAsia="es-PE"/>
        </w:rPr>
        <w:t>........................................</w:t>
      </w:r>
      <w:r w:rsidRPr="04E442EA" w:rsidR="009C7C2B">
        <w:rPr>
          <w:lang w:val="es-PE" w:eastAsia="es-PE"/>
        </w:rPr>
        <w:t xml:space="preserve"> y el reclamante, lo cual es totalmente falso.</w:t>
      </w:r>
    </w:p>
    <w:p w:rsidRPr="009C7C2B" w:rsidR="009C7C2B" w:rsidP="009C7C2B" w:rsidRDefault="009C7C2B" w14:paraId="6AF6427C" w14:textId="77777777">
      <w:pPr>
        <w:pStyle w:val="Textoindependiente"/>
        <w:rPr>
          <w:lang w:val="es-PE"/>
        </w:rPr>
      </w:pPr>
    </w:p>
    <w:p w:rsidRPr="009C7C2B" w:rsidR="009C7C2B" w:rsidP="009C7C2B" w:rsidRDefault="009C7C2B" w14:paraId="16E5E606" w14:textId="274E5BA9">
      <w:pPr>
        <w:pStyle w:val="Textoindependiente"/>
        <w:rPr>
          <w:lang w:val="es-PE"/>
        </w:rPr>
      </w:pPr>
      <w:r w:rsidRPr="04E442EA" w:rsidR="009C7C2B">
        <w:rPr>
          <w:lang w:val="es-PE"/>
        </w:rPr>
        <w:t xml:space="preserve">Que, la aseguradora absolvió el traslado del recurso impugnatorio manifestando, en síntesis, lo siguiente: (1) la aseguradora tiene como potestad asistir a la audiencia virtual, la cual se lleva a cabo para fines de esclarecimiento de los argumentos; (2) en el presente caso, </w:t>
      </w:r>
      <w:r w:rsidRPr="04E442EA" w:rsidR="539B30C6">
        <w:rPr>
          <w:lang w:val="es-PE"/>
        </w:rPr>
        <w:t>...........................................</w:t>
      </w:r>
      <w:r w:rsidRPr="04E442EA" w:rsidR="009C7C2B">
        <w:rPr>
          <w:lang w:val="es-PE"/>
        </w:rPr>
        <w:t xml:space="preserve"> detalló todos los argumentos necesarios para demostrar que no era posible otorgar el Seguro de Desgravamen, motivo por el cual no se consideró necesario repetir los mismos en una audiencia; (3) remitió a la Defensoría todos los antecedentes del caso y, mediante su escrito de descargos, detalló los motivos por los cuales no era posible otorgar la cobertura del Seguro de Desgravamen al reclamante; (4) el asegurado tomó conocimiento de los argumentos detallados en el escrito de descargo; por tanto, en caso el reclamante observara alguna ambigüedad o haya querido que la aseguradora explique algún extremo del escrito de descargos, el reclamante</w:t>
      </w:r>
      <w:r w:rsidRPr="04E442EA" w:rsidR="009C7C2B">
        <w:rPr>
          <w:b w:val="1"/>
          <w:bCs w:val="1"/>
          <w:lang w:val="es-PE"/>
        </w:rPr>
        <w:t xml:space="preserve"> </w:t>
      </w:r>
      <w:r w:rsidRPr="04E442EA" w:rsidR="009C7C2B">
        <w:rPr>
          <w:lang w:val="es-PE"/>
        </w:rPr>
        <w:t xml:space="preserve">tuvo la potestad de solicitar el esclarecimiento de dicho extremo presentado en el escrito de descargos, pese a ello, </w:t>
      </w:r>
      <w:r w:rsidRPr="04E442EA" w:rsidR="539B30C6">
        <w:rPr>
          <w:lang w:val="es-PE"/>
        </w:rPr>
        <w:t>...........................................</w:t>
      </w:r>
      <w:r w:rsidRPr="04E442EA" w:rsidR="009C7C2B">
        <w:rPr>
          <w:b w:val="1"/>
          <w:bCs w:val="1"/>
          <w:lang w:val="es-PE"/>
        </w:rPr>
        <w:t xml:space="preserve"> </w:t>
      </w:r>
      <w:r w:rsidRPr="04E442EA" w:rsidR="009C7C2B">
        <w:rPr>
          <w:lang w:val="es-PE"/>
        </w:rPr>
        <w:t xml:space="preserve">no recibió ninguna notificación al respecto. </w:t>
      </w:r>
    </w:p>
    <w:p w:rsidRPr="009C7C2B" w:rsidR="009C7C2B" w:rsidP="009C7C2B" w:rsidRDefault="009C7C2B" w14:paraId="4338E869" w14:textId="77777777">
      <w:pPr>
        <w:pStyle w:val="Textoindependiente"/>
        <w:rPr>
          <w:lang w:val="es-PE"/>
        </w:rPr>
      </w:pPr>
    </w:p>
    <w:p w:rsidRPr="009C7C2B" w:rsidR="009C7C2B" w:rsidP="009C7C2B" w:rsidRDefault="009C7C2B" w14:paraId="73FA1D29" w14:textId="0CB62868">
      <w:pPr>
        <w:pStyle w:val="Textoindependiente"/>
        <w:rPr>
          <w:lang w:val="es-PE"/>
        </w:rPr>
      </w:pPr>
      <w:r w:rsidRPr="009C7C2B">
        <w:rPr>
          <w:lang w:val="es-PE"/>
        </w:rPr>
        <w:t>Que, atendiendo a lo expuesto, esta Defensoría resuelve finalmente lo siguiente:</w:t>
      </w:r>
    </w:p>
    <w:p w:rsidRPr="009C7C2B" w:rsidR="009C7C2B" w:rsidP="009C7C2B" w:rsidRDefault="009C7C2B" w14:paraId="152A63E9" w14:textId="77777777">
      <w:pPr>
        <w:jc w:val="both"/>
        <w:rPr>
          <w:rFonts w:ascii="Times New Roman" w:hAnsi="Times New Roman" w:cs="Times New Roman"/>
          <w:b/>
          <w:sz w:val="24"/>
          <w:szCs w:val="24"/>
          <w:u w:val="single"/>
          <w:lang w:val="es-PE"/>
        </w:rPr>
      </w:pPr>
    </w:p>
    <w:p w:rsidRPr="009C7C2B" w:rsidR="009C7C2B" w:rsidP="009C7C2B" w:rsidRDefault="009C7C2B" w14:paraId="21CE4C85" w14:textId="7938DAAF">
      <w:pPr>
        <w:jc w:val="both"/>
        <w:rPr>
          <w:rFonts w:ascii="Times New Roman" w:hAnsi="Times New Roman" w:cs="Times New Roman"/>
          <w:sz w:val="24"/>
          <w:szCs w:val="24"/>
          <w:lang w:val="es-PE"/>
        </w:rPr>
      </w:pPr>
      <w:r w:rsidRPr="009C7C2B">
        <w:rPr>
          <w:rFonts w:ascii="Times New Roman" w:hAnsi="Times New Roman" w:cs="Times New Roman"/>
          <w:b/>
          <w:sz w:val="24"/>
          <w:szCs w:val="24"/>
          <w:u w:val="single"/>
          <w:lang w:val="es-PE"/>
        </w:rPr>
        <w:t>PRIMERO</w:t>
      </w:r>
      <w:r w:rsidRPr="009C7C2B">
        <w:rPr>
          <w:rFonts w:ascii="Times New Roman" w:hAnsi="Times New Roman" w:cs="Times New Roman"/>
          <w:b/>
          <w:sz w:val="24"/>
          <w:szCs w:val="24"/>
          <w:lang w:val="es-PE"/>
        </w:rPr>
        <w:t>:</w:t>
      </w:r>
      <w:r w:rsidRPr="009C7C2B">
        <w:rPr>
          <w:rFonts w:ascii="Times New Roman" w:hAnsi="Times New Roman" w:cs="Times New Roman"/>
          <w:sz w:val="24"/>
          <w:szCs w:val="24"/>
          <w:lang w:val="es-PE"/>
        </w:rPr>
        <w:t xml:space="preserve"> El artículo 10 (Procedimiento) del Reglamento de la DEFASEG </w:t>
      </w:r>
      <w:r w:rsidRPr="009C7C2B">
        <w:rPr>
          <w:rFonts w:ascii="Times New Roman" w:hAnsi="Times New Roman" w:eastAsia="Arial Unicode MS" w:cs="Times New Roman"/>
          <w:sz w:val="24"/>
          <w:szCs w:val="24"/>
          <w:lang w:val="es-PE"/>
        </w:rPr>
        <w:t>(http://www.defaseg.com.pe/reglamento)</w:t>
      </w:r>
      <w:r w:rsidRPr="009C7C2B">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9C7C2B" w:rsidR="009C7C2B" w:rsidP="009C7C2B" w:rsidRDefault="009C7C2B" w14:paraId="025A6030" w14:textId="77777777">
      <w:pPr>
        <w:jc w:val="both"/>
        <w:rPr>
          <w:rFonts w:ascii="Times New Roman" w:hAnsi="Times New Roman" w:cs="Times New Roman"/>
          <w:sz w:val="24"/>
          <w:szCs w:val="24"/>
          <w:lang w:val="es-PE"/>
        </w:rPr>
      </w:pPr>
    </w:p>
    <w:p w:rsidRPr="009C7C2B" w:rsidR="009C7C2B" w:rsidP="009C7C2B" w:rsidRDefault="009C7C2B" w14:paraId="6028CB0E" w14:textId="77777777">
      <w:pPr>
        <w:jc w:val="both"/>
        <w:rPr>
          <w:rFonts w:ascii="Times New Roman" w:hAnsi="Times New Roman" w:cs="Times New Roman"/>
          <w:bCs/>
          <w:sz w:val="24"/>
          <w:szCs w:val="24"/>
          <w:lang w:val="es-PE"/>
        </w:rPr>
      </w:pPr>
      <w:r w:rsidRPr="009C7C2B">
        <w:rPr>
          <w:rFonts w:ascii="Times New Roman" w:hAnsi="Times New Roman" w:cs="Times New Roman"/>
          <w:sz w:val="24"/>
          <w:szCs w:val="24"/>
          <w:lang w:val="es-PE"/>
        </w:rPr>
        <w:lastRenderedPageBreak/>
        <w:t xml:space="preserve">Conforme a ello, en el caso concreto, el reclamante </w:t>
      </w:r>
      <w:r w:rsidRPr="009C7C2B">
        <w:rPr>
          <w:rFonts w:ascii="Times New Roman" w:hAnsi="Times New Roman" w:cs="Times New Roman"/>
          <w:bCs/>
          <w:sz w:val="24"/>
          <w:szCs w:val="24"/>
          <w:lang w:val="es-PE"/>
        </w:rPr>
        <w:t>sustenta su impugnación en (i) insistir en su interpretación que en el presente caso se materializa el riesgo cubierto de invalidez total y permanente; así como, (</w:t>
      </w:r>
      <w:proofErr w:type="spellStart"/>
      <w:r w:rsidRPr="009C7C2B">
        <w:rPr>
          <w:rFonts w:ascii="Times New Roman" w:hAnsi="Times New Roman" w:cs="Times New Roman"/>
          <w:bCs/>
          <w:sz w:val="24"/>
          <w:szCs w:val="24"/>
          <w:lang w:val="es-PE"/>
        </w:rPr>
        <w:t>ii</w:t>
      </w:r>
      <w:proofErr w:type="spellEnd"/>
      <w:r w:rsidRPr="009C7C2B">
        <w:rPr>
          <w:rFonts w:ascii="Times New Roman" w:hAnsi="Times New Roman" w:cs="Times New Roman"/>
          <w:bCs/>
          <w:sz w:val="24"/>
          <w:szCs w:val="24"/>
          <w:lang w:val="es-PE"/>
        </w:rPr>
        <w:t>) en considerar que se presenta un vicio de nulidad, al indicarse en los antecedentes (vistos) de la resolución impugnada, que a la audiencia de vista virtual asistió la aseguradora, cuando ello no es exacto.</w:t>
      </w:r>
    </w:p>
    <w:p w:rsidRPr="009C7C2B" w:rsidR="009C7C2B" w:rsidP="009C7C2B" w:rsidRDefault="009C7C2B" w14:paraId="3E5BECA3" w14:textId="77777777">
      <w:pPr>
        <w:jc w:val="both"/>
        <w:rPr>
          <w:rFonts w:ascii="Times New Roman" w:hAnsi="Times New Roman" w:cs="Times New Roman"/>
          <w:i/>
          <w:sz w:val="24"/>
          <w:szCs w:val="24"/>
          <w:lang w:val="es-PE"/>
        </w:rPr>
      </w:pPr>
      <w:r w:rsidRPr="009C7C2B">
        <w:rPr>
          <w:rFonts w:ascii="Times New Roman" w:hAnsi="Times New Roman" w:cs="Times New Roman"/>
          <w:b/>
          <w:bCs/>
          <w:sz w:val="24"/>
          <w:szCs w:val="24"/>
          <w:u w:val="single"/>
          <w:lang w:val="es-PE"/>
        </w:rPr>
        <w:t>SEGUNDO</w:t>
      </w:r>
      <w:r w:rsidRPr="009C7C2B">
        <w:rPr>
          <w:rFonts w:ascii="Times New Roman" w:hAnsi="Times New Roman" w:cs="Times New Roman"/>
          <w:b/>
          <w:bCs/>
          <w:sz w:val="24"/>
          <w:szCs w:val="24"/>
          <w:lang w:val="es-PE"/>
        </w:rPr>
        <w:t>:</w:t>
      </w:r>
      <w:r w:rsidRPr="009C7C2B">
        <w:rPr>
          <w:rFonts w:ascii="Times New Roman" w:hAnsi="Times New Roman" w:cs="Times New Roman"/>
          <w:bCs/>
          <w:sz w:val="24"/>
          <w:szCs w:val="24"/>
          <w:lang w:val="es-PE"/>
        </w:rPr>
        <w:t xml:space="preserve"> En cuanto al primer extremo, la materia controvertida sostenida por el reclamante ya fue objeto de análisis y decisión en la Resolución 132/2020.</w:t>
      </w:r>
    </w:p>
    <w:p w:rsidRPr="009C7C2B" w:rsidR="009C7C2B" w:rsidP="009C7C2B" w:rsidRDefault="009C7C2B" w14:paraId="690D306D" w14:textId="77777777">
      <w:pPr>
        <w:jc w:val="both"/>
        <w:rPr>
          <w:rFonts w:ascii="Times New Roman" w:hAnsi="Times New Roman" w:cs="Times New Roman"/>
          <w:bCs/>
          <w:sz w:val="24"/>
          <w:szCs w:val="24"/>
          <w:lang w:val="es-PE"/>
        </w:rPr>
      </w:pPr>
      <w:r w:rsidRPr="009C7C2B">
        <w:rPr>
          <w:rFonts w:ascii="Times New Roman" w:hAnsi="Times New Roman" w:cs="Times New Roman"/>
          <w:bCs/>
          <w:sz w:val="24"/>
          <w:szCs w:val="24"/>
          <w:lang w:val="es-PE"/>
        </w:rPr>
        <w:t xml:space="preserve">En ese sentido, el Colegiado aprecia que el recurso de impugnación presentado por el reclamante constituye, más allá de evidenciar su desacuerdo con lo decidido, un pedido de revisión general. </w:t>
      </w:r>
    </w:p>
    <w:p w:rsidRPr="009C7C2B" w:rsidR="009C7C2B" w:rsidP="009C7C2B" w:rsidRDefault="009C7C2B" w14:paraId="1EB42A93" w14:textId="1647B0B2">
      <w:pPr>
        <w:jc w:val="both"/>
        <w:rPr>
          <w:rFonts w:ascii="Times New Roman" w:hAnsi="Times New Roman" w:cs="Times New Roman"/>
          <w:bCs/>
          <w:sz w:val="24"/>
          <w:szCs w:val="24"/>
          <w:lang w:val="es-PE"/>
        </w:rPr>
      </w:pPr>
      <w:proofErr w:type="gramStart"/>
      <w:r w:rsidRPr="009C7C2B">
        <w:rPr>
          <w:rFonts w:ascii="Times New Roman" w:hAnsi="Times New Roman" w:cs="Times New Roman"/>
          <w:bCs/>
          <w:sz w:val="24"/>
          <w:szCs w:val="24"/>
          <w:lang w:val="es-PE"/>
        </w:rPr>
        <w:t>De acuerdo a</w:t>
      </w:r>
      <w:proofErr w:type="gramEnd"/>
      <w:r w:rsidRPr="009C7C2B">
        <w:rPr>
          <w:rFonts w:ascii="Times New Roman" w:hAnsi="Times New Roman" w:cs="Times New Roman"/>
          <w:bCs/>
          <w:sz w:val="24"/>
          <w:szCs w:val="24"/>
          <w:lang w:val="es-PE"/>
        </w:rPr>
        <w:t xml:space="preserve"> la resolución impugnada, la reclamación fue desestimada puesto que tal como se desarrolla en los considerandos, al evaluarse los términos de cobertura, se identificó que la cobertura contratada sólo asegura el riesgo de invalidez cuando esta presenta el grado de total y es de naturaleza permanente, lo que no se acreditó en autos: </w:t>
      </w:r>
    </w:p>
    <w:p w:rsidRPr="009C7C2B" w:rsidR="009C7C2B" w:rsidP="009C7C2B" w:rsidRDefault="009C7C2B" w14:paraId="00D2166F" w14:textId="77777777">
      <w:pPr>
        <w:ind w:left="708"/>
        <w:jc w:val="both"/>
        <w:rPr>
          <w:rFonts w:ascii="Times New Roman" w:hAnsi="Times New Roman" w:cs="Times New Roman"/>
          <w:bCs/>
          <w:i/>
          <w:iCs/>
          <w:sz w:val="16"/>
          <w:szCs w:val="16"/>
          <w:lang w:val="es-PE"/>
        </w:rPr>
      </w:pPr>
      <w:r w:rsidRPr="009C7C2B">
        <w:rPr>
          <w:rFonts w:ascii="Times New Roman" w:hAnsi="Times New Roman" w:cs="Times New Roman"/>
          <w:bCs/>
          <w:i/>
          <w:iCs/>
          <w:sz w:val="16"/>
          <w:szCs w:val="16"/>
          <w:lang w:val="es-PE"/>
        </w:rPr>
        <w:t>“(…)</w:t>
      </w:r>
    </w:p>
    <w:p w:rsidRPr="009C7C2B" w:rsidR="009C7C2B" w:rsidP="009C7C2B" w:rsidRDefault="009C7C2B" w14:paraId="77104340" w14:textId="57526857">
      <w:pPr>
        <w:ind w:left="708"/>
        <w:jc w:val="both"/>
        <w:rPr>
          <w:rFonts w:ascii="Times New Roman" w:hAnsi="Times New Roman" w:cs="Times New Roman"/>
          <w:bCs/>
          <w:i/>
          <w:iCs/>
          <w:sz w:val="16"/>
          <w:szCs w:val="16"/>
          <w:lang w:val="es-PE"/>
        </w:rPr>
      </w:pPr>
      <w:r w:rsidRPr="009C7C2B">
        <w:rPr>
          <w:rFonts w:ascii="Times New Roman" w:hAnsi="Times New Roman" w:cs="Times New Roman"/>
          <w:bCs/>
          <w:i/>
          <w:iCs/>
          <w:sz w:val="16"/>
          <w:szCs w:val="16"/>
          <w:lang w:val="es-PE"/>
        </w:rPr>
        <w:t>De los términos contractuales citados, se aprecia que el riesgo de Invalidez que resulta cubierto por el seguro contratado es aquel que tiene el grado de Total y resulta de naturaleza Permanente.</w:t>
      </w:r>
    </w:p>
    <w:p w:rsidRPr="009C7C2B" w:rsidR="009C7C2B" w:rsidP="009C7C2B" w:rsidRDefault="009C7C2B" w14:paraId="431A667A" w14:textId="0F79BCFB">
      <w:pPr>
        <w:ind w:left="708"/>
        <w:jc w:val="both"/>
        <w:rPr>
          <w:rFonts w:ascii="Times New Roman" w:hAnsi="Times New Roman" w:cs="Times New Roman"/>
          <w:bCs/>
          <w:i/>
          <w:iCs/>
          <w:sz w:val="16"/>
          <w:szCs w:val="16"/>
          <w:lang w:val="es-PE"/>
        </w:rPr>
      </w:pPr>
      <w:r w:rsidRPr="009C7C2B">
        <w:rPr>
          <w:rFonts w:ascii="Times New Roman" w:hAnsi="Times New Roman" w:cs="Times New Roman"/>
          <w:bCs/>
          <w:i/>
          <w:iCs/>
          <w:sz w:val="16"/>
          <w:szCs w:val="16"/>
          <w:lang w:val="es-PE"/>
        </w:rPr>
        <w:t xml:space="preserve">Conforme al artículo 77 de la Ley del Contrato de Seguro, corresponde al asegurado demostrar la ocurrencia del siniestro, así como la cuantía de la pérdida si fuera el caso. </w:t>
      </w:r>
    </w:p>
    <w:p w:rsidRPr="009C7C2B" w:rsidR="009C7C2B" w:rsidP="009C7C2B" w:rsidRDefault="009C7C2B" w14:paraId="5D0034D9" w14:textId="4C53A7D3">
      <w:pPr>
        <w:ind w:left="708"/>
        <w:jc w:val="both"/>
        <w:rPr>
          <w:rFonts w:ascii="Times New Roman" w:hAnsi="Times New Roman" w:cs="Times New Roman"/>
          <w:bCs/>
          <w:i/>
          <w:iCs/>
          <w:sz w:val="16"/>
          <w:szCs w:val="16"/>
          <w:lang w:val="es-PE"/>
        </w:rPr>
      </w:pPr>
      <w:r w:rsidRPr="009C7C2B">
        <w:rPr>
          <w:rFonts w:ascii="Times New Roman" w:hAnsi="Times New Roman" w:cs="Times New Roman"/>
          <w:bCs/>
          <w:i/>
          <w:iCs/>
          <w:sz w:val="16"/>
          <w:szCs w:val="16"/>
          <w:lang w:val="es-PE"/>
        </w:rPr>
        <w:t xml:space="preserve">Ello conlleva para el caso del riesgo de invalidez, que el asegurado tiene la carga de la prueba de la existencia de una invalidez, de su grado y de su naturaleza. Con ello la prueba queda abierta a la documentación médica que aporte el interesado. </w:t>
      </w:r>
    </w:p>
    <w:p w:rsidRPr="009C7C2B" w:rsidR="009C7C2B" w:rsidP="009C7C2B" w:rsidRDefault="009C7C2B" w14:paraId="2FB2202E" w14:textId="405A1DCC">
      <w:pPr>
        <w:ind w:left="708"/>
        <w:jc w:val="both"/>
        <w:rPr>
          <w:rFonts w:ascii="Times New Roman" w:hAnsi="Times New Roman" w:cs="Times New Roman"/>
          <w:bCs/>
          <w:i/>
          <w:iCs/>
          <w:sz w:val="16"/>
          <w:szCs w:val="16"/>
          <w:lang w:val="es-PE"/>
        </w:rPr>
      </w:pPr>
      <w:r w:rsidRPr="009C7C2B">
        <w:rPr>
          <w:rFonts w:ascii="Times New Roman" w:hAnsi="Times New Roman" w:cs="Times New Roman"/>
          <w:bCs/>
          <w:i/>
          <w:iCs/>
          <w:sz w:val="16"/>
          <w:szCs w:val="16"/>
          <w:lang w:val="es-PE"/>
        </w:rPr>
        <w:t xml:space="preserve">En el presente caso, el reclamante sustenta su solicitud de cobertura con el Dictamen de Evaluación y Calificación de Invalidez </w:t>
      </w:r>
      <w:proofErr w:type="spellStart"/>
      <w:r w:rsidRPr="009C7C2B">
        <w:rPr>
          <w:rFonts w:ascii="Times New Roman" w:hAnsi="Times New Roman" w:cs="Times New Roman"/>
          <w:bCs/>
          <w:i/>
          <w:iCs/>
          <w:sz w:val="16"/>
          <w:szCs w:val="16"/>
          <w:lang w:val="es-PE"/>
        </w:rPr>
        <w:t>Nro</w:t>
      </w:r>
      <w:proofErr w:type="spellEnd"/>
      <w:r w:rsidRPr="009C7C2B">
        <w:rPr>
          <w:rFonts w:ascii="Times New Roman" w:hAnsi="Times New Roman" w:cs="Times New Roman"/>
          <w:bCs/>
          <w:i/>
          <w:iCs/>
          <w:sz w:val="16"/>
          <w:szCs w:val="16"/>
          <w:lang w:val="es-PE"/>
        </w:rPr>
        <w:t xml:space="preserve"> 04721-2019 de fecha 9 de diciembre de 2019, así como con el Dictamen de Evaluación y Calificación de Invalidez </w:t>
      </w:r>
      <w:proofErr w:type="spellStart"/>
      <w:r w:rsidRPr="009C7C2B">
        <w:rPr>
          <w:rFonts w:ascii="Times New Roman" w:hAnsi="Times New Roman" w:cs="Times New Roman"/>
          <w:bCs/>
          <w:i/>
          <w:iCs/>
          <w:sz w:val="16"/>
          <w:szCs w:val="16"/>
          <w:lang w:val="es-PE"/>
        </w:rPr>
        <w:t>Nro</w:t>
      </w:r>
      <w:proofErr w:type="spellEnd"/>
      <w:r w:rsidRPr="009C7C2B">
        <w:rPr>
          <w:rFonts w:ascii="Times New Roman" w:hAnsi="Times New Roman" w:cs="Times New Roman"/>
          <w:bCs/>
          <w:i/>
          <w:iCs/>
          <w:sz w:val="16"/>
          <w:szCs w:val="16"/>
          <w:lang w:val="es-PE"/>
        </w:rPr>
        <w:t xml:space="preserve"> 02027-2020 de fecha 10 de agosto de 2020.</w:t>
      </w:r>
    </w:p>
    <w:p w:rsidRPr="009C7C2B" w:rsidR="009C7C2B" w:rsidP="009C7C2B" w:rsidRDefault="009C7C2B" w14:paraId="34535504" w14:textId="5C35F446">
      <w:pPr>
        <w:ind w:left="708"/>
        <w:jc w:val="both"/>
        <w:rPr>
          <w:rFonts w:ascii="Times New Roman" w:hAnsi="Times New Roman" w:cs="Times New Roman"/>
          <w:bCs/>
          <w:i/>
          <w:iCs/>
          <w:sz w:val="16"/>
          <w:szCs w:val="16"/>
          <w:lang w:val="es-PE"/>
        </w:rPr>
      </w:pPr>
      <w:r w:rsidRPr="009C7C2B">
        <w:rPr>
          <w:rFonts w:ascii="Times New Roman" w:hAnsi="Times New Roman" w:cs="Times New Roman"/>
          <w:bCs/>
          <w:i/>
          <w:iCs/>
          <w:sz w:val="16"/>
          <w:szCs w:val="16"/>
          <w:lang w:val="es-PE"/>
        </w:rPr>
        <w:t xml:space="preserve">Con el primer Dictamen </w:t>
      </w:r>
      <w:proofErr w:type="spellStart"/>
      <w:r w:rsidRPr="009C7C2B">
        <w:rPr>
          <w:rFonts w:ascii="Times New Roman" w:hAnsi="Times New Roman" w:cs="Times New Roman"/>
          <w:bCs/>
          <w:i/>
          <w:iCs/>
          <w:sz w:val="16"/>
          <w:szCs w:val="16"/>
          <w:lang w:val="es-PE"/>
        </w:rPr>
        <w:t>Nro</w:t>
      </w:r>
      <w:proofErr w:type="spellEnd"/>
      <w:r w:rsidRPr="009C7C2B">
        <w:rPr>
          <w:rFonts w:ascii="Times New Roman" w:hAnsi="Times New Roman" w:cs="Times New Roman"/>
          <w:bCs/>
          <w:i/>
          <w:iCs/>
          <w:sz w:val="16"/>
          <w:szCs w:val="16"/>
          <w:lang w:val="es-PE"/>
        </w:rPr>
        <w:t xml:space="preserve"> 04721-2019 se verifica que el reclamante presentaba a diciembre de 2019 una invalidez de grado Total y de naturaleza Temporal. </w:t>
      </w:r>
    </w:p>
    <w:p w:rsidRPr="009C7C2B" w:rsidR="009C7C2B" w:rsidP="009C7C2B" w:rsidRDefault="009C7C2B" w14:paraId="72E2A26F" w14:textId="1CE9011E">
      <w:pPr>
        <w:ind w:left="708"/>
        <w:jc w:val="both"/>
        <w:rPr>
          <w:rFonts w:ascii="Times New Roman" w:hAnsi="Times New Roman" w:cs="Times New Roman"/>
          <w:bCs/>
          <w:i/>
          <w:iCs/>
          <w:sz w:val="16"/>
          <w:szCs w:val="16"/>
          <w:lang w:val="es-PE"/>
        </w:rPr>
      </w:pPr>
      <w:r w:rsidRPr="009C7C2B">
        <w:rPr>
          <w:rFonts w:ascii="Times New Roman" w:hAnsi="Times New Roman" w:cs="Times New Roman"/>
          <w:bCs/>
          <w:i/>
          <w:iCs/>
          <w:sz w:val="16"/>
          <w:szCs w:val="16"/>
          <w:lang w:val="es-PE"/>
        </w:rPr>
        <w:t xml:space="preserve">Mientras que con el segundo Dictamen </w:t>
      </w:r>
      <w:proofErr w:type="spellStart"/>
      <w:r w:rsidRPr="009C7C2B">
        <w:rPr>
          <w:rFonts w:ascii="Times New Roman" w:hAnsi="Times New Roman" w:cs="Times New Roman"/>
          <w:bCs/>
          <w:i/>
          <w:iCs/>
          <w:sz w:val="16"/>
          <w:szCs w:val="16"/>
          <w:lang w:val="es-PE"/>
        </w:rPr>
        <w:t>Nro</w:t>
      </w:r>
      <w:proofErr w:type="spellEnd"/>
      <w:r w:rsidRPr="009C7C2B">
        <w:rPr>
          <w:rFonts w:ascii="Times New Roman" w:hAnsi="Times New Roman" w:cs="Times New Roman"/>
          <w:bCs/>
          <w:i/>
          <w:iCs/>
          <w:sz w:val="16"/>
          <w:szCs w:val="16"/>
          <w:lang w:val="es-PE"/>
        </w:rPr>
        <w:t xml:space="preserve"> 02027-2020 a agosto de 2020, el reclamante presenta una invalidez de grado Parcial y de naturaleza Permanente.</w:t>
      </w:r>
    </w:p>
    <w:p w:rsidRPr="009C7C2B" w:rsidR="009C7C2B" w:rsidP="009C7C2B" w:rsidRDefault="009C7C2B" w14:paraId="3DCFA08D" w14:textId="31DC8DA7">
      <w:pPr>
        <w:ind w:left="708"/>
        <w:jc w:val="both"/>
        <w:rPr>
          <w:rFonts w:ascii="Times New Roman" w:hAnsi="Times New Roman" w:cs="Times New Roman"/>
          <w:bCs/>
          <w:i/>
          <w:iCs/>
          <w:sz w:val="16"/>
          <w:szCs w:val="16"/>
          <w:lang w:val="es-PE"/>
        </w:rPr>
      </w:pPr>
      <w:r w:rsidRPr="009C7C2B">
        <w:rPr>
          <w:rFonts w:ascii="Times New Roman" w:hAnsi="Times New Roman" w:cs="Times New Roman"/>
          <w:bCs/>
          <w:i/>
          <w:iCs/>
          <w:sz w:val="16"/>
          <w:szCs w:val="16"/>
          <w:lang w:val="es-PE"/>
        </w:rPr>
        <w:t xml:space="preserve">Lamentablemente, en dichos Certificados no se acredita que la discapacidad que padece el asegurado sea de grado Total y de naturaleza Permanente. </w:t>
      </w:r>
    </w:p>
    <w:p w:rsidRPr="009C7C2B" w:rsidR="009C7C2B" w:rsidP="009C7C2B" w:rsidRDefault="009C7C2B" w14:paraId="7FC3D3F5" w14:textId="77777777">
      <w:pPr>
        <w:ind w:left="708"/>
        <w:jc w:val="both"/>
        <w:rPr>
          <w:rFonts w:ascii="Times New Roman" w:hAnsi="Times New Roman" w:cs="Times New Roman"/>
          <w:i/>
          <w:iCs/>
          <w:sz w:val="16"/>
          <w:szCs w:val="16"/>
          <w:lang w:val="es-PE"/>
        </w:rPr>
      </w:pPr>
      <w:r w:rsidRPr="009C7C2B">
        <w:rPr>
          <w:rStyle w:val="Textoennegrita"/>
          <w:rFonts w:ascii="Times New Roman" w:hAnsi="Times New Roman" w:cs="Times New Roman"/>
          <w:b w:val="0"/>
          <w:i/>
          <w:iCs/>
          <w:sz w:val="16"/>
          <w:szCs w:val="16"/>
          <w:lang w:val="es-PE"/>
        </w:rPr>
        <w:t xml:space="preserve">En consecuencia, </w:t>
      </w:r>
      <w:r w:rsidRPr="009C7C2B">
        <w:rPr>
          <w:rFonts w:ascii="Times New Roman" w:hAnsi="Times New Roman" w:cs="Times New Roman"/>
          <w:i/>
          <w:iCs/>
          <w:sz w:val="16"/>
          <w:szCs w:val="16"/>
          <w:lang w:val="es-PE"/>
        </w:rPr>
        <w:t xml:space="preserve">se aprecia que de la documentación que obra en autos, no existe prueba que la invalidez que padece el reclamante sea total y permanente. </w:t>
      </w:r>
      <w:r w:rsidRPr="009C7C2B">
        <w:rPr>
          <w:rFonts w:ascii="Times New Roman" w:hAnsi="Times New Roman" w:cs="Times New Roman"/>
          <w:bCs/>
          <w:i/>
          <w:iCs/>
          <w:sz w:val="16"/>
          <w:szCs w:val="16"/>
          <w:lang w:val="es-PE"/>
        </w:rPr>
        <w:t>Por tanto, se concluye que no existe evidencia de la existencia de una condición de invalidez que resulte amparada por las coberturas de la póliza contratada.”</w:t>
      </w:r>
    </w:p>
    <w:p w:rsidRPr="009C7C2B" w:rsidR="009C7C2B" w:rsidP="009C7C2B" w:rsidRDefault="009C7C2B" w14:paraId="36F289DE" w14:textId="42277BC4">
      <w:pPr>
        <w:jc w:val="both"/>
        <w:rPr>
          <w:rFonts w:ascii="Times New Roman" w:hAnsi="Times New Roman" w:cs="Times New Roman"/>
          <w:i/>
          <w:iCs/>
          <w:sz w:val="24"/>
          <w:szCs w:val="24"/>
          <w:lang w:val="es-PE"/>
        </w:rPr>
      </w:pPr>
      <w:r w:rsidRPr="009C7C2B">
        <w:rPr>
          <w:rFonts w:ascii="Times New Roman" w:hAnsi="Times New Roman" w:cs="Times New Roman"/>
          <w:b/>
          <w:sz w:val="24"/>
          <w:szCs w:val="24"/>
          <w:u w:val="single"/>
          <w:lang w:val="es-PE"/>
        </w:rPr>
        <w:t>TERCERO</w:t>
      </w:r>
      <w:r w:rsidRPr="009C7C2B">
        <w:rPr>
          <w:rFonts w:ascii="Times New Roman" w:hAnsi="Times New Roman" w:cs="Times New Roman"/>
          <w:b/>
          <w:sz w:val="24"/>
          <w:szCs w:val="24"/>
          <w:lang w:val="es-PE"/>
        </w:rPr>
        <w:t>:</w:t>
      </w:r>
      <w:r w:rsidRPr="009C7C2B">
        <w:rPr>
          <w:rFonts w:ascii="Times New Roman" w:hAnsi="Times New Roman" w:cs="Times New Roman"/>
          <w:bCs/>
          <w:sz w:val="24"/>
          <w:szCs w:val="24"/>
          <w:lang w:val="es-PE"/>
        </w:rPr>
        <w:t xml:space="preserve"> Respecto al segundo extremo, se verifica que en efecto en los antecedentes (vistos) citados en la resolución impugnada erradamente se consigna en el cuarto párrafo, que la audiencia de vista virtual se llevó a cabo con la participación de las partes, cuando conforme al acta de dicha audiencia se dejó expresa constancia que a la videoconferencia únicamente asistió el reclamante.</w:t>
      </w:r>
    </w:p>
    <w:p w:rsidRPr="009C7C2B" w:rsidR="009C7C2B" w:rsidP="009C7C2B" w:rsidRDefault="009C7C2B" w14:paraId="119FDB2C" w14:textId="77777777">
      <w:pPr>
        <w:jc w:val="both"/>
        <w:rPr>
          <w:rFonts w:ascii="Times New Roman" w:hAnsi="Times New Roman" w:cs="Times New Roman"/>
          <w:bCs/>
          <w:sz w:val="24"/>
          <w:szCs w:val="24"/>
          <w:lang w:val="es-PE"/>
        </w:rPr>
      </w:pPr>
      <w:r w:rsidRPr="009C7C2B">
        <w:rPr>
          <w:rFonts w:ascii="Times New Roman" w:hAnsi="Times New Roman" w:cs="Times New Roman"/>
          <w:bCs/>
          <w:sz w:val="24"/>
          <w:szCs w:val="24"/>
          <w:lang w:val="es-PE"/>
        </w:rPr>
        <w:t xml:space="preserve">Se trata de un error material que corresponde rectificar, pero que no incide en los fundamentos fácticos y de derecho que sustentan el análisis y la decisión contenida en la resolución impugnada. </w:t>
      </w:r>
    </w:p>
    <w:p w:rsidRPr="009C7C2B" w:rsidR="009C7C2B" w:rsidP="009C7C2B" w:rsidRDefault="009C7C2B" w14:paraId="05F68E8A" w14:textId="090D4DEC">
      <w:pPr>
        <w:jc w:val="both"/>
        <w:rPr>
          <w:rFonts w:ascii="Times New Roman" w:hAnsi="Times New Roman" w:cs="Times New Roman"/>
          <w:sz w:val="24"/>
          <w:szCs w:val="24"/>
          <w:lang w:val="es-PE"/>
        </w:rPr>
      </w:pPr>
      <w:r w:rsidRPr="009C7C2B">
        <w:rPr>
          <w:rFonts w:ascii="Times New Roman" w:hAnsi="Times New Roman" w:cs="Times New Roman"/>
          <w:bCs/>
          <w:sz w:val="24"/>
          <w:szCs w:val="24"/>
          <w:lang w:val="es-PE"/>
        </w:rPr>
        <w:t xml:space="preserve">En ese sentido, el Colegiado reitera su convicción que, de los antecedentes fácticos del caso, se verifican pruebas en el sentido que existen razones fundadas para estimar que el rechazo de </w:t>
      </w:r>
      <w:r w:rsidRPr="009C7C2B">
        <w:rPr>
          <w:rFonts w:ascii="Times New Roman" w:hAnsi="Times New Roman" w:cs="Times New Roman"/>
          <w:bCs/>
          <w:sz w:val="24"/>
          <w:szCs w:val="24"/>
          <w:lang w:val="es-PE"/>
        </w:rPr>
        <w:lastRenderedPageBreak/>
        <w:t xml:space="preserve">cobertura es legítimo, por lo que no existe </w:t>
      </w:r>
      <w:r w:rsidRPr="009C7C2B">
        <w:rPr>
          <w:rFonts w:ascii="Times New Roman" w:hAnsi="Times New Roman" w:cs="Times New Roman"/>
          <w:sz w:val="24"/>
          <w:szCs w:val="24"/>
          <w:lang w:val="es-PE"/>
        </w:rPr>
        <w:t>mérito suficiente ni razón objetiva para revocar la resolución recurrida.</w:t>
      </w:r>
    </w:p>
    <w:p w:rsidRPr="009C7C2B" w:rsidR="009C7C2B" w:rsidP="009C7C2B" w:rsidRDefault="009C7C2B" w14:paraId="1110591E" w14:textId="16A76255">
      <w:pPr>
        <w:jc w:val="both"/>
        <w:rPr>
          <w:rFonts w:ascii="Times New Roman" w:hAnsi="Times New Roman" w:cs="Times New Roman"/>
          <w:b/>
          <w:sz w:val="24"/>
          <w:szCs w:val="24"/>
          <w:lang w:val="es-PE"/>
        </w:rPr>
      </w:pPr>
      <w:r w:rsidRPr="009C7C2B">
        <w:rPr>
          <w:rFonts w:ascii="Times New Roman" w:hAnsi="Times New Roman" w:cs="Times New Roman"/>
          <w:b/>
          <w:sz w:val="24"/>
          <w:szCs w:val="24"/>
          <w:lang w:val="es-PE"/>
        </w:rPr>
        <w:t>RESUELVE:</w:t>
      </w:r>
    </w:p>
    <w:p w:rsidRPr="009C7C2B" w:rsidR="009C7C2B" w:rsidP="009C7C2B" w:rsidRDefault="009C7C2B" w14:paraId="5AF56F32" w14:textId="2E7401F7">
      <w:pPr>
        <w:jc w:val="both"/>
        <w:rPr>
          <w:rFonts w:ascii="Times New Roman" w:hAnsi="Times New Roman" w:cs="Times New Roman"/>
          <w:b/>
          <w:bCs/>
          <w:sz w:val="24"/>
          <w:szCs w:val="24"/>
          <w:lang w:val="es-PE"/>
        </w:rPr>
      </w:pPr>
      <w:r w:rsidRPr="009C7C2B">
        <w:rPr>
          <w:rFonts w:ascii="Times New Roman" w:hAnsi="Times New Roman" w:cs="Times New Roman"/>
          <w:b/>
          <w:bCs/>
          <w:sz w:val="24"/>
          <w:szCs w:val="24"/>
          <w:u w:val="single"/>
          <w:lang w:val="es-PE"/>
        </w:rPr>
        <w:t>PRIMERO</w:t>
      </w:r>
      <w:r w:rsidRPr="009C7C2B">
        <w:rPr>
          <w:rFonts w:ascii="Times New Roman" w:hAnsi="Times New Roman" w:cs="Times New Roman"/>
          <w:b/>
          <w:bCs/>
          <w:sz w:val="24"/>
          <w:szCs w:val="24"/>
          <w:lang w:val="es-PE"/>
        </w:rPr>
        <w:t xml:space="preserve">. - Rectificar el error material consignado en el cuarto párrafo de la Resolución </w:t>
      </w:r>
      <w:proofErr w:type="spellStart"/>
      <w:r w:rsidRPr="009C7C2B">
        <w:rPr>
          <w:rFonts w:ascii="Times New Roman" w:hAnsi="Times New Roman" w:cs="Times New Roman"/>
          <w:b/>
          <w:bCs/>
          <w:sz w:val="24"/>
          <w:szCs w:val="24"/>
          <w:lang w:val="es-PE"/>
        </w:rPr>
        <w:t>Nro</w:t>
      </w:r>
      <w:proofErr w:type="spellEnd"/>
      <w:r w:rsidRPr="009C7C2B">
        <w:rPr>
          <w:rFonts w:ascii="Times New Roman" w:hAnsi="Times New Roman" w:cs="Times New Roman"/>
          <w:b/>
          <w:bCs/>
          <w:sz w:val="24"/>
          <w:szCs w:val="24"/>
          <w:lang w:val="es-PE"/>
        </w:rPr>
        <w:t xml:space="preserve"> 132/2020, en los siguientes términos:</w:t>
      </w:r>
    </w:p>
    <w:p w:rsidRPr="009C7C2B" w:rsidR="009C7C2B" w:rsidP="009C7C2B" w:rsidRDefault="009C7C2B" w14:paraId="14B7AA7B" w14:textId="77777777">
      <w:pPr>
        <w:jc w:val="both"/>
        <w:rPr>
          <w:rFonts w:ascii="Times New Roman" w:hAnsi="Times New Roman" w:eastAsia="Arial Unicode MS" w:cs="Times New Roman"/>
          <w:b/>
          <w:sz w:val="24"/>
          <w:szCs w:val="24"/>
          <w:lang w:val="es-PE"/>
        </w:rPr>
      </w:pPr>
      <w:r w:rsidRPr="009C7C2B">
        <w:rPr>
          <w:rFonts w:ascii="Times New Roman" w:hAnsi="Times New Roman" w:eastAsia="Arial Unicode MS" w:cs="Times New Roman"/>
          <w:b/>
          <w:sz w:val="24"/>
          <w:szCs w:val="24"/>
          <w:lang w:val="es-PE"/>
        </w:rPr>
        <w:t>DICE:</w:t>
      </w:r>
    </w:p>
    <w:p w:rsidRPr="009C7C2B" w:rsidR="009C7C2B" w:rsidP="009C7C2B" w:rsidRDefault="009C7C2B" w14:paraId="4A1BA86D" w14:textId="337C2537">
      <w:pPr>
        <w:tabs>
          <w:tab w:val="num" w:pos="720"/>
        </w:tabs>
        <w:jc w:val="both"/>
        <w:rPr>
          <w:rFonts w:ascii="Times New Roman" w:hAnsi="Times New Roman" w:eastAsia="Times New Roman" w:cs="Times New Roman"/>
          <w:i/>
          <w:iCs/>
          <w:sz w:val="24"/>
          <w:szCs w:val="24"/>
          <w:lang w:val="es-PE"/>
        </w:rPr>
      </w:pPr>
      <w:r w:rsidRPr="009C7C2B">
        <w:rPr>
          <w:rFonts w:ascii="Times New Roman" w:hAnsi="Times New Roman" w:cs="Times New Roman"/>
          <w:i/>
          <w:iCs/>
          <w:sz w:val="24"/>
          <w:szCs w:val="24"/>
          <w:lang w:val="es-PE"/>
        </w:rPr>
        <w:t>“Que, el 7 de diciembre de 2020 se llevó a cabo la audiencia de vista virtual con la participación de las partes, quienes expusieron sus posiciones y respondieron las preguntas del Colegiado;”</w:t>
      </w:r>
    </w:p>
    <w:p w:rsidRPr="009C7C2B" w:rsidR="009C7C2B" w:rsidP="009C7C2B" w:rsidRDefault="009C7C2B" w14:paraId="22192934" w14:textId="77777777">
      <w:pPr>
        <w:jc w:val="both"/>
        <w:rPr>
          <w:rFonts w:ascii="Times New Roman" w:hAnsi="Times New Roman" w:eastAsia="Arial Unicode MS" w:cs="Times New Roman"/>
          <w:b/>
          <w:sz w:val="24"/>
          <w:szCs w:val="24"/>
          <w:lang w:val="es-PE"/>
        </w:rPr>
      </w:pPr>
      <w:r w:rsidRPr="009C7C2B">
        <w:rPr>
          <w:rFonts w:ascii="Times New Roman" w:hAnsi="Times New Roman" w:eastAsia="Arial Unicode MS" w:cs="Times New Roman"/>
          <w:b/>
          <w:sz w:val="24"/>
          <w:szCs w:val="24"/>
          <w:lang w:val="es-PE"/>
        </w:rPr>
        <w:t>DEBE DECIR:</w:t>
      </w:r>
    </w:p>
    <w:p w:rsidRPr="009C7C2B" w:rsidR="009C7C2B" w:rsidP="009C7C2B" w:rsidRDefault="009C7C2B" w14:paraId="6DDC2C95" w14:textId="3CAC8992">
      <w:pPr>
        <w:tabs>
          <w:tab w:val="num" w:pos="720"/>
        </w:tabs>
        <w:jc w:val="both"/>
        <w:rPr>
          <w:rFonts w:ascii="Times New Roman" w:hAnsi="Times New Roman" w:eastAsia="Times New Roman" w:cs="Times New Roman"/>
          <w:i/>
          <w:iCs/>
          <w:sz w:val="24"/>
          <w:szCs w:val="24"/>
          <w:lang w:val="es-PE"/>
        </w:rPr>
      </w:pPr>
      <w:r w:rsidRPr="009C7C2B">
        <w:rPr>
          <w:rFonts w:ascii="Times New Roman" w:hAnsi="Times New Roman" w:cs="Times New Roman"/>
          <w:i/>
          <w:iCs/>
          <w:sz w:val="24"/>
          <w:szCs w:val="24"/>
          <w:lang w:val="es-PE"/>
        </w:rPr>
        <w:t>“Que, el 7 de diciembre de 2020 se llevó a cabo la audiencia de vista virtual con la participación solo del reclamante, quien expuso su posición y respondió las preguntas del Colegiado;”</w:t>
      </w:r>
    </w:p>
    <w:p w:rsidRPr="009C7C2B" w:rsidR="009C7C2B" w:rsidP="009C7C2B" w:rsidRDefault="009C7C2B" w14:paraId="32A74A43" w14:textId="77777777">
      <w:pPr>
        <w:jc w:val="both"/>
        <w:rPr>
          <w:rFonts w:ascii="Georgia" w:hAnsi="Georgia" w:eastAsia="Times New Roman" w:cs="Arial"/>
          <w:lang w:val="es-PE"/>
        </w:rPr>
      </w:pPr>
      <w:r w:rsidRPr="009C7C2B">
        <w:rPr>
          <w:rFonts w:ascii="Times New Roman" w:hAnsi="Times New Roman" w:eastAsia="Arial Unicode MS" w:cs="Times New Roman"/>
          <w:b/>
          <w:sz w:val="24"/>
          <w:szCs w:val="24"/>
          <w:u w:val="single"/>
          <w:lang w:val="es-PE"/>
        </w:rPr>
        <w:t>SEGUNDO</w:t>
      </w:r>
      <w:r w:rsidRPr="009C7C2B">
        <w:rPr>
          <w:rFonts w:ascii="Times New Roman" w:hAnsi="Times New Roman" w:eastAsia="Arial Unicode MS" w:cs="Times New Roman"/>
          <w:b/>
          <w:sz w:val="24"/>
          <w:szCs w:val="24"/>
          <w:lang w:val="es-PE"/>
        </w:rPr>
        <w:t>. - Declarar INFUNDADO el recurso de impugnación interpuesto y, por consiguiente, CONFIRMAR la Resolución Nro. 132/2020</w:t>
      </w:r>
      <w:r w:rsidRPr="009C7C2B">
        <w:rPr>
          <w:rFonts w:ascii="Georgia" w:hAnsi="Georgia" w:cs="Arial"/>
          <w:lang w:val="es-PE"/>
        </w:rPr>
        <w:t>.</w:t>
      </w:r>
    </w:p>
    <w:p w:rsidRPr="009C7C2B" w:rsidR="006F2F97" w:rsidP="006F2F97" w:rsidRDefault="006F2F97" w14:paraId="5B721050" w14:textId="247DF6C9">
      <w:pPr>
        <w:spacing w:after="0" w:line="240" w:lineRule="auto"/>
        <w:jc w:val="both"/>
        <w:rPr>
          <w:rFonts w:ascii="Times New Roman" w:hAnsi="Times New Roman" w:cs="Times New Roman"/>
          <w:b/>
          <w:sz w:val="24"/>
          <w:szCs w:val="24"/>
          <w:lang w:val="es-PE"/>
        </w:rPr>
      </w:pPr>
    </w:p>
    <w:p w:rsidRPr="009C7C2B" w:rsidR="00077B6F" w:rsidP="00C671F5" w:rsidRDefault="0091528B" w14:paraId="78A39B5B" w14:textId="3B7E2E71">
      <w:pPr>
        <w:suppressAutoHyphens/>
        <w:spacing w:after="0" w:line="240" w:lineRule="auto"/>
        <w:jc w:val="right"/>
        <w:outlineLvl w:val="0"/>
        <w:rPr>
          <w:rFonts w:ascii="Times New Roman" w:hAnsi="Times New Roman" w:eastAsia="Arial Unicode MS" w:cs="Times New Roman"/>
          <w:sz w:val="24"/>
          <w:szCs w:val="24"/>
          <w:lang w:val="es-PE" w:eastAsia="ar-SA"/>
        </w:rPr>
      </w:pPr>
      <w:r w:rsidRPr="009C7C2B">
        <w:rPr>
          <w:rFonts w:ascii="Times New Roman" w:hAnsi="Times New Roman" w:eastAsia="Arial Unicode MS" w:cs="Times New Roman"/>
          <w:sz w:val="24"/>
          <w:szCs w:val="24"/>
          <w:lang w:val="es-PE" w:eastAsia="ar-SA"/>
        </w:rPr>
        <w:t xml:space="preserve">Lima, </w:t>
      </w:r>
      <w:r w:rsidRPr="009C7C2B" w:rsidR="009C7C2B">
        <w:rPr>
          <w:rFonts w:ascii="Times New Roman" w:hAnsi="Times New Roman" w:eastAsia="Arial Unicode MS" w:cs="Times New Roman"/>
          <w:sz w:val="24"/>
          <w:szCs w:val="24"/>
          <w:lang w:val="es-PE" w:eastAsia="ar-SA"/>
        </w:rPr>
        <w:t>22</w:t>
      </w:r>
      <w:r w:rsidRPr="009C7C2B" w:rsidR="00707C99">
        <w:rPr>
          <w:rFonts w:ascii="Times New Roman" w:hAnsi="Times New Roman" w:eastAsia="Arial Unicode MS" w:cs="Times New Roman"/>
          <w:sz w:val="24"/>
          <w:szCs w:val="24"/>
          <w:lang w:val="es-PE" w:eastAsia="ar-SA"/>
        </w:rPr>
        <w:t xml:space="preserve"> de </w:t>
      </w:r>
      <w:r w:rsidRPr="009C7C2B" w:rsidR="00AF16B6">
        <w:rPr>
          <w:rFonts w:ascii="Times New Roman" w:hAnsi="Times New Roman" w:eastAsia="Arial Unicode MS" w:cs="Times New Roman"/>
          <w:sz w:val="24"/>
          <w:szCs w:val="24"/>
          <w:lang w:val="es-PE" w:eastAsia="ar-SA"/>
        </w:rPr>
        <w:t>febrero</w:t>
      </w:r>
      <w:r w:rsidRPr="009C7C2B" w:rsidR="00F06498">
        <w:rPr>
          <w:rFonts w:ascii="Times New Roman" w:hAnsi="Times New Roman" w:eastAsia="Arial Unicode MS" w:cs="Times New Roman"/>
          <w:sz w:val="24"/>
          <w:szCs w:val="24"/>
          <w:lang w:val="es-PE" w:eastAsia="ar-SA"/>
        </w:rPr>
        <w:t xml:space="preserve"> de 202</w:t>
      </w:r>
      <w:r w:rsidRPr="009C7C2B" w:rsidR="00231C58">
        <w:rPr>
          <w:rFonts w:ascii="Times New Roman" w:hAnsi="Times New Roman" w:eastAsia="Arial Unicode MS" w:cs="Times New Roman"/>
          <w:sz w:val="24"/>
          <w:szCs w:val="24"/>
          <w:lang w:val="es-PE" w:eastAsia="ar-SA"/>
        </w:rPr>
        <w:t>1</w:t>
      </w:r>
      <w:r w:rsidRPr="009C7C2B" w:rsidR="00707C99">
        <w:rPr>
          <w:rFonts w:ascii="Times New Roman" w:hAnsi="Times New Roman" w:eastAsia="Times New Roman" w:cs="Times New Roman"/>
          <w:sz w:val="24"/>
          <w:szCs w:val="24"/>
          <w:lang w:val="es-PE" w:eastAsia="ar-SA"/>
        </w:rPr>
        <w:t xml:space="preserve"> </w:t>
      </w:r>
    </w:p>
    <w:p w:rsidRPr="009C7C2B"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9C7C2B"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C7C2B"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9C7C2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C7C2B"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9C7C2B"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9C7C2B">
        <w:rPr>
          <w:rFonts w:ascii="Times New Roman" w:hAnsi="Times New Roman" w:cs="Times New Roman"/>
          <w:b/>
          <w:bCs/>
          <w:sz w:val="24"/>
          <w:szCs w:val="24"/>
          <w:lang w:val="es-PE"/>
        </w:rPr>
        <w:t xml:space="preserve">María Eugenia Valdez Fernández Baca </w:t>
      </w:r>
      <w:r w:rsidRPr="009C7C2B" w:rsidR="00C671F5">
        <w:rPr>
          <w:rFonts w:ascii="Times New Roman" w:hAnsi="Times New Roman" w:cs="Times New Roman"/>
          <w:b/>
          <w:bCs/>
          <w:sz w:val="24"/>
          <w:szCs w:val="24"/>
          <w:lang w:val="es-PE"/>
        </w:rPr>
        <w:t xml:space="preserve">– </w:t>
      </w:r>
      <w:proofErr w:type="gramStart"/>
      <w:r w:rsidRPr="009C7C2B" w:rsidR="00C671F5">
        <w:rPr>
          <w:rFonts w:ascii="Times New Roman" w:hAnsi="Times New Roman" w:cs="Times New Roman"/>
          <w:b/>
          <w:bCs/>
          <w:sz w:val="24"/>
          <w:szCs w:val="24"/>
          <w:lang w:val="es-PE"/>
        </w:rPr>
        <w:t>Presidente</w:t>
      </w:r>
      <w:proofErr w:type="gramEnd"/>
    </w:p>
    <w:p w:rsidRPr="009C7C2B"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9C7C2B">
        <w:rPr>
          <w:rFonts w:ascii="Times New Roman" w:hAnsi="Times New Roman" w:cs="Times New Roman"/>
          <w:b/>
          <w:bCs/>
          <w:sz w:val="24"/>
          <w:szCs w:val="24"/>
          <w:lang w:val="es-PE"/>
        </w:rPr>
        <w:t>Marco Antonio Ortega Piana – Vocal</w:t>
      </w:r>
    </w:p>
    <w:p w:rsidRPr="009C7C2B"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9C7C2B">
        <w:rPr>
          <w:rFonts w:ascii="Times New Roman" w:hAnsi="Times New Roman" w:cs="Times New Roman"/>
          <w:b/>
          <w:bCs/>
          <w:sz w:val="24"/>
          <w:szCs w:val="24"/>
          <w:lang w:val="es-PE"/>
        </w:rPr>
        <w:t xml:space="preserve">Rolando Eyzaguirre </w:t>
      </w:r>
      <w:proofErr w:type="spellStart"/>
      <w:r w:rsidRPr="009C7C2B">
        <w:rPr>
          <w:rFonts w:ascii="Times New Roman" w:hAnsi="Times New Roman" w:cs="Times New Roman"/>
          <w:b/>
          <w:bCs/>
          <w:sz w:val="24"/>
          <w:szCs w:val="24"/>
          <w:lang w:val="es-PE"/>
        </w:rPr>
        <w:t>Maccan</w:t>
      </w:r>
      <w:proofErr w:type="spellEnd"/>
      <w:r w:rsidRPr="009C7C2B">
        <w:rPr>
          <w:rFonts w:ascii="Times New Roman" w:hAnsi="Times New Roman" w:cs="Times New Roman"/>
          <w:b/>
          <w:bCs/>
          <w:sz w:val="24"/>
          <w:szCs w:val="24"/>
          <w:lang w:val="es-PE"/>
        </w:rPr>
        <w:t xml:space="preserve"> – Vocal</w:t>
      </w:r>
    </w:p>
    <w:p w:rsidRPr="009C7C2B"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9C7C2B">
        <w:rPr>
          <w:rFonts w:ascii="Times New Roman" w:hAnsi="Times New Roman" w:cs="Times New Roman"/>
          <w:b/>
          <w:bCs/>
          <w:sz w:val="24"/>
          <w:szCs w:val="24"/>
          <w:lang w:val="es-PE"/>
        </w:rPr>
        <w:t xml:space="preserve">Gonzalo Abad del Busto </w:t>
      </w:r>
      <w:r w:rsidRPr="009C7C2B" w:rsidR="00231C58">
        <w:rPr>
          <w:rFonts w:ascii="Times New Roman" w:hAnsi="Times New Roman" w:cs="Times New Roman"/>
          <w:b/>
          <w:bCs/>
          <w:sz w:val="24"/>
          <w:szCs w:val="24"/>
          <w:lang w:val="es-PE"/>
        </w:rPr>
        <w:t xml:space="preserve">– </w:t>
      </w:r>
      <w:r w:rsidRPr="009C7C2B">
        <w:rPr>
          <w:rFonts w:ascii="Times New Roman" w:hAnsi="Times New Roman" w:cs="Times New Roman"/>
          <w:b/>
          <w:bCs/>
          <w:sz w:val="24"/>
          <w:szCs w:val="24"/>
          <w:lang w:val="es-PE"/>
        </w:rPr>
        <w:t>Vocal</w:t>
      </w:r>
    </w:p>
    <w:p w:rsidRPr="009E7FDD"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E7FDD"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9E7FDD"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A3E88" w:rsidP="00784355" w:rsidRDefault="002A3E88" w14:paraId="358D6822" w14:textId="77777777">
      <w:pPr>
        <w:spacing w:after="0" w:line="240" w:lineRule="auto"/>
      </w:pPr>
      <w:r>
        <w:separator/>
      </w:r>
    </w:p>
  </w:endnote>
  <w:endnote w:type="continuationSeparator" w:id="0">
    <w:p w:rsidR="002A3E88" w:rsidP="00784355" w:rsidRDefault="002A3E88" w14:paraId="20EFA2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A3E88" w:rsidP="00784355" w:rsidRDefault="002A3E88" w14:paraId="2D282DBB" w14:textId="77777777">
      <w:pPr>
        <w:spacing w:after="0" w:line="240" w:lineRule="auto"/>
      </w:pPr>
      <w:r>
        <w:separator/>
      </w:r>
    </w:p>
  </w:footnote>
  <w:footnote w:type="continuationSeparator" w:id="0">
    <w:p w:rsidR="002A3E88" w:rsidP="00784355" w:rsidRDefault="002A3E88" w14:paraId="3A0A3F4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3045E3"/>
    <w:rsid w:val="00313D12"/>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82259"/>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270"/>
    <w:rsid w:val="00A077D2"/>
    <w:rsid w:val="00A16942"/>
    <w:rsid w:val="00A17A72"/>
    <w:rsid w:val="00A23996"/>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4E442EA"/>
    <w:rsid w:val="372E1E93"/>
    <w:rsid w:val="37BD6852"/>
    <w:rsid w:val="423055FA"/>
    <w:rsid w:val="4A26CFF8"/>
    <w:rsid w:val="539B30C6"/>
    <w:rsid w:val="64568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E9B4300-9898-49F0-B715-3369D7BF7792}"/>
</file>

<file path=customXml/itemProps3.xml><?xml version="1.0" encoding="utf-8"?>
<ds:datastoreItem xmlns:ds="http://schemas.openxmlformats.org/officeDocument/2006/customXml" ds:itemID="{E94267B4-2D13-46DD-9DE2-FA01FC77D3EA}"/>
</file>

<file path=customXml/itemProps4.xml><?xml version="1.0" encoding="utf-8"?>
<ds:datastoreItem xmlns:ds="http://schemas.openxmlformats.org/officeDocument/2006/customXml" ds:itemID="{AF28B98E-A4BB-48FF-93BD-AE4B2CBB55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31</cp:revision>
  <cp:lastPrinted>2021-02-22T20:46:00Z</cp:lastPrinted>
  <dcterms:created xsi:type="dcterms:W3CDTF">2020-12-18T20:17:00Z</dcterms:created>
  <dcterms:modified xsi:type="dcterms:W3CDTF">2026-02-02T21:31:30Z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