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224CEE" w:rsidR="00707C99" w:rsidP="00072C60" w:rsidRDefault="00201C0D" w14:paraId="19FE0E96" w14:textId="366E437E">
      <w:pPr>
        <w:spacing w:after="0" w:line="240" w:lineRule="auto"/>
        <w:jc w:val="center"/>
        <w:rPr>
          <w:rFonts w:ascii="Times New Roman" w:hAnsi="Times New Roman" w:cs="Times New Roman"/>
          <w:b/>
          <w:sz w:val="24"/>
          <w:szCs w:val="24"/>
          <w:lang w:val="es-PE" w:eastAsia="ar-SA"/>
        </w:rPr>
      </w:pPr>
      <w:r w:rsidRPr="00224CEE">
        <w:rPr>
          <w:rFonts w:ascii="Times New Roman" w:hAnsi="Times New Roman" w:cs="Times New Roman"/>
          <w:b/>
          <w:sz w:val="24"/>
          <w:szCs w:val="24"/>
          <w:lang w:val="es-PE" w:eastAsia="ar-SA"/>
        </w:rPr>
        <w:t xml:space="preserve">RESOLUCIÓN DE RECURSO IMPUGNATIVO </w:t>
      </w:r>
      <w:proofErr w:type="spellStart"/>
      <w:r w:rsidRPr="00224CEE" w:rsidR="00707C99">
        <w:rPr>
          <w:rFonts w:ascii="Times New Roman" w:hAnsi="Times New Roman" w:cs="Times New Roman"/>
          <w:b/>
          <w:sz w:val="24"/>
          <w:szCs w:val="24"/>
          <w:lang w:val="es-PE" w:eastAsia="ar-SA"/>
        </w:rPr>
        <w:t>N°</w:t>
      </w:r>
      <w:proofErr w:type="spellEnd"/>
      <w:r w:rsidRPr="00224CEE" w:rsidR="00707C99">
        <w:rPr>
          <w:rFonts w:ascii="Times New Roman" w:hAnsi="Times New Roman" w:cs="Times New Roman"/>
          <w:b/>
          <w:sz w:val="24"/>
          <w:szCs w:val="24"/>
          <w:lang w:val="es-PE" w:eastAsia="ar-SA"/>
        </w:rPr>
        <w:t xml:space="preserve"> </w:t>
      </w:r>
      <w:r w:rsidRPr="00224CEE" w:rsidR="00C671F5">
        <w:rPr>
          <w:rFonts w:ascii="Times New Roman" w:hAnsi="Times New Roman" w:cs="Times New Roman"/>
          <w:b/>
          <w:sz w:val="24"/>
          <w:szCs w:val="24"/>
          <w:lang w:val="es-PE" w:eastAsia="ar-SA"/>
        </w:rPr>
        <w:t>0</w:t>
      </w:r>
      <w:r w:rsidRPr="00224CEE" w:rsidR="000752E4">
        <w:rPr>
          <w:rFonts w:ascii="Times New Roman" w:hAnsi="Times New Roman" w:cs="Times New Roman"/>
          <w:b/>
          <w:sz w:val="24"/>
          <w:szCs w:val="24"/>
          <w:lang w:val="es-PE" w:eastAsia="ar-SA"/>
        </w:rPr>
        <w:t>1</w:t>
      </w:r>
      <w:r w:rsidR="00224CEE">
        <w:rPr>
          <w:rFonts w:ascii="Times New Roman" w:hAnsi="Times New Roman" w:cs="Times New Roman"/>
          <w:b/>
          <w:sz w:val="24"/>
          <w:szCs w:val="24"/>
          <w:lang w:val="es-PE" w:eastAsia="ar-SA"/>
        </w:rPr>
        <w:t>7</w:t>
      </w:r>
      <w:r w:rsidRPr="00224CEE" w:rsidR="00C671F5">
        <w:rPr>
          <w:rFonts w:ascii="Times New Roman" w:hAnsi="Times New Roman" w:cs="Times New Roman"/>
          <w:b/>
          <w:sz w:val="24"/>
          <w:szCs w:val="24"/>
          <w:lang w:val="es-PE" w:eastAsia="ar-SA"/>
        </w:rPr>
        <w:t>/2</w:t>
      </w:r>
      <w:r w:rsidRPr="00224CEE" w:rsidR="00231C58">
        <w:rPr>
          <w:rFonts w:ascii="Times New Roman" w:hAnsi="Times New Roman" w:cs="Times New Roman"/>
          <w:b/>
          <w:sz w:val="24"/>
          <w:szCs w:val="24"/>
          <w:lang w:val="es-PE" w:eastAsia="ar-SA"/>
        </w:rPr>
        <w:t>1</w:t>
      </w:r>
    </w:p>
    <w:p w:rsidRPr="00224CEE" w:rsidR="00707C99" w:rsidP="00072C60" w:rsidRDefault="00707C99" w14:paraId="428240E5" w14:textId="06F06948">
      <w:pPr>
        <w:suppressAutoHyphens/>
        <w:spacing w:after="0" w:line="240" w:lineRule="auto"/>
        <w:jc w:val="both"/>
        <w:rPr>
          <w:rFonts w:ascii="Times New Roman" w:hAnsi="Times New Roman" w:eastAsia="Times New Roman" w:cs="Times New Roman"/>
          <w:b/>
          <w:bCs/>
          <w:sz w:val="24"/>
          <w:szCs w:val="24"/>
          <w:lang w:val="es-PE" w:eastAsia="ar-SA"/>
        </w:rPr>
      </w:pPr>
    </w:p>
    <w:p w:rsidRPr="00224CEE" w:rsidR="00B32325" w:rsidP="00072C60" w:rsidRDefault="00B32325" w14:paraId="500397C4" w14:textId="77777777">
      <w:pPr>
        <w:suppressAutoHyphens/>
        <w:spacing w:after="0" w:line="240" w:lineRule="auto"/>
        <w:jc w:val="both"/>
        <w:rPr>
          <w:rFonts w:ascii="Times New Roman" w:hAnsi="Times New Roman" w:eastAsia="Times New Roman" w:cs="Times New Roman"/>
          <w:b/>
          <w:bCs/>
          <w:sz w:val="24"/>
          <w:szCs w:val="24"/>
          <w:lang w:val="es-PE" w:eastAsia="ar-SA"/>
        </w:rPr>
      </w:pPr>
    </w:p>
    <w:p w:rsidRPr="00224CEE" w:rsidR="00224CEE" w:rsidP="00224CEE" w:rsidRDefault="00224CEE" w14:paraId="1132310D" w14:textId="77777777">
      <w:pPr>
        <w:suppressAutoHyphens/>
        <w:spacing w:after="0" w:line="240" w:lineRule="auto"/>
        <w:jc w:val="center"/>
        <w:rPr>
          <w:rFonts w:ascii="Times New Roman" w:hAnsi="Times New Roman" w:eastAsia="Times New Roman" w:cs="Times New Roman"/>
          <w:b/>
          <w:bCs/>
          <w:sz w:val="24"/>
          <w:szCs w:val="24"/>
          <w:lang w:val="es-MX" w:eastAsia="ar-SA"/>
        </w:rPr>
      </w:pPr>
    </w:p>
    <w:p w:rsidRPr="00224CEE" w:rsidR="00224CEE" w:rsidP="00224CEE" w:rsidRDefault="00224CEE" w14:paraId="4D907585" w14:textId="77777777">
      <w:pPr>
        <w:suppressAutoHyphens/>
        <w:spacing w:after="0" w:line="240" w:lineRule="auto"/>
        <w:jc w:val="both"/>
        <w:outlineLvl w:val="0"/>
        <w:rPr>
          <w:rFonts w:ascii="Times New Roman" w:hAnsi="Times New Roman" w:eastAsia="Times New Roman" w:cs="Times New Roman"/>
          <w:b/>
          <w:bCs/>
          <w:sz w:val="24"/>
          <w:szCs w:val="24"/>
          <w:lang w:val="es-MX" w:eastAsia="ar-SA"/>
        </w:rPr>
      </w:pPr>
      <w:r w:rsidRPr="00224CEE">
        <w:rPr>
          <w:rFonts w:ascii="Times New Roman" w:hAnsi="Times New Roman" w:eastAsia="Times New Roman" w:cs="Times New Roman"/>
          <w:b/>
          <w:bCs/>
          <w:sz w:val="24"/>
          <w:szCs w:val="24"/>
          <w:lang w:val="es-MX" w:eastAsia="ar-SA"/>
        </w:rPr>
        <w:t>Vistos:</w:t>
      </w:r>
    </w:p>
    <w:p w:rsidRPr="00224CEE" w:rsidR="00224CEE" w:rsidP="00224CEE" w:rsidRDefault="00224CEE" w14:paraId="39F95931" w14:textId="77777777">
      <w:pPr>
        <w:suppressAutoHyphens/>
        <w:spacing w:after="0" w:line="240" w:lineRule="auto"/>
        <w:jc w:val="both"/>
        <w:rPr>
          <w:rFonts w:ascii="Times New Roman" w:hAnsi="Times New Roman" w:eastAsia="Times New Roman" w:cs="Times New Roman"/>
          <w:b/>
          <w:bCs/>
          <w:sz w:val="24"/>
          <w:szCs w:val="24"/>
          <w:lang w:val="es-MX" w:eastAsia="ar-SA"/>
        </w:rPr>
      </w:pPr>
      <w:r w:rsidRPr="00224CEE">
        <w:rPr>
          <w:rFonts w:ascii="Times New Roman" w:hAnsi="Times New Roman" w:eastAsia="Times New Roman" w:cs="Times New Roman"/>
          <w:b/>
          <w:bCs/>
          <w:sz w:val="24"/>
          <w:szCs w:val="24"/>
          <w:lang w:val="es-MX" w:eastAsia="ar-SA"/>
        </w:rPr>
        <w:t xml:space="preserve">   </w:t>
      </w:r>
    </w:p>
    <w:p w:rsidRPr="00224CEE" w:rsidR="00224CEE" w:rsidP="00224CEE" w:rsidRDefault="00224CEE" w14:paraId="2DDF7987" w14:textId="2BFF98F0">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Times New Roman" w:cs="Times New Roman"/>
          <w:sz w:val="24"/>
          <w:szCs w:val="24"/>
          <w:lang w:val="es-PE" w:eastAsia="es-ES"/>
        </w:rPr>
      </w:pPr>
      <w:r w:rsidRPr="00224CEE">
        <w:rPr>
          <w:rFonts w:ascii="Times New Roman" w:hAnsi="Times New Roman" w:eastAsia="Times New Roman" w:cs="Times New Roman"/>
          <w:sz w:val="24"/>
          <w:szCs w:val="24"/>
          <w:lang w:val="es-ES" w:eastAsia="ar-SA"/>
        </w:rPr>
        <w:t xml:space="preserve">El recurso de impugnación presentado el 8 de febrero de 2021 por don </w:t>
      </w:r>
      <w:r w:rsidRPr="00B32523" w:rsidR="00B32523">
        <w:rPr>
          <w:rFonts w:ascii="Arial" w:hAnsi="Arial" w:cs="Arial"/>
          <w:lang w:val="es-PE"/>
        </w:rPr>
        <w:t>...................</w:t>
      </w:r>
      <w:r w:rsidRPr="00224CEE">
        <w:rPr>
          <w:rFonts w:ascii="Times New Roman" w:hAnsi="Times New Roman" w:cs="Times New Roman"/>
          <w:bCs/>
          <w:sz w:val="24"/>
          <w:szCs w:val="24"/>
          <w:lang w:val="es-ES"/>
        </w:rPr>
        <w:t xml:space="preserve">, </w:t>
      </w:r>
      <w:r w:rsidRPr="00224CEE">
        <w:rPr>
          <w:rFonts w:ascii="Times New Roman" w:hAnsi="Times New Roman" w:eastAsia="Times New Roman" w:cs="Times New Roman"/>
          <w:sz w:val="24"/>
          <w:szCs w:val="24"/>
          <w:lang w:val="es-ES" w:eastAsia="ar-SA"/>
        </w:rPr>
        <w:t>respecto de la Resolución Nro. 007/21, del 1 de febrero de 2021, emitida por esta Defensoría del Asegurado (DEFASEG), que declaró INFUNDADA</w:t>
      </w:r>
      <w:r w:rsidRPr="00224CEE">
        <w:rPr>
          <w:rFonts w:ascii="Times New Roman" w:hAnsi="Times New Roman" w:cs="Times New Roman"/>
          <w:sz w:val="24"/>
          <w:szCs w:val="24"/>
          <w:lang w:val="es-PE"/>
        </w:rPr>
        <w:t xml:space="preserve"> </w:t>
      </w:r>
      <w:r w:rsidRPr="00224CEE">
        <w:rPr>
          <w:rFonts w:ascii="Times New Roman" w:hAnsi="Times New Roman" w:eastAsia="Arial Unicode MS" w:cs="Times New Roman"/>
          <w:sz w:val="24"/>
          <w:szCs w:val="24"/>
          <w:lang w:val="es-PE"/>
        </w:rPr>
        <w:t xml:space="preserve">su reclamación interpuesta contra </w:t>
      </w:r>
      <w:r w:rsidRPr="00B32523" w:rsidR="00B32523">
        <w:rPr>
          <w:rFonts w:ascii="Arial" w:hAnsi="Arial" w:cs="Arial"/>
          <w:lang w:val="es-PE"/>
        </w:rPr>
        <w:t>...................</w:t>
      </w:r>
      <w:r w:rsidRPr="00224CEE">
        <w:rPr>
          <w:rFonts w:ascii="Times New Roman" w:hAnsi="Times New Roman" w:cs="Times New Roman"/>
          <w:bCs/>
          <w:sz w:val="24"/>
          <w:szCs w:val="24"/>
          <w:lang w:val="es-ES"/>
        </w:rPr>
        <w:t xml:space="preserve">, sobre </w:t>
      </w:r>
      <w:r w:rsidRPr="00224CEE">
        <w:rPr>
          <w:rFonts w:ascii="Times New Roman" w:hAnsi="Times New Roman" w:eastAsia="Times New Roman" w:cs="Times New Roman"/>
          <w:sz w:val="24"/>
          <w:szCs w:val="24"/>
          <w:lang w:val="es-PE" w:eastAsia="es-ES"/>
        </w:rPr>
        <w:t xml:space="preserve">otorgamiento de cobertura al siniestro sucedido el 20 de enero de 2019 y que corresponde al fallecimiento del asegurado, su señor padre, don </w:t>
      </w:r>
      <w:r w:rsidRPr="00B32523" w:rsidR="00B32523">
        <w:rPr>
          <w:rFonts w:ascii="Arial" w:hAnsi="Arial" w:cs="Arial"/>
          <w:lang w:val="es-PE"/>
        </w:rPr>
        <w:t>...................</w:t>
      </w:r>
      <w:r w:rsidRPr="00224CEE">
        <w:rPr>
          <w:rFonts w:ascii="Times New Roman" w:hAnsi="Times New Roman" w:eastAsia="Times New Roman" w:cs="Times New Roman"/>
          <w:sz w:val="24"/>
          <w:szCs w:val="24"/>
          <w:lang w:val="es-PE" w:eastAsia="es-ES"/>
        </w:rPr>
        <w:t xml:space="preserve">, de acuerdo a los términos y condiciones del </w:t>
      </w:r>
      <w:r w:rsidRPr="00224CEE">
        <w:rPr>
          <w:rFonts w:ascii="Times New Roman" w:hAnsi="Times New Roman" w:cs="Times New Roman"/>
          <w:sz w:val="24"/>
          <w:szCs w:val="24"/>
          <w:lang w:val="es-ES"/>
        </w:rPr>
        <w:t xml:space="preserve">Seguro de Desgravamen, Póliza Nro. </w:t>
      </w:r>
      <w:r w:rsidRPr="00B32523" w:rsidR="00B32523">
        <w:rPr>
          <w:rFonts w:ascii="Arial" w:hAnsi="Arial" w:cs="Arial"/>
          <w:lang w:val="es-PE"/>
        </w:rPr>
        <w:t>...................</w:t>
      </w:r>
      <w:r w:rsidRPr="00224CEE">
        <w:rPr>
          <w:rFonts w:ascii="Times New Roman" w:hAnsi="Times New Roman" w:cs="Times New Roman"/>
          <w:sz w:val="24"/>
          <w:szCs w:val="24"/>
          <w:lang w:val="es-ES"/>
        </w:rPr>
        <w:t>;</w:t>
      </w:r>
    </w:p>
    <w:p w:rsidRPr="00224CEE" w:rsidR="00224CEE" w:rsidP="00224CEE" w:rsidRDefault="00224CEE" w14:paraId="714609E1" w14:textId="77777777">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Times New Roman" w:cs="Times New Roman"/>
          <w:sz w:val="24"/>
          <w:szCs w:val="24"/>
          <w:lang w:val="es-PE" w:eastAsia="es-ES"/>
        </w:rPr>
      </w:pPr>
    </w:p>
    <w:p w:rsidRPr="00224CEE" w:rsidR="00224CEE" w:rsidP="494CC4A9" w:rsidRDefault="00224CEE" w14:paraId="26F5F4C6" w14:textId="717CEEA2">
      <w:pPr>
        <w:suppressAutoHyphens/>
        <w:spacing w:after="0" w:line="240" w:lineRule="auto"/>
        <w:jc w:val="both"/>
        <w:rPr>
          <w:rFonts w:ascii="Times New Roman" w:hAnsi="Times New Roman" w:eastAsia="Times New Roman" w:cs="Times New Roman"/>
          <w:sz w:val="24"/>
          <w:szCs w:val="24"/>
          <w:lang w:val="es-MX" w:eastAsia="ar-SA"/>
        </w:rPr>
      </w:pPr>
      <w:r w:rsidRPr="494CC4A9" w:rsidR="00224CEE">
        <w:rPr>
          <w:rFonts w:ascii="Times New Roman" w:hAnsi="Times New Roman" w:eastAsia="Times New Roman" w:cs="Times New Roman"/>
          <w:sz w:val="24"/>
          <w:szCs w:val="24"/>
          <w:lang w:val="es-MX" w:eastAsia="ar-SA"/>
        </w:rPr>
        <w:t xml:space="preserve">Que, a través del señalado recurso, se solicita que se revoque la resolución recurrida y se declare fundada la reclamación, atendiendo fundamental y resumidamente a lo siguiente: a) Destaca que existe una contradicción entre los numerales 6.3 y 6.7 de la resolución recurrida; en efecto, en el primero se afirma que la nulidad del contrato invocada por la aseguradora ya ha caducado, empero luego se establece que se procederá a examinar la exclusión de cobertura invocada por la aseguradora, contradicción e inconsistencia que se evidencia en mayor en el numeral 6.11, en el que se afirma que es válido el rechazo por reticencia dolosa, lo cual ya no sería posible en razón del artículo 8 de la Ley del Contrato de Seguro, b) En el numera 6.10 de la resolución recurrida se destaca que en el formato del seguro – Certificado Nro. </w:t>
      </w:r>
      <w:r w:rsidRPr="494CC4A9" w:rsidR="4EB6C55D">
        <w:rPr>
          <w:rFonts w:ascii="Times New Roman" w:hAnsi="Times New Roman" w:eastAsia="Times New Roman" w:cs="Times New Roman"/>
          <w:sz w:val="24"/>
          <w:szCs w:val="24"/>
          <w:lang w:val="es-MX" w:eastAsia="ar-SA"/>
        </w:rPr>
        <w:t>.................</w:t>
      </w:r>
      <w:r w:rsidRPr="494CC4A9" w:rsidR="00224CEE">
        <w:rPr>
          <w:rFonts w:ascii="Times New Roman" w:hAnsi="Times New Roman" w:eastAsia="Times New Roman" w:cs="Times New Roman"/>
          <w:sz w:val="24"/>
          <w:szCs w:val="24"/>
          <w:lang w:val="es-MX" w:eastAsia="ar-SA"/>
        </w:rPr>
        <w:t xml:space="preserve"> no contiene una indicación del régimen de exclusiones, por lo que ante esa falta de información no puede exigirse que su señor padre, quien actuó de buena fe y carecía de conocimientos especializados de seguros, haya debido tener conocimiento de la Ley del Contrato de Seguro y se estime que actuó de a</w:t>
      </w:r>
      <w:r w:rsidRPr="494CC4A9" w:rsidR="00B0406C">
        <w:rPr>
          <w:rFonts w:ascii="Times New Roman" w:hAnsi="Times New Roman" w:eastAsia="Times New Roman" w:cs="Times New Roman"/>
          <w:sz w:val="24"/>
          <w:szCs w:val="24"/>
          <w:lang w:val="es-MX" w:eastAsia="ar-SA"/>
        </w:rPr>
        <w:t xml:space="preserve"> </w:t>
      </w:r>
      <w:r w:rsidRPr="494CC4A9" w:rsidR="00224CEE">
        <w:rPr>
          <w:rFonts w:ascii="Times New Roman" w:hAnsi="Times New Roman" w:eastAsia="Times New Roman" w:cs="Times New Roman"/>
          <w:sz w:val="24"/>
          <w:szCs w:val="24"/>
          <w:lang w:val="es-MX" w:eastAsia="ar-SA"/>
        </w:rPr>
        <w:t xml:space="preserve">la fe, lo cual evidencia un favoritismo hacia </w:t>
      </w:r>
      <w:r w:rsidRPr="494CC4A9" w:rsidR="00B0406C">
        <w:rPr>
          <w:rFonts w:ascii="Arial" w:hAnsi="Arial" w:cs="Arial"/>
          <w:lang w:val="es-PE"/>
        </w:rPr>
        <w:t>...................</w:t>
      </w:r>
      <w:r w:rsidRPr="494CC4A9" w:rsidR="00B0406C">
        <w:rPr>
          <w:rFonts w:ascii="Arial" w:hAnsi="Arial" w:cs="Arial"/>
          <w:lang w:val="es-PE"/>
        </w:rPr>
        <w:t xml:space="preserve"> </w:t>
      </w:r>
      <w:r w:rsidRPr="494CC4A9" w:rsidR="00224CEE">
        <w:rPr>
          <w:rFonts w:ascii="Times New Roman" w:hAnsi="Times New Roman" w:eastAsia="Times New Roman" w:cs="Times New Roman"/>
          <w:sz w:val="24"/>
          <w:szCs w:val="24"/>
          <w:lang w:val="es-MX" w:eastAsia="ar-SA"/>
        </w:rPr>
        <w:t>que vulnera su derecho a la tutela efectiva y a la defensa, y c) Concluye reiterando determinados aspectos de su reclamación que justifican que se revoque lo resuelto y se acoja su reclamación;</w:t>
      </w:r>
    </w:p>
    <w:p w:rsidRPr="00224CEE" w:rsidR="00224CEE" w:rsidP="00224CEE" w:rsidRDefault="00224CEE" w14:paraId="44BC2978"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224CEE" w:rsidR="00224CEE" w:rsidP="00224CEE" w:rsidRDefault="00224CEE" w14:paraId="018FBCC2"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224CEE">
        <w:rPr>
          <w:rFonts w:ascii="Times New Roman" w:hAnsi="Times New Roman" w:eastAsia="Times New Roman" w:cs="Times New Roman"/>
          <w:bCs/>
          <w:sz w:val="24"/>
          <w:szCs w:val="24"/>
          <w:lang w:val="es-MX" w:eastAsia="ar-SA"/>
        </w:rPr>
        <w:t>Que, el señalado recurso impugnativo fue objeto de traslado a la aseguradora, habiéndose vencido el plazo reglamentario sin que ésta haya absuelto el correspondiente trámite;</w:t>
      </w:r>
    </w:p>
    <w:p w:rsidRPr="00224CEE" w:rsidR="00224CEE" w:rsidP="00224CEE" w:rsidRDefault="00224CEE" w14:paraId="024921FE"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224CEE" w:rsidR="00224CEE" w:rsidP="00224CEE" w:rsidRDefault="00224CEE" w14:paraId="4AA9B3A3" w14:textId="77777777">
      <w:pPr>
        <w:suppressAutoHyphens/>
        <w:spacing w:after="0" w:line="240" w:lineRule="auto"/>
        <w:jc w:val="both"/>
        <w:rPr>
          <w:rFonts w:ascii="Times New Roman" w:hAnsi="Times New Roman" w:cs="Times New Roman"/>
          <w:bCs/>
          <w:sz w:val="24"/>
          <w:szCs w:val="24"/>
          <w:lang w:val="es-ES"/>
        </w:rPr>
      </w:pPr>
      <w:r w:rsidRPr="00224CEE">
        <w:rPr>
          <w:rFonts w:ascii="Times New Roman" w:hAnsi="Times New Roman" w:cs="Times New Roman"/>
          <w:bCs/>
          <w:sz w:val="24"/>
          <w:szCs w:val="24"/>
          <w:lang w:val="es-ES"/>
        </w:rPr>
        <w:t>Que, ambas partes han tenido la oportunidad para ejercer su derecho de defensa con relación a la impugnación de la resolución recurrida, siendo que este colegiado estima que está suficientemente informado para resolver de manera definitiva;</w:t>
      </w:r>
    </w:p>
    <w:p w:rsidRPr="00224CEE" w:rsidR="00224CEE" w:rsidP="00224CEE" w:rsidRDefault="00224CEE" w14:paraId="6B5D598D"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224CEE" w:rsidR="00224CEE" w:rsidP="00224CEE" w:rsidRDefault="00224CEE" w14:paraId="774165F0"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224CEE">
        <w:rPr>
          <w:rFonts w:ascii="Times New Roman" w:hAnsi="Times New Roman" w:eastAsia="Times New Roman" w:cs="Times New Roman"/>
          <w:b/>
          <w:bCs/>
          <w:sz w:val="24"/>
          <w:szCs w:val="24"/>
          <w:lang w:val="es-MX" w:eastAsia="ar-SA"/>
        </w:rPr>
        <w:t>Considerando:</w:t>
      </w:r>
    </w:p>
    <w:p w:rsidRPr="00224CEE" w:rsidR="00224CEE" w:rsidP="00224CEE" w:rsidRDefault="00224CEE" w14:paraId="22F0A1CC" w14:textId="77777777">
      <w:pPr>
        <w:suppressAutoHyphens/>
        <w:spacing w:after="0" w:line="240" w:lineRule="auto"/>
        <w:jc w:val="both"/>
        <w:rPr>
          <w:rFonts w:ascii="Times New Roman" w:hAnsi="Times New Roman" w:eastAsia="Times New Roman" w:cs="Times New Roman"/>
          <w:sz w:val="24"/>
          <w:szCs w:val="24"/>
          <w:lang w:val="es-ES" w:eastAsia="ar-SA"/>
        </w:rPr>
      </w:pPr>
    </w:p>
    <w:p w:rsidRPr="00224CEE" w:rsidR="00224CEE" w:rsidP="00224CEE" w:rsidRDefault="00224CEE" w14:paraId="047BE176" w14:textId="77777777">
      <w:pPr>
        <w:spacing w:after="0" w:line="240" w:lineRule="auto"/>
        <w:jc w:val="both"/>
        <w:rPr>
          <w:rFonts w:ascii="Times New Roman" w:hAnsi="Times New Roman" w:cs="Times New Roman"/>
          <w:sz w:val="24"/>
          <w:szCs w:val="24"/>
          <w:lang w:val="es-PE"/>
        </w:rPr>
      </w:pPr>
      <w:r w:rsidRPr="00224CEE">
        <w:rPr>
          <w:rFonts w:ascii="Times New Roman" w:hAnsi="Times New Roman" w:cs="Times New Roman"/>
          <w:b/>
          <w:sz w:val="24"/>
          <w:szCs w:val="24"/>
          <w:u w:val="single"/>
          <w:lang w:val="es-PE"/>
        </w:rPr>
        <w:t>Primero</w:t>
      </w:r>
      <w:r w:rsidRPr="00224CEE">
        <w:rPr>
          <w:rFonts w:ascii="Times New Roman" w:hAnsi="Times New Roman" w:cs="Times New Roman"/>
          <w:b/>
          <w:sz w:val="24"/>
          <w:szCs w:val="24"/>
          <w:lang w:val="es-PE"/>
        </w:rPr>
        <w:t>:</w:t>
      </w:r>
      <w:r w:rsidRPr="00224CEE">
        <w:rPr>
          <w:rFonts w:ascii="Times New Roman" w:hAnsi="Times New Roman" w:cs="Times New Roman"/>
          <w:sz w:val="24"/>
          <w:szCs w:val="24"/>
          <w:lang w:val="es-PE"/>
        </w:rPr>
        <w:t xml:space="preserve"> El Reglamento de la DEFASEG </w:t>
      </w:r>
      <w:r w:rsidRPr="00224CEE">
        <w:rPr>
          <w:rFonts w:ascii="Times New Roman" w:hAnsi="Times New Roman" w:eastAsia="Arial Unicode MS" w:cs="Times New Roman"/>
          <w:sz w:val="24"/>
          <w:szCs w:val="24"/>
          <w:lang w:val="es-PE"/>
        </w:rPr>
        <w:t xml:space="preserve">(http://www.defaseg.com.pe/reglamento), en su artículo 10, </w:t>
      </w:r>
      <w:r w:rsidRPr="00224CEE">
        <w:rPr>
          <w:rFonts w:ascii="Times New Roman" w:hAnsi="Times New Roman" w:cs="Times New Roman"/>
          <w:sz w:val="24"/>
          <w:szCs w:val="24"/>
          <w:lang w:val="es-PE"/>
        </w:rPr>
        <w:t xml:space="preserve">establece que la parte que no se encuentre de acuerdo con lo resuelto en su oportunidad podrá impugnarlo, interponiendo el correspondiente recurso. De manera complementaria, el artículo 11 del indicado reglamento dispone que, el </w:t>
      </w:r>
      <w:r w:rsidRPr="00224CEE">
        <w:rPr>
          <w:rFonts w:ascii="Times New Roman" w:hAnsi="Times New Roman" w:cs="Times New Roman"/>
          <w:sz w:val="24"/>
          <w:szCs w:val="24"/>
          <w:lang w:val="es-ES"/>
        </w:rPr>
        <w:t>usuario de seguro recurre en forma voluntaria a la Defensoría, siendo que la presentación de una reclamación n</w:t>
      </w:r>
      <w:r w:rsidRPr="00224CEE">
        <w:rPr>
          <w:rFonts w:ascii="Times New Roman" w:hAnsi="Times New Roman" w:cs="Times New Roman"/>
          <w:sz w:val="24"/>
          <w:szCs w:val="24"/>
          <w:lang w:val="es-PE"/>
        </w:rPr>
        <w:t>o limita su derecho a recurrir posteriormente ante el órgano administrativo o jurisdiccional que considere pertinente.  Conforme a lo anterior, si el asegurado no se encuentra conforme con lo que sea finalmente resuelto, la respectiva resolución no lo compromete ni le restringe la posibilidad de poder recurrir a las instancias correspondientes, a diferencia de la aseguradora que sí queda comprometida con lo resuelto por la DEFASEG.</w:t>
      </w:r>
    </w:p>
    <w:p w:rsidRPr="00224CEE" w:rsidR="00224CEE" w:rsidP="00224CEE" w:rsidRDefault="00224CEE" w14:paraId="1F8510E2" w14:textId="77777777">
      <w:pPr>
        <w:spacing w:after="0" w:line="240" w:lineRule="auto"/>
        <w:jc w:val="both"/>
        <w:rPr>
          <w:rFonts w:ascii="Times New Roman" w:hAnsi="Times New Roman" w:cs="Times New Roman"/>
          <w:sz w:val="24"/>
          <w:szCs w:val="24"/>
          <w:lang w:val="es-PE"/>
        </w:rPr>
      </w:pPr>
    </w:p>
    <w:p w:rsidRPr="00224CEE" w:rsidR="00224CEE" w:rsidP="00224CEE" w:rsidRDefault="00224CEE" w14:paraId="4EE57D9A" w14:textId="77777777">
      <w:pPr>
        <w:tabs>
          <w:tab w:val="left" w:pos="2160"/>
        </w:tabs>
        <w:spacing w:after="0" w:line="240" w:lineRule="auto"/>
        <w:jc w:val="both"/>
        <w:rPr>
          <w:rFonts w:ascii="Times New Roman" w:hAnsi="Times New Roman" w:cs="Times New Roman"/>
          <w:sz w:val="24"/>
          <w:szCs w:val="24"/>
          <w:lang w:val="es-PE"/>
        </w:rPr>
      </w:pPr>
      <w:r w:rsidRPr="00224CEE">
        <w:rPr>
          <w:rFonts w:ascii="Times New Roman" w:hAnsi="Times New Roman" w:cs="Times New Roman"/>
          <w:b/>
          <w:sz w:val="24"/>
          <w:szCs w:val="24"/>
          <w:u w:val="single"/>
          <w:lang w:val="es-PE"/>
        </w:rPr>
        <w:t>Segundo</w:t>
      </w:r>
      <w:r w:rsidRPr="00224CEE">
        <w:rPr>
          <w:rFonts w:ascii="Times New Roman" w:hAnsi="Times New Roman" w:cs="Times New Roman"/>
          <w:b/>
          <w:sz w:val="24"/>
          <w:szCs w:val="24"/>
          <w:lang w:val="es-PE"/>
        </w:rPr>
        <w:t>:</w:t>
      </w:r>
      <w:r w:rsidRPr="00224CEE">
        <w:rPr>
          <w:rFonts w:ascii="Times New Roman" w:hAnsi="Times New Roman" w:cs="Times New Roman"/>
          <w:sz w:val="24"/>
          <w:szCs w:val="24"/>
          <w:lang w:val="es-PE"/>
        </w:rPr>
        <w:t xml:space="preserve"> Según fue analizado al expedirse la resolución recurrida, el rechazo de cobertura se encuentra finalmente justificado porque el asegurado incurrió en una exclusión de cobertura.  Conforme a ello, este colegiado exhorta al reclamante, y a su asesor letrado, que cuiden de leer serenamente la Resolución Nro.007/21, la misma que no presenta las contradicciones ni inconsistencias que se invocan, siendo además que las imputaciones sobre un supuesto favoritismo, que carecen de respaldo por los actuados y por el sentido de lo resuelto, no suplen las deficiencias argumentativas y probatorias de la reclamación y/o de la impugnación.</w:t>
      </w:r>
    </w:p>
    <w:p w:rsidRPr="00224CEE" w:rsidR="00224CEE" w:rsidP="00224CEE" w:rsidRDefault="00224CEE" w14:paraId="55104C12" w14:textId="77777777">
      <w:pPr>
        <w:tabs>
          <w:tab w:val="left" w:pos="2160"/>
        </w:tabs>
        <w:spacing w:after="0" w:line="240" w:lineRule="auto"/>
        <w:jc w:val="both"/>
        <w:rPr>
          <w:rFonts w:ascii="Times New Roman" w:hAnsi="Times New Roman" w:cs="Times New Roman"/>
          <w:sz w:val="24"/>
          <w:szCs w:val="24"/>
          <w:lang w:val="es-PE"/>
        </w:rPr>
      </w:pPr>
    </w:p>
    <w:p w:rsidRPr="00224CEE" w:rsidR="00224CEE" w:rsidP="00224CEE" w:rsidRDefault="00224CEE" w14:paraId="6D43212F" w14:textId="77777777">
      <w:pPr>
        <w:tabs>
          <w:tab w:val="left" w:pos="2160"/>
        </w:tabs>
        <w:spacing w:after="0" w:line="240" w:lineRule="auto"/>
        <w:jc w:val="both"/>
        <w:rPr>
          <w:rFonts w:ascii="Times New Roman" w:hAnsi="Times New Roman" w:cs="Times New Roman"/>
          <w:sz w:val="24"/>
          <w:szCs w:val="24"/>
          <w:lang w:val="es-PE"/>
        </w:rPr>
      </w:pPr>
      <w:r w:rsidRPr="00224CEE">
        <w:rPr>
          <w:rFonts w:ascii="Times New Roman" w:hAnsi="Times New Roman" w:cs="Times New Roman"/>
          <w:sz w:val="24"/>
          <w:szCs w:val="24"/>
          <w:lang w:val="es-PE"/>
        </w:rPr>
        <w:t>Conforme a lo anterior, en función a lo expresado en el recurso al cual se contrae esta resolución, deben destacarse los aspectos siguientes de la parte considerativa de la resolución recurrida:</w:t>
      </w:r>
    </w:p>
    <w:p w:rsidRPr="00224CEE" w:rsidR="00224CEE" w:rsidP="00224CEE" w:rsidRDefault="00224CEE" w14:paraId="435CEF53" w14:textId="77777777">
      <w:pPr>
        <w:tabs>
          <w:tab w:val="left" w:pos="2160"/>
        </w:tabs>
        <w:spacing w:after="0" w:line="240" w:lineRule="auto"/>
        <w:jc w:val="both"/>
        <w:rPr>
          <w:rFonts w:ascii="Times New Roman" w:hAnsi="Times New Roman" w:cs="Times New Roman"/>
          <w:sz w:val="24"/>
          <w:szCs w:val="24"/>
          <w:lang w:val="es-PE"/>
        </w:rPr>
      </w:pPr>
    </w:p>
    <w:p w:rsidRPr="00224CEE" w:rsidR="00224CEE" w:rsidP="00224CEE" w:rsidRDefault="00224CEE" w14:paraId="5F5628AE" w14:textId="77777777">
      <w:pPr>
        <w:tabs>
          <w:tab w:val="left" w:pos="2160"/>
        </w:tabs>
        <w:spacing w:after="0" w:line="240" w:lineRule="auto"/>
        <w:jc w:val="both"/>
        <w:rPr>
          <w:rFonts w:ascii="Times New Roman" w:hAnsi="Times New Roman" w:cs="Times New Roman"/>
          <w:sz w:val="24"/>
          <w:szCs w:val="24"/>
          <w:lang w:val="es-PE"/>
        </w:rPr>
      </w:pPr>
      <w:r w:rsidRPr="00224CEE">
        <w:rPr>
          <w:rFonts w:ascii="Times New Roman" w:hAnsi="Times New Roman" w:cs="Times New Roman"/>
          <w:sz w:val="24"/>
          <w:szCs w:val="24"/>
          <w:u w:val="single"/>
          <w:lang w:val="es-PE"/>
        </w:rPr>
        <w:t>Primer aspecto</w:t>
      </w:r>
      <w:r w:rsidRPr="00224CEE">
        <w:rPr>
          <w:rFonts w:ascii="Times New Roman" w:hAnsi="Times New Roman" w:cs="Times New Roman"/>
          <w:sz w:val="24"/>
          <w:szCs w:val="24"/>
          <w:lang w:val="es-PE"/>
        </w:rPr>
        <w:t>:</w:t>
      </w:r>
    </w:p>
    <w:p w:rsidRPr="00224CEE" w:rsidR="00224CEE" w:rsidP="00224CEE" w:rsidRDefault="00224CEE" w14:paraId="076379C6" w14:textId="77777777">
      <w:pPr>
        <w:tabs>
          <w:tab w:val="left" w:pos="2160"/>
        </w:tabs>
        <w:spacing w:after="0" w:line="240" w:lineRule="auto"/>
        <w:jc w:val="both"/>
        <w:rPr>
          <w:rFonts w:ascii="Times New Roman" w:hAnsi="Times New Roman" w:eastAsia="Times New Roman" w:cs="Times New Roman"/>
          <w:b/>
          <w:sz w:val="24"/>
          <w:szCs w:val="24"/>
          <w:u w:val="single"/>
          <w:lang w:val="es-ES" w:eastAsia="es-ES"/>
        </w:rPr>
      </w:pPr>
    </w:p>
    <w:p w:rsidRPr="00224CEE" w:rsidR="00224CEE" w:rsidP="00224CEE" w:rsidRDefault="00224CEE" w14:paraId="0E435D40" w14:textId="77777777">
      <w:pPr>
        <w:tabs>
          <w:tab w:val="left" w:pos="2160"/>
        </w:tabs>
        <w:spacing w:after="0" w:line="240" w:lineRule="auto"/>
        <w:ind w:left="709"/>
        <w:jc w:val="both"/>
        <w:rPr>
          <w:rFonts w:ascii="Times New Roman" w:hAnsi="Times New Roman" w:eastAsia="Times New Roman" w:cs="Times New Roman"/>
          <w:i/>
          <w:iCs/>
          <w:sz w:val="24"/>
          <w:szCs w:val="24"/>
          <w:lang w:val="es-PE" w:eastAsia="es-ES"/>
        </w:rPr>
      </w:pPr>
      <w:r w:rsidRPr="00224CEE">
        <w:rPr>
          <w:rFonts w:ascii="Times New Roman" w:hAnsi="Times New Roman" w:eastAsia="Times New Roman" w:cs="Times New Roman"/>
          <w:bCs/>
          <w:i/>
          <w:iCs/>
          <w:sz w:val="24"/>
          <w:szCs w:val="24"/>
          <w:lang w:val="es-ES" w:eastAsia="es-ES"/>
        </w:rPr>
        <w:t>“</w:t>
      </w:r>
      <w:r w:rsidRPr="00224CEE">
        <w:rPr>
          <w:rFonts w:ascii="Times New Roman" w:hAnsi="Times New Roman" w:eastAsia="Times New Roman" w:cs="Times New Roman"/>
          <w:b/>
          <w:i/>
          <w:iCs/>
          <w:sz w:val="24"/>
          <w:szCs w:val="24"/>
          <w:u w:val="single"/>
          <w:lang w:val="es-ES" w:eastAsia="es-ES"/>
        </w:rPr>
        <w:t>Sexto</w:t>
      </w:r>
      <w:r w:rsidRPr="00224CEE">
        <w:rPr>
          <w:rFonts w:ascii="Times New Roman" w:hAnsi="Times New Roman" w:eastAsia="Times New Roman" w:cs="Times New Roman"/>
          <w:b/>
          <w:i/>
          <w:iCs/>
          <w:sz w:val="24"/>
          <w:szCs w:val="24"/>
          <w:lang w:val="es-ES" w:eastAsia="es-ES"/>
        </w:rPr>
        <w:t>:</w:t>
      </w:r>
      <w:r w:rsidRPr="00224CEE">
        <w:rPr>
          <w:rFonts w:ascii="Times New Roman" w:hAnsi="Times New Roman" w:eastAsia="Times New Roman" w:cs="Times New Roman"/>
          <w:b/>
          <w:i/>
          <w:iCs/>
          <w:sz w:val="24"/>
          <w:szCs w:val="24"/>
          <w:lang w:val="es-PE" w:eastAsia="es-ES"/>
        </w:rPr>
        <w:t xml:space="preserve"> </w:t>
      </w:r>
      <w:r w:rsidRPr="00224CEE">
        <w:rPr>
          <w:rFonts w:ascii="Times New Roman" w:hAnsi="Times New Roman" w:eastAsia="Times New Roman" w:cs="Times New Roman"/>
          <w:i/>
          <w:iCs/>
          <w:sz w:val="24"/>
          <w:szCs w:val="24"/>
          <w:lang w:val="es-PE" w:eastAsia="es-ES"/>
        </w:rPr>
        <w:t>Sobre la base de los términos contenidos en la reclamación</w:t>
      </w:r>
      <w:r w:rsidRPr="00224CEE">
        <w:rPr>
          <w:rFonts w:ascii="Times New Roman" w:hAnsi="Times New Roman" w:eastAsia="Times New Roman" w:cs="Times New Roman"/>
          <w:i/>
          <w:iCs/>
          <w:sz w:val="24"/>
          <w:szCs w:val="24"/>
          <w:lang w:val="es-419" w:eastAsia="es-ES"/>
        </w:rPr>
        <w:t xml:space="preserve"> y </w:t>
      </w:r>
      <w:r w:rsidRPr="00224CEE">
        <w:rPr>
          <w:rFonts w:ascii="Times New Roman" w:hAnsi="Times New Roman" w:eastAsia="Times New Roman" w:cs="Times New Roman"/>
          <w:i/>
          <w:iCs/>
          <w:sz w:val="24"/>
          <w:szCs w:val="24"/>
          <w:lang w:val="es-PE" w:eastAsia="es-ES"/>
        </w:rPr>
        <w:t>a lo tratado en la audiencia de vista, la cuestión controvertida radica en determinar si el rechazo de cobertura es legítimo o no.</w:t>
      </w:r>
      <w:r w:rsidRPr="00224CEE">
        <w:rPr>
          <w:rFonts w:ascii="Times New Roman" w:hAnsi="Times New Roman" w:eastAsia="Times New Roman" w:cs="Times New Roman"/>
          <w:b/>
          <w:bCs/>
          <w:i/>
          <w:iCs/>
          <w:sz w:val="24"/>
          <w:szCs w:val="24"/>
          <w:lang w:val="es-PE" w:eastAsia="es-ES"/>
        </w:rPr>
        <w:t xml:space="preserve">  </w:t>
      </w:r>
      <w:r w:rsidRPr="00224CEE">
        <w:rPr>
          <w:rFonts w:ascii="Times New Roman" w:hAnsi="Times New Roman" w:eastAsia="Times New Roman" w:cs="Times New Roman"/>
          <w:i/>
          <w:iCs/>
          <w:sz w:val="24"/>
          <w:szCs w:val="24"/>
          <w:lang w:val="es-PE" w:eastAsia="es-ES"/>
        </w:rPr>
        <w:t xml:space="preserve">Para ello debe considerarse que, conforme al artículo 77 de la Ley Nro. 29946 – Ley del Contrato de Seguro, compete al asegurado probar la ocurrencia del siniestro y la cuantía de la pérdida, si fuera esto último el caso, así como compete a la aseguradora probar las causas que la liberan de su prestación indemnizatoria. </w:t>
      </w:r>
    </w:p>
    <w:p w:rsidRPr="00224CEE" w:rsidR="00224CEE" w:rsidP="00224CEE" w:rsidRDefault="00224CEE" w14:paraId="495D1C31" w14:textId="77777777">
      <w:pPr>
        <w:tabs>
          <w:tab w:val="left" w:pos="2160"/>
        </w:tabs>
        <w:spacing w:after="0" w:line="240" w:lineRule="auto"/>
        <w:ind w:left="709"/>
        <w:jc w:val="both"/>
        <w:rPr>
          <w:rFonts w:ascii="Times New Roman" w:hAnsi="Times New Roman" w:eastAsia="Times New Roman" w:cs="Times New Roman"/>
          <w:i/>
          <w:iCs/>
          <w:sz w:val="24"/>
          <w:szCs w:val="24"/>
          <w:lang w:val="es-PE" w:eastAsia="es-ES"/>
        </w:rPr>
      </w:pPr>
    </w:p>
    <w:p w:rsidRPr="00224CEE" w:rsidR="00224CEE" w:rsidP="00224CEE" w:rsidRDefault="00224CEE" w14:paraId="140F69A2" w14:textId="73068201">
      <w:pPr>
        <w:tabs>
          <w:tab w:val="left" w:pos="2160"/>
        </w:tabs>
        <w:spacing w:after="0" w:line="240" w:lineRule="auto"/>
        <w:ind w:left="709"/>
        <w:jc w:val="both"/>
        <w:rPr>
          <w:rFonts w:ascii="Times New Roman" w:hAnsi="Times New Roman" w:eastAsia="Times New Roman" w:cs="Times New Roman"/>
          <w:i/>
          <w:iCs/>
          <w:sz w:val="24"/>
          <w:szCs w:val="24"/>
          <w:lang w:val="es-PE" w:eastAsia="es-ES"/>
        </w:rPr>
      </w:pPr>
      <w:r w:rsidRPr="00224CEE">
        <w:rPr>
          <w:rFonts w:ascii="Times New Roman" w:hAnsi="Times New Roman" w:eastAsia="Times New Roman" w:cs="Times New Roman"/>
          <w:i/>
          <w:iCs/>
          <w:sz w:val="24"/>
          <w:szCs w:val="24"/>
          <w:lang w:val="es-PE" w:eastAsia="es-ES"/>
        </w:rPr>
        <w:t xml:space="preserve">El rechazo se sustenta en haberse opuesto la exclusión de cobertura consistente en enfermedad preexistente; empero, en sus descargos, </w:t>
      </w:r>
      <w:r w:rsidRPr="00B0406C" w:rsidR="00B0406C">
        <w:rPr>
          <w:rFonts w:ascii="Arial" w:hAnsi="Arial" w:cs="Arial"/>
          <w:lang w:val="es-PE"/>
        </w:rPr>
        <w:t>...................</w:t>
      </w:r>
      <w:r w:rsidRPr="00B0406C" w:rsidR="00B0406C">
        <w:rPr>
          <w:rFonts w:ascii="Arial" w:hAnsi="Arial" w:cs="Arial"/>
          <w:lang w:val="es-PE"/>
        </w:rPr>
        <w:t xml:space="preserve"> </w:t>
      </w:r>
      <w:r w:rsidRPr="00224CEE">
        <w:rPr>
          <w:rFonts w:ascii="Times New Roman" w:hAnsi="Times New Roman" w:eastAsia="Times New Roman" w:cs="Times New Roman"/>
          <w:i/>
          <w:iCs/>
          <w:sz w:val="24"/>
          <w:szCs w:val="24"/>
          <w:lang w:val="es-PE" w:eastAsia="es-ES"/>
        </w:rPr>
        <w:t>invoca además la nulidad del respectivo contrato de seguro por causa de reticencia (dolosa).</w:t>
      </w:r>
    </w:p>
    <w:p w:rsidRPr="00224CEE" w:rsidR="00224CEE" w:rsidP="00224CEE" w:rsidRDefault="00224CEE" w14:paraId="2E54198F" w14:textId="77777777">
      <w:pPr>
        <w:tabs>
          <w:tab w:val="left" w:pos="2160"/>
        </w:tabs>
        <w:spacing w:after="0" w:line="240" w:lineRule="auto"/>
        <w:ind w:left="709"/>
        <w:jc w:val="both"/>
        <w:rPr>
          <w:rFonts w:ascii="Times New Roman" w:hAnsi="Times New Roman" w:eastAsia="Times New Roman" w:cs="Times New Roman"/>
          <w:i/>
          <w:iCs/>
          <w:sz w:val="24"/>
          <w:szCs w:val="24"/>
          <w:lang w:val="es-PE" w:eastAsia="es-ES"/>
        </w:rPr>
      </w:pPr>
    </w:p>
    <w:p w:rsidRPr="00224CEE" w:rsidR="00224CEE" w:rsidP="00224CEE" w:rsidRDefault="00224CEE" w14:paraId="6B655525" w14:textId="77777777">
      <w:pPr>
        <w:tabs>
          <w:tab w:val="left" w:pos="2160"/>
        </w:tabs>
        <w:spacing w:after="0" w:line="240" w:lineRule="auto"/>
        <w:ind w:left="709"/>
        <w:jc w:val="both"/>
        <w:rPr>
          <w:rFonts w:ascii="Times New Roman" w:hAnsi="Times New Roman" w:eastAsia="Times New Roman" w:cs="Times New Roman"/>
          <w:b/>
          <w:bCs/>
          <w:i/>
          <w:iCs/>
          <w:sz w:val="24"/>
          <w:szCs w:val="24"/>
          <w:lang w:val="es-PE" w:eastAsia="es-ES"/>
        </w:rPr>
      </w:pPr>
      <w:r w:rsidRPr="00224CEE">
        <w:rPr>
          <w:rFonts w:ascii="Times New Roman" w:hAnsi="Times New Roman" w:eastAsia="Times New Roman" w:cs="Times New Roman"/>
          <w:i/>
          <w:iCs/>
          <w:sz w:val="24"/>
          <w:szCs w:val="24"/>
          <w:lang w:val="es-PE" w:eastAsia="es-ES"/>
        </w:rPr>
        <w:t>Conforme a ello, este colegiado procederá, en primer lugar, a evaluar lo relativo a la reticencia, dado que la misma se asocia a un tema de validez o nulidad del seguro contratado y, en segundo y subsidiario lugar, evaluará lo relativo a la exclusión invocada, dado que la misma presupone un contrato válido y eficaz, respecto del cual se reclama el otorgamiento de cobertura, siendo que la exclusión permite su rechazo legítimo al delimitar (negativamente) la cobertura contratada.”</w:t>
      </w:r>
    </w:p>
    <w:p w:rsidRPr="00224CEE" w:rsidR="00224CEE" w:rsidP="00224CEE" w:rsidRDefault="00224CEE" w14:paraId="2980503F" w14:textId="77777777">
      <w:pPr>
        <w:tabs>
          <w:tab w:val="left" w:pos="2160"/>
        </w:tabs>
        <w:spacing w:after="0" w:line="240" w:lineRule="auto"/>
        <w:ind w:left="709"/>
        <w:jc w:val="both"/>
        <w:rPr>
          <w:rFonts w:ascii="Times New Roman" w:hAnsi="Times New Roman" w:cs="Times New Roman"/>
          <w:sz w:val="24"/>
          <w:szCs w:val="24"/>
          <w:lang w:val="es-PE"/>
        </w:rPr>
      </w:pPr>
    </w:p>
    <w:p w:rsidRPr="00224CEE" w:rsidR="00224CEE" w:rsidP="00224CEE" w:rsidRDefault="00224CEE" w14:paraId="3A9358A1" w14:textId="77777777">
      <w:pPr>
        <w:tabs>
          <w:tab w:val="left" w:pos="2160"/>
        </w:tabs>
        <w:spacing w:after="0" w:line="240" w:lineRule="auto"/>
        <w:jc w:val="both"/>
        <w:rPr>
          <w:rFonts w:ascii="Times New Roman" w:hAnsi="Times New Roman" w:cs="Times New Roman"/>
          <w:sz w:val="24"/>
          <w:szCs w:val="24"/>
          <w:lang w:val="es-PE"/>
        </w:rPr>
      </w:pPr>
      <w:r w:rsidRPr="00224CEE">
        <w:rPr>
          <w:rFonts w:ascii="Times New Roman" w:hAnsi="Times New Roman" w:cs="Times New Roman"/>
          <w:sz w:val="24"/>
          <w:szCs w:val="24"/>
          <w:lang w:val="es-PE"/>
        </w:rPr>
        <w:t>Según se aprecia, dado que ante la DEFASEG se invocaron dos argumentos de rechazo por parte de la aseguradora, correspondía analizar ambos.  Primero, lo relativo a la reticencia, dado que debía determinarse si el contrato celebrado era finalmente nulo o no.  Y, en segundo lugar, sobre la base que el contrato no adoleciera de nulidad, esto es, sobre la base que fuese válido y eficaz, se pasaría a evaluar si se configuró o no la correspondiente exclusión de enfermedad preexistente.</w:t>
      </w:r>
    </w:p>
    <w:p w:rsidRPr="00224CEE" w:rsidR="00224CEE" w:rsidP="00224CEE" w:rsidRDefault="00224CEE" w14:paraId="41BBE6DD" w14:textId="77777777">
      <w:pPr>
        <w:tabs>
          <w:tab w:val="left" w:pos="2160"/>
        </w:tabs>
        <w:spacing w:after="0" w:line="240" w:lineRule="auto"/>
        <w:jc w:val="both"/>
        <w:rPr>
          <w:rFonts w:ascii="Times New Roman" w:hAnsi="Times New Roman" w:cs="Times New Roman"/>
          <w:sz w:val="24"/>
          <w:szCs w:val="24"/>
          <w:lang w:val="es-PE"/>
        </w:rPr>
      </w:pPr>
    </w:p>
    <w:p w:rsidRPr="00224CEE" w:rsidR="00224CEE" w:rsidP="00224CEE" w:rsidRDefault="00224CEE" w14:paraId="609485F9" w14:textId="118B3936">
      <w:pPr>
        <w:tabs>
          <w:tab w:val="left" w:pos="2160"/>
        </w:tabs>
        <w:spacing w:after="0" w:line="240" w:lineRule="auto"/>
        <w:jc w:val="both"/>
        <w:rPr>
          <w:rFonts w:ascii="Times New Roman" w:hAnsi="Times New Roman" w:cs="Times New Roman"/>
          <w:sz w:val="24"/>
          <w:szCs w:val="24"/>
          <w:lang w:val="es-PE"/>
        </w:rPr>
      </w:pPr>
      <w:r w:rsidRPr="00224CEE">
        <w:rPr>
          <w:rFonts w:ascii="Times New Roman" w:hAnsi="Times New Roman" w:cs="Times New Roman"/>
          <w:sz w:val="24"/>
          <w:szCs w:val="24"/>
          <w:lang w:val="es-PE"/>
        </w:rPr>
        <w:t xml:space="preserve">Se deja constancia que tales figuras no son susceptibles de confundirse.  La reticencia conlleva nulidad, cuya invocación demanda de ciertos requisitos legales que, en el caso concreto, no fueron observados por </w:t>
      </w:r>
      <w:r w:rsidRPr="00BE30C8" w:rsidR="00BE30C8">
        <w:rPr>
          <w:rFonts w:ascii="Arial" w:hAnsi="Arial" w:cs="Arial"/>
          <w:lang w:val="es-PE"/>
        </w:rPr>
        <w:t>...................</w:t>
      </w:r>
      <w:r w:rsidRPr="00224CEE">
        <w:rPr>
          <w:rFonts w:ascii="Times New Roman" w:hAnsi="Times New Roman" w:cs="Times New Roman"/>
          <w:sz w:val="24"/>
          <w:szCs w:val="24"/>
          <w:lang w:val="es-PE"/>
        </w:rPr>
        <w:t xml:space="preserve">.  Empero, la enfermedad preexistente es un tema convencional de exclusión de cobertura, por lo que, de haberse pactado como un caso de ausencia de seguro, su oponibilidad no está subordinada a que se haya desestimado una nulidad por reticencia, identificándose reticencia y enfermedad preexistente.  Conforme se expresa en la resolución recurrida, puede darse la situación en que, no </w:t>
      </w:r>
      <w:proofErr w:type="gramStart"/>
      <w:r w:rsidRPr="00224CEE">
        <w:rPr>
          <w:rFonts w:ascii="Times New Roman" w:hAnsi="Times New Roman" w:cs="Times New Roman"/>
          <w:sz w:val="24"/>
          <w:szCs w:val="24"/>
          <w:lang w:val="es-PE"/>
        </w:rPr>
        <w:t>obstante</w:t>
      </w:r>
      <w:proofErr w:type="gramEnd"/>
      <w:r w:rsidRPr="00224CEE">
        <w:rPr>
          <w:rFonts w:ascii="Times New Roman" w:hAnsi="Times New Roman" w:cs="Times New Roman"/>
          <w:sz w:val="24"/>
          <w:szCs w:val="24"/>
          <w:lang w:val="es-PE"/>
        </w:rPr>
        <w:t xml:space="preserve"> se incurrió en exclusión de </w:t>
      </w:r>
      <w:r w:rsidRPr="00224CEE">
        <w:rPr>
          <w:rFonts w:ascii="Times New Roman" w:hAnsi="Times New Roman" w:cs="Times New Roman"/>
          <w:sz w:val="24"/>
          <w:szCs w:val="24"/>
          <w:lang w:val="es-PE"/>
        </w:rPr>
        <w:t>cobertura, ello no sea oponible al asegurado, o que la pretendida exclusión no corresponda literalmente a lo que fue previsto en el contrato, etc.</w:t>
      </w:r>
    </w:p>
    <w:p w:rsidRPr="00224CEE" w:rsidR="00224CEE" w:rsidP="00224CEE" w:rsidRDefault="00224CEE" w14:paraId="3CE48B8E" w14:textId="77777777">
      <w:pPr>
        <w:tabs>
          <w:tab w:val="left" w:pos="2160"/>
        </w:tabs>
        <w:spacing w:after="0" w:line="240" w:lineRule="auto"/>
        <w:jc w:val="both"/>
        <w:rPr>
          <w:rFonts w:ascii="Times New Roman" w:hAnsi="Times New Roman" w:cs="Times New Roman"/>
          <w:sz w:val="24"/>
          <w:szCs w:val="24"/>
          <w:lang w:val="es-PE"/>
        </w:rPr>
      </w:pPr>
    </w:p>
    <w:p w:rsidRPr="00224CEE" w:rsidR="00224CEE" w:rsidP="00224CEE" w:rsidRDefault="00224CEE" w14:paraId="26CAA838" w14:textId="77777777">
      <w:pPr>
        <w:tabs>
          <w:tab w:val="left" w:pos="2160"/>
        </w:tabs>
        <w:spacing w:after="0" w:line="240" w:lineRule="auto"/>
        <w:jc w:val="both"/>
        <w:rPr>
          <w:rFonts w:ascii="Times New Roman" w:hAnsi="Times New Roman" w:cs="Times New Roman"/>
          <w:sz w:val="24"/>
          <w:szCs w:val="24"/>
          <w:lang w:val="es-PE"/>
        </w:rPr>
      </w:pPr>
      <w:r w:rsidRPr="00224CEE">
        <w:rPr>
          <w:rFonts w:ascii="Times New Roman" w:hAnsi="Times New Roman" w:cs="Times New Roman"/>
          <w:sz w:val="24"/>
          <w:szCs w:val="24"/>
          <w:u w:val="single"/>
          <w:lang w:val="es-PE"/>
        </w:rPr>
        <w:t>Segundo aspecto</w:t>
      </w:r>
      <w:r w:rsidRPr="00224CEE">
        <w:rPr>
          <w:rFonts w:ascii="Times New Roman" w:hAnsi="Times New Roman" w:cs="Times New Roman"/>
          <w:sz w:val="24"/>
          <w:szCs w:val="24"/>
          <w:lang w:val="es-PE"/>
        </w:rPr>
        <w:t>:</w:t>
      </w:r>
    </w:p>
    <w:p w:rsidRPr="00224CEE" w:rsidR="00224CEE" w:rsidP="00224CEE" w:rsidRDefault="00224CEE" w14:paraId="47A439D2" w14:textId="77777777">
      <w:pPr>
        <w:tabs>
          <w:tab w:val="left" w:pos="2160"/>
        </w:tabs>
        <w:spacing w:after="0" w:line="240" w:lineRule="auto"/>
        <w:jc w:val="both"/>
        <w:rPr>
          <w:rFonts w:ascii="Times New Roman" w:hAnsi="Times New Roman" w:cs="Times New Roman"/>
          <w:sz w:val="24"/>
          <w:szCs w:val="24"/>
          <w:lang w:val="es-PE"/>
        </w:rPr>
      </w:pPr>
    </w:p>
    <w:p w:rsidRPr="00224CEE" w:rsidR="00224CEE" w:rsidP="00224CEE" w:rsidRDefault="00224CEE" w14:paraId="024B0017" w14:textId="77777777">
      <w:pPr>
        <w:tabs>
          <w:tab w:val="left" w:pos="2160"/>
        </w:tabs>
        <w:spacing w:after="0" w:line="240" w:lineRule="auto"/>
        <w:jc w:val="both"/>
        <w:rPr>
          <w:rFonts w:ascii="Times New Roman" w:hAnsi="Times New Roman" w:cs="Times New Roman"/>
          <w:sz w:val="24"/>
          <w:szCs w:val="24"/>
          <w:lang w:val="es-PE"/>
        </w:rPr>
      </w:pPr>
      <w:r w:rsidRPr="00224CEE">
        <w:rPr>
          <w:rFonts w:ascii="Times New Roman" w:hAnsi="Times New Roman" w:cs="Times New Roman"/>
          <w:sz w:val="24"/>
          <w:szCs w:val="24"/>
          <w:lang w:val="es-PE"/>
        </w:rPr>
        <w:t>Atendiendo que esta Defensoría parte de la premisa que el reclamante pudiera no conocer necesariamente del régimen legal sobre seguros, o que su asesor letrado pudiera tener una especialidad ajena al derecho de seguros, este colegiado desarrolla de la manera más didáctica en la resolución recurrida lo concerniente al análisis sobre si se configuró o no reticencia, esto es, sobre si es posible invocar o no la nulidad del contrato celebrado en su oportunidad.</w:t>
      </w:r>
    </w:p>
    <w:p w:rsidRPr="00224CEE" w:rsidR="00224CEE" w:rsidP="00224CEE" w:rsidRDefault="00224CEE" w14:paraId="124F1AD2" w14:textId="77777777">
      <w:pPr>
        <w:tabs>
          <w:tab w:val="left" w:pos="2160"/>
        </w:tabs>
        <w:spacing w:after="0" w:line="240" w:lineRule="auto"/>
        <w:jc w:val="both"/>
        <w:rPr>
          <w:rFonts w:ascii="Times New Roman" w:hAnsi="Times New Roman" w:cs="Times New Roman"/>
          <w:i/>
          <w:iCs/>
          <w:sz w:val="24"/>
          <w:szCs w:val="24"/>
          <w:lang w:val="es-PE"/>
        </w:rPr>
      </w:pPr>
    </w:p>
    <w:p w:rsidRPr="00224CEE" w:rsidR="00224CEE" w:rsidP="00224CEE" w:rsidRDefault="00224CEE" w14:paraId="7FC4A10F" w14:textId="77777777">
      <w:pPr>
        <w:ind w:left="1418" w:hanging="709"/>
        <w:jc w:val="both"/>
        <w:rPr>
          <w:rStyle w:val="Textoennegrita"/>
          <w:rFonts w:ascii="Times New Roman" w:hAnsi="Times New Roman" w:cs="Times New Roman"/>
          <w:b w:val="0"/>
          <w:bCs w:val="0"/>
          <w:i/>
          <w:iCs/>
          <w:sz w:val="24"/>
          <w:szCs w:val="24"/>
          <w:lang w:val="es-PE"/>
        </w:rPr>
      </w:pPr>
      <w:r w:rsidRPr="00224CEE">
        <w:rPr>
          <w:rStyle w:val="Textoennegrita"/>
          <w:rFonts w:ascii="Times New Roman" w:hAnsi="Times New Roman" w:cs="Times New Roman"/>
          <w:i/>
          <w:iCs/>
          <w:sz w:val="24"/>
          <w:szCs w:val="24"/>
          <w:lang w:val="es-PE"/>
        </w:rPr>
        <w:t>“6.3.</w:t>
      </w:r>
      <w:r w:rsidRPr="00224CEE">
        <w:rPr>
          <w:rStyle w:val="Textoennegrita"/>
          <w:rFonts w:ascii="Times New Roman" w:hAnsi="Times New Roman" w:cs="Times New Roman"/>
          <w:i/>
          <w:iCs/>
          <w:sz w:val="24"/>
          <w:szCs w:val="24"/>
          <w:lang w:val="es-PE"/>
        </w:rPr>
        <w:tab/>
      </w:r>
      <w:r w:rsidRPr="005819C6">
        <w:rPr>
          <w:rStyle w:val="Textoennegrita"/>
          <w:rFonts w:ascii="Times New Roman" w:hAnsi="Times New Roman" w:cs="Times New Roman"/>
          <w:b w:val="0"/>
          <w:bCs w:val="0"/>
          <w:i/>
          <w:iCs/>
          <w:sz w:val="24"/>
          <w:szCs w:val="24"/>
          <w:lang w:val="es-PE"/>
        </w:rPr>
        <w:t>D</w:t>
      </w:r>
      <w:r w:rsidRPr="00224CEE">
        <w:rPr>
          <w:rFonts w:ascii="Times New Roman" w:hAnsi="Times New Roman" w:cs="Times New Roman"/>
          <w:i/>
          <w:iCs/>
          <w:sz w:val="24"/>
          <w:szCs w:val="24"/>
          <w:lang w:val="es-PE"/>
        </w:rPr>
        <w:t>ebe además considerarse que, conforme al artículo 9 de la Ley del Contrato de Seguro, la aseguradora dispone de treinta (30) días para invocar la respectiva nulidad, plazo que se computa desde que adquiere conocimiento de la reticencia y/o declaración inexacta, debiendo además (dentro de dicho plazo) notificar fehacientemente al contratante o asegurado, siendo un término de caducidad según es sancionado en el artículo 16 de la señalada ley.</w:t>
      </w:r>
    </w:p>
    <w:p w:rsidRPr="00224CEE" w:rsidR="00224CEE" w:rsidP="00224CEE" w:rsidRDefault="00224CEE" w14:paraId="3563CB30" w14:textId="0CEE19D8">
      <w:pPr>
        <w:tabs>
          <w:tab w:val="left" w:pos="709"/>
          <w:tab w:val="left" w:pos="2160"/>
        </w:tabs>
        <w:ind w:left="1418" w:hanging="709"/>
        <w:jc w:val="both"/>
        <w:rPr>
          <w:rFonts w:ascii="Times New Roman" w:hAnsi="Times New Roman" w:cs="Times New Roman"/>
          <w:i/>
          <w:iCs/>
          <w:sz w:val="24"/>
          <w:szCs w:val="24"/>
          <w:lang w:val="es-PE"/>
        </w:rPr>
      </w:pPr>
      <w:r w:rsidRPr="00224CEE">
        <w:rPr>
          <w:rFonts w:ascii="Times New Roman" w:hAnsi="Times New Roman" w:cs="Times New Roman"/>
          <w:i/>
          <w:iCs/>
          <w:sz w:val="24"/>
          <w:szCs w:val="24"/>
          <w:lang w:val="es-PE"/>
        </w:rPr>
        <w:t>6.4.</w:t>
      </w:r>
      <w:r w:rsidRPr="00224CEE">
        <w:rPr>
          <w:rFonts w:ascii="Times New Roman" w:hAnsi="Times New Roman" w:cs="Times New Roman"/>
          <w:i/>
          <w:iCs/>
          <w:sz w:val="24"/>
          <w:szCs w:val="24"/>
          <w:lang w:val="es-PE"/>
        </w:rPr>
        <w:tab/>
      </w:r>
      <w:r w:rsidRPr="00224CEE">
        <w:rPr>
          <w:rFonts w:ascii="Times New Roman" w:hAnsi="Times New Roman" w:cs="Times New Roman"/>
          <w:i/>
          <w:iCs/>
          <w:sz w:val="24"/>
          <w:szCs w:val="24"/>
          <w:lang w:val="es-PE"/>
        </w:rPr>
        <w:t xml:space="preserve">El artículo 10 de la Ley del Contrato de Seguro establece que corresponde que la aseguradora, en el presente caso, </w:t>
      </w:r>
      <w:r w:rsidRPr="00BE30C8" w:rsidR="00BE30C8">
        <w:rPr>
          <w:rFonts w:ascii="Arial" w:hAnsi="Arial" w:cs="Arial"/>
          <w:lang w:val="es-PE"/>
        </w:rPr>
        <w:t>...................</w:t>
      </w:r>
      <w:r w:rsidRPr="00224CEE">
        <w:rPr>
          <w:rFonts w:ascii="Times New Roman" w:hAnsi="Times New Roman" w:cs="Times New Roman"/>
          <w:i/>
          <w:iCs/>
          <w:sz w:val="24"/>
          <w:szCs w:val="24"/>
          <w:lang w:val="es-PE"/>
        </w:rPr>
        <w:t xml:space="preserve">, pruebe la reticencia dolosa como causal que la libera de cualquier obligación, al afectarse la validez misma del contrato.  Como consecuencia de dicha exigencia, y de manera consistente con lo regulado en el artículo 77 de la Ley del Contrato de Seguro, conforme al cual corresponde al asegurado probar la ocurrencia del siniestro y, de ser el caso, su cuantía, siendo que corresponde a la aseguradora demostrar la causa que la libera de indemnizar, </w:t>
      </w:r>
      <w:r w:rsidRPr="00BE30C8" w:rsidR="00BE30C8">
        <w:rPr>
          <w:rFonts w:ascii="Arial" w:hAnsi="Arial" w:cs="Arial"/>
          <w:lang w:val="es-PE"/>
        </w:rPr>
        <w:t>...................</w:t>
      </w:r>
      <w:r w:rsidRPr="00224CEE">
        <w:rPr>
          <w:rFonts w:ascii="Times New Roman" w:hAnsi="Times New Roman" w:cs="Times New Roman"/>
          <w:i/>
          <w:iCs/>
          <w:sz w:val="24"/>
          <w:szCs w:val="24"/>
          <w:lang w:val="es-PE"/>
        </w:rPr>
        <w:t>debe demostrar: (i) que el asegurado no le informó del real estado del riesgo, de su estado de salud, por lo que le ocultó información esencial para fines del seguro, (</w:t>
      </w:r>
      <w:proofErr w:type="spellStart"/>
      <w:r w:rsidRPr="00224CEE">
        <w:rPr>
          <w:rFonts w:ascii="Times New Roman" w:hAnsi="Times New Roman" w:cs="Times New Roman"/>
          <w:i/>
          <w:iCs/>
          <w:sz w:val="24"/>
          <w:szCs w:val="24"/>
          <w:lang w:val="es-PE"/>
        </w:rPr>
        <w:t>ii</w:t>
      </w:r>
      <w:proofErr w:type="spellEnd"/>
      <w:r w:rsidRPr="00224CEE">
        <w:rPr>
          <w:rFonts w:ascii="Times New Roman" w:hAnsi="Times New Roman" w:cs="Times New Roman"/>
          <w:i/>
          <w:iCs/>
          <w:sz w:val="24"/>
          <w:szCs w:val="24"/>
          <w:lang w:val="es-PE"/>
        </w:rPr>
        <w:t>) que ello se deriva de una omisión dolosa (sea en sentido estricto, o en sentido lato, esto es, por culpa inexcusable), (</w:t>
      </w:r>
      <w:proofErr w:type="spellStart"/>
      <w:r w:rsidRPr="00224CEE">
        <w:rPr>
          <w:rFonts w:ascii="Times New Roman" w:hAnsi="Times New Roman" w:cs="Times New Roman"/>
          <w:i/>
          <w:iCs/>
          <w:sz w:val="24"/>
          <w:szCs w:val="24"/>
          <w:lang w:val="es-PE"/>
        </w:rPr>
        <w:t>iii</w:t>
      </w:r>
      <w:proofErr w:type="spellEnd"/>
      <w:r w:rsidRPr="00224CEE">
        <w:rPr>
          <w:rFonts w:ascii="Times New Roman" w:hAnsi="Times New Roman" w:cs="Times New Roman"/>
          <w:i/>
          <w:iCs/>
          <w:sz w:val="24"/>
          <w:szCs w:val="24"/>
          <w:lang w:val="es-PE"/>
        </w:rPr>
        <w:t>) que se tomó conocimiento sobreviniente, y (</w:t>
      </w:r>
      <w:proofErr w:type="spellStart"/>
      <w:r w:rsidRPr="00224CEE">
        <w:rPr>
          <w:rFonts w:ascii="Times New Roman" w:hAnsi="Times New Roman" w:cs="Times New Roman"/>
          <w:i/>
          <w:iCs/>
          <w:sz w:val="24"/>
          <w:szCs w:val="24"/>
          <w:lang w:val="es-PE"/>
        </w:rPr>
        <w:t>iv</w:t>
      </w:r>
      <w:proofErr w:type="spellEnd"/>
      <w:r w:rsidRPr="00224CEE">
        <w:rPr>
          <w:rFonts w:ascii="Times New Roman" w:hAnsi="Times New Roman" w:cs="Times New Roman"/>
          <w:i/>
          <w:iCs/>
          <w:sz w:val="24"/>
          <w:szCs w:val="24"/>
          <w:lang w:val="es-PE"/>
        </w:rPr>
        <w:t>) que se opone fehacientemente la nulidad de manera oportuna, dentro de los treinta (30) días siguientes de la fecha en que se adquirió conocimiento del real estado del riesgo.</w:t>
      </w:r>
    </w:p>
    <w:p w:rsidRPr="00224CEE" w:rsidR="00224CEE" w:rsidP="00224CEE" w:rsidRDefault="00224CEE" w14:paraId="5076CB53" w14:textId="77777777">
      <w:pPr>
        <w:tabs>
          <w:tab w:val="left" w:pos="709"/>
          <w:tab w:val="left" w:pos="2160"/>
        </w:tabs>
        <w:ind w:left="1418" w:hanging="709"/>
        <w:jc w:val="both"/>
        <w:rPr>
          <w:rFonts w:ascii="Times New Roman" w:hAnsi="Times New Roman" w:cs="Times New Roman"/>
          <w:i/>
          <w:iCs/>
          <w:sz w:val="24"/>
          <w:szCs w:val="24"/>
          <w:lang w:val="es-PE"/>
        </w:rPr>
      </w:pPr>
      <w:r w:rsidRPr="00224CEE">
        <w:rPr>
          <w:rFonts w:ascii="Times New Roman" w:hAnsi="Times New Roman" w:cs="Times New Roman"/>
          <w:i/>
          <w:iCs/>
          <w:sz w:val="24"/>
          <w:szCs w:val="24"/>
          <w:lang w:val="es-ES"/>
        </w:rPr>
        <w:t>6.5.</w:t>
      </w:r>
      <w:r w:rsidRPr="00224CEE">
        <w:rPr>
          <w:rFonts w:ascii="Times New Roman" w:hAnsi="Times New Roman" w:cs="Times New Roman"/>
          <w:i/>
          <w:iCs/>
          <w:sz w:val="24"/>
          <w:szCs w:val="24"/>
          <w:lang w:val="es-ES"/>
        </w:rPr>
        <w:tab/>
      </w:r>
      <w:r w:rsidRPr="00224CEE">
        <w:rPr>
          <w:rFonts w:ascii="Times New Roman" w:hAnsi="Times New Roman" w:cs="Times New Roman"/>
          <w:i/>
          <w:iCs/>
          <w:sz w:val="24"/>
          <w:szCs w:val="24"/>
          <w:lang w:val="es-ES"/>
        </w:rPr>
        <w:t xml:space="preserve">Este colegiado tiene muy claro que </w:t>
      </w:r>
      <w:r w:rsidRPr="00224CEE">
        <w:rPr>
          <w:rFonts w:ascii="Times New Roman" w:hAnsi="Times New Roman" w:cs="Times New Roman"/>
          <w:i/>
          <w:iCs/>
          <w:sz w:val="24"/>
          <w:szCs w:val="24"/>
          <w:lang w:val="es-PE"/>
        </w:rPr>
        <w:t>el asegurado debió ser particularmente diligente de informar todo aquello que era significativo o relevante con relación a su real estado de salud, máxime cuando hay una asimetría informativa en la que el dominio de la información lo tiene el propio asegurado, siendo que la empresa aseguradora acepta la declaración de salud y contrata en el marco de una buena fe (principio rector en contratación, y seguros en particular) llevada al extremo máximo: ubérrima buena fe.  Desde una perspectiva de costos, obtener información cierta sobre el real estado de salud de un asegurado podría resultar especialmente oneroso, máxime cuando se trata de información personal, de allí que sea razonable representarse que el solicitante del seguro la comparta, respondiendo honestamente las preguntas que se le pudiesen formular, o informando de aquello que está bajo su íntimo y personal dominio.</w:t>
      </w:r>
    </w:p>
    <w:p w:rsidRPr="00224CEE" w:rsidR="00224CEE" w:rsidP="00224CEE" w:rsidRDefault="00224CEE" w14:paraId="786315A7" w14:textId="6218A45D">
      <w:pPr>
        <w:tabs>
          <w:tab w:val="left" w:pos="709"/>
          <w:tab w:val="left" w:pos="2160"/>
        </w:tabs>
        <w:ind w:left="1418" w:hanging="709"/>
        <w:jc w:val="both"/>
        <w:rPr>
          <w:rFonts w:ascii="Times New Roman" w:hAnsi="Times New Roman" w:cs="Times New Roman"/>
          <w:i/>
          <w:iCs/>
          <w:sz w:val="24"/>
          <w:szCs w:val="24"/>
          <w:lang w:val="es-ES"/>
        </w:rPr>
      </w:pPr>
      <w:r w:rsidRPr="00224CEE">
        <w:rPr>
          <w:rFonts w:ascii="Times New Roman" w:hAnsi="Times New Roman" w:cs="Times New Roman"/>
          <w:i/>
          <w:iCs/>
          <w:sz w:val="24"/>
          <w:szCs w:val="24"/>
          <w:lang w:val="es-PE"/>
        </w:rPr>
        <w:t>6.6.</w:t>
      </w:r>
      <w:r w:rsidRPr="00224CEE">
        <w:rPr>
          <w:rFonts w:ascii="Times New Roman" w:hAnsi="Times New Roman" w:cs="Times New Roman"/>
          <w:i/>
          <w:iCs/>
          <w:sz w:val="24"/>
          <w:szCs w:val="24"/>
          <w:lang w:val="es-PE"/>
        </w:rPr>
        <w:tab/>
      </w:r>
      <w:r w:rsidRPr="00224CEE">
        <w:rPr>
          <w:rFonts w:ascii="Times New Roman" w:hAnsi="Times New Roman" w:cs="Times New Roman"/>
          <w:i/>
          <w:iCs/>
          <w:sz w:val="24"/>
          <w:szCs w:val="24"/>
          <w:lang w:val="es-PE"/>
        </w:rPr>
        <w:t xml:space="preserve">No se aprecia que </w:t>
      </w:r>
      <w:r w:rsidRPr="00BE30C8" w:rsidR="00BE30C8">
        <w:rPr>
          <w:rFonts w:ascii="Arial" w:hAnsi="Arial" w:cs="Arial"/>
          <w:lang w:val="es-PE"/>
        </w:rPr>
        <w:t>...................</w:t>
      </w:r>
      <w:r w:rsidRPr="00BE30C8" w:rsidR="00BE30C8">
        <w:rPr>
          <w:rFonts w:ascii="Arial" w:hAnsi="Arial" w:cs="Arial"/>
          <w:lang w:val="es-PE"/>
        </w:rPr>
        <w:t xml:space="preserve"> </w:t>
      </w:r>
      <w:r w:rsidRPr="00224CEE">
        <w:rPr>
          <w:rFonts w:ascii="Times New Roman" w:hAnsi="Times New Roman" w:cs="Times New Roman"/>
          <w:i/>
          <w:iCs/>
          <w:sz w:val="24"/>
          <w:szCs w:val="24"/>
          <w:lang w:val="es-PE"/>
        </w:rPr>
        <w:t>haya satisfecho todas las exigencias legales señaladas precedentemente.  Según la documentación que obra en el expediente, el rechazo de cobertura es de fecha 1 de</w:t>
      </w:r>
      <w:r w:rsidRPr="00224CEE">
        <w:rPr>
          <w:rFonts w:ascii="Times New Roman" w:hAnsi="Times New Roman" w:cs="Times New Roman"/>
          <w:i/>
          <w:iCs/>
          <w:sz w:val="24"/>
          <w:szCs w:val="24"/>
          <w:lang w:val="es-ES"/>
        </w:rPr>
        <w:t xml:space="preserve"> marzo de 2019 (mediante Carta SV.2019/823) tomando en consideración la historia clínica presentada, siendo que la reticencia es recién invocada con los descargos presentados ante la DEFASEG el 30 de diciembre de 2020, pese a que la aseguradora ya tenía pleno conocimiento del contenido de la historia clínica y que la declaración de salud suscrita en su oportunidad no era consistente con aquélla.  Asimismo, no se aprecia que la reticencia haya sido opuesta de manera fehaciente, cierta, siendo que la práctica de la industria suele identificar dicha fehaciencia con una declaración expresa contenida en una comunicación notarial, dirigida al asegurado.  Queda claro que presentar descargos por una reclamación, dirigidos a la DEFASEG, no es precisamente una comunicación fehaciente.</w:t>
      </w:r>
    </w:p>
    <w:p w:rsidRPr="00224CEE" w:rsidR="00224CEE" w:rsidP="00224CEE" w:rsidRDefault="00224CEE" w14:paraId="0C429418" w14:textId="77777777">
      <w:pPr>
        <w:tabs>
          <w:tab w:val="left" w:pos="709"/>
          <w:tab w:val="left" w:pos="2160"/>
        </w:tabs>
        <w:ind w:left="1418" w:hanging="709"/>
        <w:jc w:val="both"/>
        <w:rPr>
          <w:rFonts w:ascii="Times New Roman" w:hAnsi="Times New Roman" w:cs="Times New Roman"/>
          <w:i/>
          <w:iCs/>
          <w:sz w:val="24"/>
          <w:szCs w:val="24"/>
          <w:lang w:val="es-ES"/>
        </w:rPr>
      </w:pPr>
      <w:r w:rsidRPr="00224CEE">
        <w:rPr>
          <w:rFonts w:ascii="Times New Roman" w:hAnsi="Times New Roman" w:cs="Times New Roman"/>
          <w:i/>
          <w:iCs/>
          <w:sz w:val="24"/>
          <w:szCs w:val="24"/>
          <w:lang w:val="es-ES"/>
        </w:rPr>
        <w:t>6.7.</w:t>
      </w:r>
      <w:r w:rsidRPr="00224CEE">
        <w:rPr>
          <w:rFonts w:ascii="Times New Roman" w:hAnsi="Times New Roman" w:cs="Times New Roman"/>
          <w:i/>
          <w:iCs/>
          <w:sz w:val="24"/>
          <w:szCs w:val="24"/>
          <w:lang w:val="es-ES"/>
        </w:rPr>
        <w:tab/>
      </w:r>
      <w:r w:rsidRPr="00224CEE">
        <w:rPr>
          <w:rFonts w:ascii="Times New Roman" w:hAnsi="Times New Roman" w:cs="Times New Roman"/>
          <w:i/>
          <w:iCs/>
          <w:sz w:val="24"/>
          <w:szCs w:val="24"/>
          <w:lang w:val="es-PE"/>
        </w:rPr>
        <w:t xml:space="preserve">Por las consideraciones expuestas, este colegiado estima que no es legítimo invocar una nulidad del contrato de seguro por causa de reticencia.  En consecuencia, manteniéndose la validez del contrato de seguro, procederá a </w:t>
      </w:r>
      <w:r w:rsidRPr="00224CEE">
        <w:rPr>
          <w:rFonts w:ascii="Times New Roman" w:hAnsi="Times New Roman" w:eastAsia="Times New Roman" w:cs="Times New Roman"/>
          <w:i/>
          <w:iCs/>
          <w:sz w:val="24"/>
          <w:szCs w:val="24"/>
          <w:lang w:val="es-PE" w:eastAsia="es-ES"/>
        </w:rPr>
        <w:t>evaluar lo relativo a la exclusión invocada con ocasión del rechazo de cobertura.”</w:t>
      </w:r>
    </w:p>
    <w:p w:rsidRPr="00224CEE" w:rsidR="00224CEE" w:rsidP="00224CEE" w:rsidRDefault="00224CEE" w14:paraId="713809E6" w14:textId="43102E5B">
      <w:pPr>
        <w:tabs>
          <w:tab w:val="left" w:pos="709"/>
          <w:tab w:val="left" w:pos="2160"/>
        </w:tabs>
        <w:spacing w:after="0" w:line="240" w:lineRule="auto"/>
        <w:ind w:left="709" w:hanging="709"/>
        <w:jc w:val="both"/>
        <w:rPr>
          <w:rFonts w:ascii="Times New Roman" w:hAnsi="Times New Roman" w:cs="Times New Roman"/>
          <w:sz w:val="24"/>
          <w:szCs w:val="24"/>
          <w:lang w:val="es-ES"/>
        </w:rPr>
      </w:pPr>
      <w:r w:rsidRPr="00224CEE">
        <w:rPr>
          <w:rFonts w:ascii="Times New Roman" w:hAnsi="Times New Roman" w:cs="Times New Roman"/>
          <w:sz w:val="24"/>
          <w:szCs w:val="24"/>
          <w:lang w:val="es-ES"/>
        </w:rPr>
        <w:tab/>
      </w:r>
      <w:r w:rsidRPr="00224CEE">
        <w:rPr>
          <w:rFonts w:ascii="Times New Roman" w:hAnsi="Times New Roman" w:cs="Times New Roman"/>
          <w:sz w:val="24"/>
          <w:szCs w:val="24"/>
          <w:lang w:val="es-ES"/>
        </w:rPr>
        <w:t xml:space="preserve">A juicio de este colegiado, el asegurado debió en su momento informar sobre su real estado de salud, y al no hacerlo, incurrió en reticencia, lo cual llevaría a invalidar el contrato irregularmente celebrado, siendo que las explicaciones extendidas por el reclamante, en el sentido que su señor padre habría querido revelar lo pertinente, o que fue inducido a no hacerlo para evitar un rechazo de su solicitud de contratar el seguro, son sólo afirmaciones que carecen de respaldo probatorio, ya que las actas de constatación notarial sólo evidenciarían los correos recibidos y despachados en su oportunidad, y no las conversaciones que se habrían sostenido con relación a ellos, según se afirma.  Siendo consciente de un ocultamiento de información que no está al acceso de la aseguradora, es manifiesta la reticencia dolosa.  Conforme a ello, hubo un comportamiento objetivamente reticente; sin embargo, no es menos cierto que la invocación por </w:t>
      </w:r>
      <w:r w:rsidRPr="00BE30C8" w:rsidR="00BE30C8">
        <w:rPr>
          <w:rFonts w:ascii="Arial" w:hAnsi="Arial" w:cs="Arial"/>
          <w:lang w:val="es-PE"/>
        </w:rPr>
        <w:t>...................</w:t>
      </w:r>
      <w:r w:rsidRPr="00BE30C8" w:rsidR="00BE30C8">
        <w:rPr>
          <w:rFonts w:ascii="Arial" w:hAnsi="Arial" w:cs="Arial"/>
          <w:lang w:val="es-PE"/>
        </w:rPr>
        <w:t xml:space="preserve"> </w:t>
      </w:r>
      <w:r w:rsidRPr="00224CEE">
        <w:rPr>
          <w:rFonts w:ascii="Times New Roman" w:hAnsi="Times New Roman" w:cs="Times New Roman"/>
          <w:sz w:val="24"/>
          <w:szCs w:val="24"/>
          <w:lang w:val="es-ES"/>
        </w:rPr>
        <w:t>fue extemporánea y carente de fehaciencia, razones de oportunidad y forma por las cuales este colegiado desestimó el rechazo por reticencia dolosa.</w:t>
      </w:r>
    </w:p>
    <w:p w:rsidRPr="00224CEE" w:rsidR="00224CEE" w:rsidP="00224CEE" w:rsidRDefault="00224CEE" w14:paraId="0DE0AAB4" w14:textId="77777777">
      <w:pPr>
        <w:tabs>
          <w:tab w:val="left" w:pos="709"/>
          <w:tab w:val="left" w:pos="2160"/>
        </w:tabs>
        <w:spacing w:after="0" w:line="240" w:lineRule="auto"/>
        <w:ind w:left="709" w:hanging="709"/>
        <w:jc w:val="both"/>
        <w:rPr>
          <w:rFonts w:ascii="Times New Roman" w:hAnsi="Times New Roman" w:cs="Times New Roman"/>
          <w:sz w:val="24"/>
          <w:szCs w:val="24"/>
          <w:lang w:val="es-ES"/>
        </w:rPr>
      </w:pPr>
    </w:p>
    <w:p w:rsidRPr="00224CEE" w:rsidR="00224CEE" w:rsidP="00224CEE" w:rsidRDefault="00224CEE" w14:paraId="7F016F76" w14:textId="77777777">
      <w:pPr>
        <w:tabs>
          <w:tab w:val="left" w:pos="709"/>
          <w:tab w:val="left" w:pos="2160"/>
        </w:tabs>
        <w:spacing w:after="0" w:line="240" w:lineRule="auto"/>
        <w:ind w:left="709" w:hanging="709"/>
        <w:jc w:val="both"/>
        <w:rPr>
          <w:rFonts w:ascii="Times New Roman" w:hAnsi="Times New Roman" w:cs="Times New Roman"/>
          <w:sz w:val="24"/>
          <w:szCs w:val="24"/>
          <w:lang w:val="es-ES"/>
        </w:rPr>
      </w:pPr>
      <w:r w:rsidRPr="00224CEE">
        <w:rPr>
          <w:rFonts w:ascii="Times New Roman" w:hAnsi="Times New Roman" w:cs="Times New Roman"/>
          <w:sz w:val="24"/>
          <w:szCs w:val="24"/>
          <w:lang w:val="es-ES"/>
        </w:rPr>
        <w:tab/>
      </w:r>
      <w:r w:rsidRPr="00224CEE">
        <w:rPr>
          <w:rFonts w:ascii="Times New Roman" w:hAnsi="Times New Roman" w:cs="Times New Roman"/>
          <w:sz w:val="24"/>
          <w:szCs w:val="24"/>
          <w:lang w:val="es-ES"/>
        </w:rPr>
        <w:t>Desestimándose la reticencia, manteniéndose la validez del contrato, el colegiado pasó a examinar si se incurrió o no en causal de exclusión de cobertura.</w:t>
      </w:r>
    </w:p>
    <w:p w:rsidRPr="00224CEE" w:rsidR="00224CEE" w:rsidP="00224CEE" w:rsidRDefault="00224CEE" w14:paraId="751E0B48" w14:textId="77777777">
      <w:pPr>
        <w:tabs>
          <w:tab w:val="left" w:pos="709"/>
          <w:tab w:val="left" w:pos="2160"/>
        </w:tabs>
        <w:spacing w:after="0" w:line="240" w:lineRule="auto"/>
        <w:ind w:left="709" w:hanging="709"/>
        <w:jc w:val="both"/>
        <w:rPr>
          <w:rFonts w:ascii="Times New Roman" w:hAnsi="Times New Roman" w:cs="Times New Roman"/>
          <w:sz w:val="24"/>
          <w:szCs w:val="24"/>
          <w:lang w:val="es-ES"/>
        </w:rPr>
      </w:pPr>
    </w:p>
    <w:p w:rsidRPr="00224CEE" w:rsidR="00224CEE" w:rsidP="00224CEE" w:rsidRDefault="00224CEE" w14:paraId="1CA3CE75" w14:textId="77777777">
      <w:pPr>
        <w:tabs>
          <w:tab w:val="left" w:pos="2160"/>
        </w:tabs>
        <w:spacing w:after="0" w:line="240" w:lineRule="auto"/>
        <w:jc w:val="both"/>
        <w:rPr>
          <w:rFonts w:ascii="Times New Roman" w:hAnsi="Times New Roman" w:cs="Times New Roman"/>
          <w:sz w:val="24"/>
          <w:szCs w:val="24"/>
          <w:lang w:val="es-PE"/>
        </w:rPr>
      </w:pPr>
      <w:r w:rsidRPr="00224CEE">
        <w:rPr>
          <w:rFonts w:ascii="Times New Roman" w:hAnsi="Times New Roman" w:cs="Times New Roman"/>
          <w:sz w:val="24"/>
          <w:szCs w:val="24"/>
          <w:u w:val="single"/>
          <w:lang w:val="es-PE"/>
        </w:rPr>
        <w:t>Tercer aspecto</w:t>
      </w:r>
      <w:r w:rsidRPr="00224CEE">
        <w:rPr>
          <w:rFonts w:ascii="Times New Roman" w:hAnsi="Times New Roman" w:cs="Times New Roman"/>
          <w:sz w:val="24"/>
          <w:szCs w:val="24"/>
          <w:lang w:val="es-PE"/>
        </w:rPr>
        <w:t>:</w:t>
      </w:r>
    </w:p>
    <w:p w:rsidRPr="00224CEE" w:rsidR="00224CEE" w:rsidP="00224CEE" w:rsidRDefault="00224CEE" w14:paraId="53341760" w14:textId="77777777">
      <w:pPr>
        <w:tabs>
          <w:tab w:val="left" w:pos="2160"/>
        </w:tabs>
        <w:spacing w:after="0" w:line="240" w:lineRule="auto"/>
        <w:jc w:val="both"/>
        <w:rPr>
          <w:rFonts w:ascii="Times New Roman" w:hAnsi="Times New Roman" w:cs="Times New Roman"/>
          <w:sz w:val="24"/>
          <w:szCs w:val="24"/>
          <w:lang w:val="es-PE"/>
        </w:rPr>
      </w:pPr>
    </w:p>
    <w:p w:rsidRPr="00224CEE" w:rsidR="00224CEE" w:rsidP="00224CEE" w:rsidRDefault="00224CEE" w14:paraId="1071928C" w14:textId="77777777">
      <w:pPr>
        <w:tabs>
          <w:tab w:val="left" w:pos="2160"/>
        </w:tabs>
        <w:spacing w:after="0" w:line="240" w:lineRule="auto"/>
        <w:jc w:val="both"/>
        <w:rPr>
          <w:rFonts w:ascii="Times New Roman" w:hAnsi="Times New Roman" w:cs="Times New Roman"/>
          <w:sz w:val="24"/>
          <w:szCs w:val="24"/>
          <w:lang w:val="es-PE"/>
        </w:rPr>
      </w:pPr>
      <w:r w:rsidRPr="00224CEE">
        <w:rPr>
          <w:rFonts w:ascii="Times New Roman" w:hAnsi="Times New Roman" w:cs="Times New Roman"/>
          <w:sz w:val="24"/>
          <w:szCs w:val="24"/>
          <w:lang w:val="es-PE"/>
        </w:rPr>
        <w:t>Los hechos no son controvertidos, siendo que el reclamante sostiene -con ocasión de interponer el recurso de revisión, no antes- que no se conoció oportunamente del contenido del régimen de exclusiones. Empero, conforme fue evaluado en su oportunidad, este colegiado, al analizar lo relativo a si la exclusión invocada sería oponible o no, estimó que, al recibirse la póliza completa, por declaración propia del asegurado, según se trató en la audiencia de vista, si se conoció del régimen de exclusiones, por lo que la actual aseveración carece de sustento.</w:t>
      </w:r>
    </w:p>
    <w:p w:rsidRPr="00224CEE" w:rsidR="00224CEE" w:rsidP="00224CEE" w:rsidRDefault="00224CEE" w14:paraId="700FC213" w14:textId="77777777">
      <w:pPr>
        <w:tabs>
          <w:tab w:val="left" w:pos="2160"/>
        </w:tabs>
        <w:spacing w:after="0" w:line="240" w:lineRule="auto"/>
        <w:jc w:val="both"/>
        <w:rPr>
          <w:rFonts w:ascii="Times New Roman" w:hAnsi="Times New Roman" w:cs="Times New Roman"/>
          <w:sz w:val="24"/>
          <w:szCs w:val="24"/>
          <w:lang w:val="es-PE"/>
        </w:rPr>
      </w:pPr>
    </w:p>
    <w:p w:rsidRPr="00224CEE" w:rsidR="00224CEE" w:rsidP="00224CEE" w:rsidRDefault="00224CEE" w14:paraId="27953C1A" w14:textId="2E80FBD6">
      <w:pPr>
        <w:tabs>
          <w:tab w:val="left" w:pos="1418"/>
          <w:tab w:val="left" w:pos="2160"/>
          <w:tab w:val="left" w:pos="2977"/>
          <w:tab w:val="left" w:pos="4248"/>
          <w:tab w:val="left" w:pos="4956"/>
          <w:tab w:val="left" w:pos="5664"/>
          <w:tab w:val="left" w:pos="6372"/>
          <w:tab w:val="left" w:pos="7125"/>
        </w:tabs>
        <w:spacing w:after="0" w:line="240" w:lineRule="auto"/>
        <w:ind w:left="1418" w:hanging="709"/>
        <w:jc w:val="both"/>
        <w:rPr>
          <w:rFonts w:ascii="Times New Roman" w:hAnsi="Times New Roman" w:cs="Times New Roman"/>
          <w:i/>
          <w:iCs/>
          <w:sz w:val="24"/>
          <w:szCs w:val="24"/>
          <w:lang w:val="es-ES"/>
        </w:rPr>
      </w:pPr>
      <w:r w:rsidRPr="00224CEE">
        <w:rPr>
          <w:rStyle w:val="Textoennegrita"/>
          <w:rFonts w:ascii="Times New Roman" w:hAnsi="Times New Roman" w:cs="Times New Roman"/>
          <w:i/>
          <w:iCs/>
          <w:sz w:val="24"/>
          <w:szCs w:val="24"/>
          <w:lang w:val="es-PE"/>
        </w:rPr>
        <w:t>“6.10.</w:t>
      </w:r>
      <w:r w:rsidRPr="00224CEE">
        <w:rPr>
          <w:rStyle w:val="Textoennegrita"/>
          <w:rFonts w:ascii="Times New Roman" w:hAnsi="Times New Roman" w:cs="Times New Roman"/>
          <w:i/>
          <w:iCs/>
          <w:sz w:val="24"/>
          <w:szCs w:val="24"/>
          <w:lang w:val="es-PE"/>
        </w:rPr>
        <w:tab/>
      </w:r>
      <w:r w:rsidRPr="00224CEE">
        <w:rPr>
          <w:rStyle w:val="Textoennegrita"/>
          <w:rFonts w:ascii="Times New Roman" w:hAnsi="Times New Roman" w:cs="Times New Roman"/>
          <w:i/>
          <w:iCs/>
          <w:sz w:val="24"/>
          <w:szCs w:val="24"/>
          <w:lang w:val="es-PE"/>
        </w:rPr>
        <w:t xml:space="preserve">De manera correlativa, tratándose del certificado de seguro, en atención a que el asegurado se afilió a un seguro del cual no fue parte contratante, el mismo no contiene la referencia a la señalada exclusión; es más, el formato correspondiente denominado Seguro de Exención de Pagos – Pandero, Certificado Nro. </w:t>
      </w:r>
      <w:r w:rsidRPr="00BE30C8" w:rsidR="00BE30C8">
        <w:rPr>
          <w:rFonts w:ascii="Arial" w:hAnsi="Arial" w:cs="Arial"/>
          <w:lang w:val="es-PE"/>
        </w:rPr>
        <w:t>...................</w:t>
      </w:r>
      <w:r w:rsidRPr="00224CEE">
        <w:rPr>
          <w:rStyle w:val="Textoennegrita"/>
          <w:rFonts w:ascii="Times New Roman" w:hAnsi="Times New Roman" w:cs="Times New Roman"/>
          <w:i/>
          <w:iCs/>
          <w:sz w:val="24"/>
          <w:szCs w:val="24"/>
          <w:lang w:val="es-PE"/>
        </w:rPr>
        <w:t xml:space="preserve"> presenta al menos dos aspectos que derivan en cuestionamientos: (i) No refiere a la </w:t>
      </w:r>
      <w:r w:rsidRPr="00224CEE">
        <w:rPr>
          <w:rFonts w:ascii="Times New Roman" w:hAnsi="Times New Roman" w:cs="Times New Roman"/>
          <w:i/>
          <w:iCs/>
          <w:sz w:val="24"/>
          <w:szCs w:val="24"/>
          <w:lang w:val="es-ES"/>
        </w:rPr>
        <w:t xml:space="preserve">Póliza Nro. </w:t>
      </w:r>
      <w:r w:rsidRPr="00BE30C8" w:rsidR="00BE30C8">
        <w:rPr>
          <w:rFonts w:ascii="Arial" w:hAnsi="Arial" w:cs="Arial"/>
          <w:lang w:val="es-PE"/>
        </w:rPr>
        <w:t>...................</w:t>
      </w:r>
      <w:r w:rsidRPr="00224CEE">
        <w:rPr>
          <w:rFonts w:ascii="Times New Roman" w:hAnsi="Times New Roman" w:cs="Times New Roman"/>
          <w:i/>
          <w:iCs/>
          <w:sz w:val="24"/>
          <w:szCs w:val="24"/>
          <w:lang w:val="es-ES"/>
        </w:rPr>
        <w:t xml:space="preserve">, que ha sido invocada por </w:t>
      </w:r>
      <w:r w:rsidRPr="00BE30C8" w:rsidR="00BE30C8">
        <w:rPr>
          <w:rFonts w:ascii="Arial" w:hAnsi="Arial" w:cs="Arial"/>
          <w:lang w:val="es-PE"/>
        </w:rPr>
        <w:t>...................</w:t>
      </w:r>
      <w:r w:rsidRPr="00BE30C8" w:rsidR="00BE30C8">
        <w:rPr>
          <w:rFonts w:ascii="Arial" w:hAnsi="Arial" w:cs="Arial"/>
          <w:lang w:val="es-PE"/>
        </w:rPr>
        <w:t xml:space="preserve"> </w:t>
      </w:r>
      <w:r w:rsidRPr="00224CEE">
        <w:rPr>
          <w:rFonts w:ascii="Times New Roman" w:hAnsi="Times New Roman" w:cs="Times New Roman"/>
          <w:i/>
          <w:iCs/>
          <w:sz w:val="24"/>
          <w:szCs w:val="24"/>
          <w:lang w:val="es-ES"/>
        </w:rPr>
        <w:t xml:space="preserve">para fines del caso, sino a las Pólizas </w:t>
      </w:r>
      <w:proofErr w:type="spellStart"/>
      <w:r w:rsidRPr="00224CEE">
        <w:rPr>
          <w:rFonts w:ascii="Times New Roman" w:hAnsi="Times New Roman" w:cs="Times New Roman"/>
          <w:i/>
          <w:iCs/>
          <w:sz w:val="24"/>
          <w:szCs w:val="24"/>
          <w:lang w:val="es-ES"/>
        </w:rPr>
        <w:t>Nros</w:t>
      </w:r>
      <w:proofErr w:type="spellEnd"/>
      <w:r w:rsidRPr="00224CEE">
        <w:rPr>
          <w:rFonts w:ascii="Times New Roman" w:hAnsi="Times New Roman" w:cs="Times New Roman"/>
          <w:i/>
          <w:iCs/>
          <w:sz w:val="24"/>
          <w:szCs w:val="24"/>
          <w:lang w:val="es-ES"/>
        </w:rPr>
        <w:t xml:space="preserve">. </w:t>
      </w:r>
      <w:r w:rsidRPr="00BE30C8" w:rsidR="00BE30C8">
        <w:rPr>
          <w:rFonts w:ascii="Arial" w:hAnsi="Arial" w:cs="Arial"/>
          <w:lang w:val="es-PE"/>
        </w:rPr>
        <w:t>...................</w:t>
      </w:r>
      <w:r w:rsidRPr="00BE30C8" w:rsidR="00BE30C8">
        <w:rPr>
          <w:rFonts w:ascii="Arial" w:hAnsi="Arial" w:cs="Arial"/>
          <w:lang w:val="es-PE"/>
        </w:rPr>
        <w:t xml:space="preserve"> </w:t>
      </w:r>
      <w:r w:rsidRPr="00224CEE">
        <w:rPr>
          <w:rFonts w:ascii="Times New Roman" w:hAnsi="Times New Roman" w:cs="Times New Roman"/>
          <w:i/>
          <w:iCs/>
          <w:sz w:val="24"/>
          <w:szCs w:val="24"/>
          <w:lang w:val="es-ES"/>
        </w:rPr>
        <w:t xml:space="preserve">y </w:t>
      </w:r>
      <w:r w:rsidRPr="00BE30C8" w:rsidR="00BE30C8">
        <w:rPr>
          <w:rFonts w:ascii="Arial" w:hAnsi="Arial" w:cs="Arial"/>
          <w:lang w:val="es-PE"/>
        </w:rPr>
        <w:t>...................</w:t>
      </w:r>
      <w:r w:rsidRPr="00224CEE">
        <w:rPr>
          <w:rFonts w:ascii="Times New Roman" w:hAnsi="Times New Roman" w:cs="Times New Roman"/>
          <w:i/>
          <w:iCs/>
          <w:sz w:val="24"/>
          <w:szCs w:val="24"/>
          <w:lang w:val="es-ES"/>
        </w:rPr>
        <w:t>, en dólares y soles, respectivamente, y (</w:t>
      </w:r>
      <w:proofErr w:type="spellStart"/>
      <w:r w:rsidRPr="00224CEE">
        <w:rPr>
          <w:rFonts w:ascii="Times New Roman" w:hAnsi="Times New Roman" w:cs="Times New Roman"/>
          <w:i/>
          <w:iCs/>
          <w:sz w:val="24"/>
          <w:szCs w:val="24"/>
          <w:lang w:val="es-ES"/>
        </w:rPr>
        <w:t>ii</w:t>
      </w:r>
      <w:proofErr w:type="spellEnd"/>
      <w:r w:rsidRPr="00224CEE">
        <w:rPr>
          <w:rFonts w:ascii="Times New Roman" w:hAnsi="Times New Roman" w:cs="Times New Roman"/>
          <w:i/>
          <w:iCs/>
          <w:sz w:val="24"/>
          <w:szCs w:val="24"/>
          <w:lang w:val="es-ES"/>
        </w:rPr>
        <w:t xml:space="preserve">) Hace referencia al artículo 376 del Código de Comercio, en cuanto al régimen sobre reticencia, siendo que a la fecha de su pretendida suscripción (noviembre de 2018), dicha norma ya había sido derogada por la Ley Nro. 29946 – Ley del Contrato de seguro, promulgada en noviembre de 2012, y vigente desde mayo de 2013, esto es, cinco años antes de la afiliación del seguro.  </w:t>
      </w:r>
    </w:p>
    <w:p w:rsidRPr="00224CEE" w:rsidR="00224CEE" w:rsidP="00224CEE" w:rsidRDefault="00224CEE" w14:paraId="232F8C30" w14:textId="77777777">
      <w:pPr>
        <w:tabs>
          <w:tab w:val="left" w:pos="1418"/>
          <w:tab w:val="left" w:pos="2160"/>
          <w:tab w:val="left" w:pos="2977"/>
          <w:tab w:val="left" w:pos="4248"/>
          <w:tab w:val="left" w:pos="4956"/>
          <w:tab w:val="left" w:pos="5664"/>
          <w:tab w:val="left" w:pos="6372"/>
          <w:tab w:val="left" w:pos="7125"/>
        </w:tabs>
        <w:spacing w:after="0" w:line="240" w:lineRule="auto"/>
        <w:ind w:left="1418" w:hanging="709"/>
        <w:jc w:val="both"/>
        <w:rPr>
          <w:rFonts w:ascii="Times New Roman" w:hAnsi="Times New Roman" w:cs="Times New Roman"/>
          <w:i/>
          <w:iCs/>
          <w:sz w:val="24"/>
          <w:szCs w:val="24"/>
          <w:lang w:val="es-ES"/>
        </w:rPr>
      </w:pPr>
    </w:p>
    <w:p w:rsidRPr="00224CEE" w:rsidR="00224CEE" w:rsidP="00224CEE" w:rsidRDefault="00224CEE" w14:paraId="7221BFA3" w14:textId="77777777">
      <w:pPr>
        <w:tabs>
          <w:tab w:val="left" w:pos="1418"/>
          <w:tab w:val="left" w:pos="2160"/>
          <w:tab w:val="left" w:pos="2977"/>
          <w:tab w:val="left" w:pos="4248"/>
          <w:tab w:val="left" w:pos="4956"/>
          <w:tab w:val="left" w:pos="5664"/>
          <w:tab w:val="left" w:pos="6372"/>
          <w:tab w:val="left" w:pos="7125"/>
        </w:tabs>
        <w:spacing w:after="0" w:line="240" w:lineRule="auto"/>
        <w:ind w:left="1418" w:hanging="709"/>
        <w:jc w:val="both"/>
        <w:rPr>
          <w:rFonts w:ascii="Times New Roman" w:hAnsi="Times New Roman" w:cs="Times New Roman"/>
          <w:i/>
          <w:iCs/>
          <w:sz w:val="24"/>
          <w:szCs w:val="24"/>
          <w:lang w:val="es-ES"/>
        </w:rPr>
      </w:pPr>
      <w:r w:rsidRPr="00224CEE">
        <w:rPr>
          <w:rFonts w:ascii="Times New Roman" w:hAnsi="Times New Roman" w:cs="Times New Roman"/>
          <w:i/>
          <w:iCs/>
          <w:sz w:val="24"/>
          <w:szCs w:val="24"/>
          <w:lang w:val="es-ES"/>
        </w:rPr>
        <w:tab/>
      </w:r>
      <w:r w:rsidRPr="00224CEE">
        <w:rPr>
          <w:rFonts w:ascii="Times New Roman" w:hAnsi="Times New Roman" w:cs="Times New Roman"/>
          <w:i/>
          <w:iCs/>
          <w:sz w:val="24"/>
          <w:szCs w:val="24"/>
          <w:lang w:val="es-ES"/>
        </w:rPr>
        <w:t>Y si bien dicho documento aparece firmado por quien se identifica como el contratante, y no como el asegurado, no es menos cierto que el reclamante no ha negado la suscripción del documento por su padre, habiéndose inclusive afirmado que en su momento el asegurado, mediante correo electrónico, hizo entrega de los documentos firmados, luego de haberlos recibido por ese mismo medio para dicha suscripción.</w:t>
      </w:r>
    </w:p>
    <w:p w:rsidRPr="00224CEE" w:rsidR="00224CEE" w:rsidP="00224CEE" w:rsidRDefault="00224CEE" w14:paraId="13C1C4E2" w14:textId="77777777">
      <w:pPr>
        <w:tabs>
          <w:tab w:val="left" w:pos="1418"/>
          <w:tab w:val="left" w:pos="2160"/>
          <w:tab w:val="left" w:pos="2977"/>
          <w:tab w:val="left" w:pos="4248"/>
          <w:tab w:val="left" w:pos="4956"/>
          <w:tab w:val="left" w:pos="5664"/>
          <w:tab w:val="left" w:pos="6372"/>
          <w:tab w:val="left" w:pos="7125"/>
        </w:tabs>
        <w:spacing w:after="0" w:line="240" w:lineRule="auto"/>
        <w:ind w:left="1418" w:hanging="709"/>
        <w:jc w:val="both"/>
        <w:rPr>
          <w:rFonts w:ascii="Times New Roman" w:hAnsi="Times New Roman" w:cs="Times New Roman"/>
          <w:i/>
          <w:iCs/>
          <w:sz w:val="24"/>
          <w:szCs w:val="24"/>
          <w:lang w:val="es-ES"/>
        </w:rPr>
      </w:pPr>
    </w:p>
    <w:p w:rsidRPr="00224CEE" w:rsidR="00224CEE" w:rsidP="00224CEE" w:rsidRDefault="00224CEE" w14:paraId="0BAABE8A" w14:textId="77777777">
      <w:pPr>
        <w:tabs>
          <w:tab w:val="left" w:pos="1418"/>
          <w:tab w:val="left" w:pos="2160"/>
          <w:tab w:val="left" w:pos="2977"/>
          <w:tab w:val="left" w:pos="4248"/>
          <w:tab w:val="left" w:pos="4956"/>
          <w:tab w:val="left" w:pos="5664"/>
          <w:tab w:val="left" w:pos="6372"/>
          <w:tab w:val="left" w:pos="7125"/>
        </w:tabs>
        <w:spacing w:after="0" w:line="240" w:lineRule="auto"/>
        <w:ind w:left="1418" w:hanging="709"/>
        <w:jc w:val="both"/>
        <w:rPr>
          <w:rFonts w:ascii="Times New Roman" w:hAnsi="Times New Roman" w:cs="Times New Roman"/>
          <w:i/>
          <w:iCs/>
          <w:sz w:val="24"/>
          <w:szCs w:val="24"/>
          <w:lang w:val="es-ES"/>
        </w:rPr>
      </w:pPr>
      <w:r w:rsidRPr="00224CEE">
        <w:rPr>
          <w:rFonts w:ascii="Times New Roman" w:hAnsi="Times New Roman" w:cs="Times New Roman"/>
          <w:i/>
          <w:iCs/>
          <w:sz w:val="24"/>
          <w:szCs w:val="24"/>
          <w:lang w:val="es-ES"/>
        </w:rPr>
        <w:tab/>
      </w:r>
      <w:r w:rsidRPr="00224CEE">
        <w:rPr>
          <w:rFonts w:ascii="Times New Roman" w:hAnsi="Times New Roman" w:cs="Times New Roman"/>
          <w:i/>
          <w:iCs/>
          <w:sz w:val="24"/>
          <w:szCs w:val="24"/>
          <w:lang w:val="es-ES"/>
        </w:rPr>
        <w:t>El hecho concreto es que la falta de indicación del régimen de exclusiones en la póliza sugeriría el desconocimiento por el asegurado; sin embargo, conforme ha sido destacado precedentemente, se ha afirmado que, en su momento, el asegurado recibió los documentos relativos al seguro, incluida la póliza.  Es más, en momento alguno se ha referido o invocado desconocimiento del régimen de exclusiones, sino que el fallecimiento no fue por una enfermedad preexistente.</w:t>
      </w:r>
    </w:p>
    <w:p w:rsidRPr="00224CEE" w:rsidR="00224CEE" w:rsidP="00224CEE" w:rsidRDefault="00224CEE" w14:paraId="305C5C98" w14:textId="77777777">
      <w:pPr>
        <w:tabs>
          <w:tab w:val="left" w:pos="1418"/>
          <w:tab w:val="left" w:pos="2160"/>
          <w:tab w:val="left" w:pos="2977"/>
          <w:tab w:val="left" w:pos="4248"/>
          <w:tab w:val="left" w:pos="4956"/>
          <w:tab w:val="left" w:pos="5664"/>
          <w:tab w:val="left" w:pos="6372"/>
          <w:tab w:val="left" w:pos="7125"/>
        </w:tabs>
        <w:spacing w:after="0" w:line="240" w:lineRule="auto"/>
        <w:ind w:left="1418" w:hanging="709"/>
        <w:jc w:val="both"/>
        <w:rPr>
          <w:rFonts w:ascii="Times New Roman" w:hAnsi="Times New Roman" w:cs="Times New Roman"/>
          <w:i/>
          <w:iCs/>
          <w:sz w:val="24"/>
          <w:szCs w:val="24"/>
          <w:lang w:val="es-ES"/>
        </w:rPr>
      </w:pPr>
    </w:p>
    <w:p w:rsidRPr="00224CEE" w:rsidR="00224CEE" w:rsidP="00224CEE" w:rsidRDefault="00224CEE" w14:paraId="6259105A" w14:textId="77777777">
      <w:pPr>
        <w:tabs>
          <w:tab w:val="left" w:pos="1418"/>
          <w:tab w:val="left" w:pos="2160"/>
          <w:tab w:val="left" w:pos="2977"/>
          <w:tab w:val="left" w:pos="4248"/>
          <w:tab w:val="left" w:pos="4956"/>
          <w:tab w:val="left" w:pos="5664"/>
          <w:tab w:val="left" w:pos="6372"/>
          <w:tab w:val="left" w:pos="7125"/>
        </w:tabs>
        <w:spacing w:after="0" w:line="240" w:lineRule="auto"/>
        <w:ind w:left="1418" w:hanging="709"/>
        <w:jc w:val="both"/>
        <w:rPr>
          <w:rFonts w:ascii="Times New Roman" w:hAnsi="Times New Roman" w:cs="Times New Roman"/>
          <w:i/>
          <w:iCs/>
          <w:sz w:val="24"/>
          <w:szCs w:val="24"/>
          <w:lang w:val="es-ES"/>
        </w:rPr>
      </w:pPr>
      <w:r w:rsidRPr="00224CEE">
        <w:rPr>
          <w:rFonts w:ascii="Times New Roman" w:hAnsi="Times New Roman" w:cs="Times New Roman"/>
          <w:i/>
          <w:iCs/>
          <w:sz w:val="24"/>
          <w:szCs w:val="24"/>
          <w:lang w:val="es-ES"/>
        </w:rPr>
        <w:tab/>
      </w:r>
      <w:r w:rsidRPr="00224CEE">
        <w:rPr>
          <w:rFonts w:ascii="Times New Roman" w:hAnsi="Times New Roman" w:cs="Times New Roman"/>
          <w:i/>
          <w:iCs/>
          <w:sz w:val="24"/>
          <w:szCs w:val="24"/>
          <w:lang w:val="es-ES"/>
        </w:rPr>
        <w:t>Conforme a lo anterior, este colegiado concluye que el conocimiento del régimen de exclusiones por el asegurado no es una materia controvertida.”</w:t>
      </w:r>
    </w:p>
    <w:p w:rsidRPr="00224CEE" w:rsidR="00224CEE" w:rsidP="00224CEE" w:rsidRDefault="00224CEE" w14:paraId="0DD5446F" w14:textId="77777777">
      <w:pPr>
        <w:tabs>
          <w:tab w:val="left" w:pos="2160"/>
        </w:tabs>
        <w:spacing w:after="0" w:line="240" w:lineRule="auto"/>
        <w:jc w:val="both"/>
        <w:rPr>
          <w:rFonts w:ascii="Times New Roman" w:hAnsi="Times New Roman" w:cs="Times New Roman"/>
          <w:sz w:val="24"/>
          <w:szCs w:val="24"/>
          <w:lang w:val="es-PE"/>
        </w:rPr>
      </w:pPr>
    </w:p>
    <w:p w:rsidRPr="00224CEE" w:rsidR="00224CEE" w:rsidP="00224CEE" w:rsidRDefault="00224CEE" w14:paraId="49AF13D7" w14:textId="77777777">
      <w:pPr>
        <w:tabs>
          <w:tab w:val="left" w:pos="2160"/>
        </w:tabs>
        <w:spacing w:after="0" w:line="240" w:lineRule="auto"/>
        <w:jc w:val="both"/>
        <w:rPr>
          <w:rFonts w:ascii="Times New Roman" w:hAnsi="Times New Roman" w:cs="Times New Roman"/>
          <w:sz w:val="24"/>
          <w:szCs w:val="24"/>
          <w:lang w:val="es-PE"/>
        </w:rPr>
      </w:pPr>
      <w:r w:rsidRPr="00224CEE">
        <w:rPr>
          <w:rFonts w:ascii="Times New Roman" w:hAnsi="Times New Roman" w:cs="Times New Roman"/>
          <w:sz w:val="24"/>
          <w:szCs w:val="24"/>
          <w:lang w:val="es-PE"/>
        </w:rPr>
        <w:t>En el caso concreto, siendo que está probado que el contrato de seguro contiene el régimen de exclusiones invocado, que dicho régimen fue conocido por el asegurado, y que éste incurrió en el supuesto de hecho de la exclusión justificante del rechazo, no existe argumento que desautorice la conclusión de esta Defensoría que debe desestimarse la impugnación y ratificarse lo ya resuelto.</w:t>
      </w:r>
    </w:p>
    <w:p w:rsidRPr="00224CEE" w:rsidR="00224CEE" w:rsidP="00224CEE" w:rsidRDefault="00224CEE" w14:paraId="5C98FDD0" w14:textId="77777777">
      <w:pPr>
        <w:tabs>
          <w:tab w:val="left" w:pos="2160"/>
        </w:tabs>
        <w:spacing w:after="0" w:line="240" w:lineRule="auto"/>
        <w:jc w:val="both"/>
        <w:rPr>
          <w:rFonts w:ascii="Times New Roman" w:hAnsi="Times New Roman" w:cs="Times New Roman"/>
          <w:sz w:val="24"/>
          <w:szCs w:val="24"/>
          <w:lang w:val="es-ES"/>
        </w:rPr>
      </w:pPr>
    </w:p>
    <w:p w:rsidRPr="00224CEE" w:rsidR="00224CEE" w:rsidP="00224CEE" w:rsidRDefault="00224CEE" w14:paraId="744E052D" w14:textId="77777777">
      <w:pPr>
        <w:tabs>
          <w:tab w:val="left" w:pos="2160"/>
        </w:tabs>
        <w:spacing w:after="0" w:line="240" w:lineRule="auto"/>
        <w:jc w:val="both"/>
        <w:rPr>
          <w:rFonts w:ascii="Times New Roman" w:hAnsi="Times New Roman" w:cs="Times New Roman"/>
          <w:bCs/>
          <w:sz w:val="24"/>
          <w:szCs w:val="24"/>
          <w:lang w:val="es-PE"/>
        </w:rPr>
      </w:pPr>
      <w:r w:rsidRPr="00224CEE">
        <w:rPr>
          <w:rFonts w:ascii="Times New Roman" w:hAnsi="Times New Roman" w:cs="Times New Roman"/>
          <w:b/>
          <w:sz w:val="24"/>
          <w:szCs w:val="24"/>
          <w:u w:val="single"/>
          <w:lang w:val="es-PE"/>
        </w:rPr>
        <w:t>Tercero</w:t>
      </w:r>
      <w:r w:rsidRPr="00224CEE">
        <w:rPr>
          <w:rFonts w:ascii="Times New Roman" w:hAnsi="Times New Roman" w:cs="Times New Roman"/>
          <w:b/>
          <w:sz w:val="24"/>
          <w:szCs w:val="24"/>
          <w:lang w:val="es-PE"/>
        </w:rPr>
        <w:t xml:space="preserve">:  </w:t>
      </w:r>
      <w:r w:rsidRPr="00224CEE">
        <w:rPr>
          <w:rFonts w:ascii="Times New Roman" w:hAnsi="Times New Roman" w:cs="Times New Roman"/>
          <w:bCs/>
          <w:sz w:val="24"/>
          <w:szCs w:val="24"/>
          <w:lang w:val="es-PE"/>
        </w:rPr>
        <w:t xml:space="preserve">Apreciándose, conforme a lo anterior, que lo analizado y resuelto en su oportunidad no presenta las contradicciones e inconsistencias invocadas, y no habiéndose acreditado argumento que desautorice lo resuelto, este colegiado estima que el </w:t>
      </w:r>
      <w:r w:rsidRPr="00224CEE">
        <w:rPr>
          <w:rFonts w:ascii="Times New Roman" w:hAnsi="Times New Roman" w:cs="Times New Roman"/>
          <w:sz w:val="24"/>
          <w:szCs w:val="24"/>
          <w:lang w:val="es-ES"/>
        </w:rPr>
        <w:t xml:space="preserve">recurso impugnativo interpuesto puede ser categorizado, por su contenido mismo, como una solicitud de revisión general, sustentado en el muy respetable criterio particular del reclamante que este colegiado no comparte, sin aportar argumento o nuevo medio probatorio que permita a este colegiado apreciar objetivamente que habría incurrido en un error o vicio al momento de resolver.  </w:t>
      </w:r>
    </w:p>
    <w:p w:rsidRPr="00224CEE" w:rsidR="00224CEE" w:rsidP="00224CEE" w:rsidRDefault="00224CEE" w14:paraId="70298FC6" w14:textId="77777777">
      <w:pPr>
        <w:tabs>
          <w:tab w:val="left" w:pos="2160"/>
        </w:tabs>
        <w:spacing w:after="0" w:line="240" w:lineRule="auto"/>
        <w:jc w:val="both"/>
        <w:rPr>
          <w:rFonts w:ascii="Times New Roman" w:hAnsi="Times New Roman" w:cs="Times New Roman"/>
          <w:sz w:val="24"/>
          <w:szCs w:val="24"/>
          <w:lang w:val="es-ES"/>
        </w:rPr>
      </w:pPr>
    </w:p>
    <w:p w:rsidRPr="00224CEE" w:rsidR="00224CEE" w:rsidP="00224CEE" w:rsidRDefault="00224CEE" w14:paraId="057D85A9" w14:textId="77777777">
      <w:pPr>
        <w:tabs>
          <w:tab w:val="left" w:pos="2160"/>
        </w:tabs>
        <w:spacing w:after="0" w:line="240" w:lineRule="auto"/>
        <w:jc w:val="both"/>
        <w:rPr>
          <w:rFonts w:ascii="Times New Roman" w:hAnsi="Times New Roman" w:cs="Times New Roman"/>
          <w:sz w:val="24"/>
          <w:szCs w:val="24"/>
          <w:lang w:val="es-ES"/>
        </w:rPr>
      </w:pPr>
      <w:r w:rsidRPr="00224CEE">
        <w:rPr>
          <w:rFonts w:ascii="Times New Roman" w:hAnsi="Times New Roman" w:cs="Times New Roman"/>
          <w:sz w:val="24"/>
          <w:szCs w:val="24"/>
          <w:lang w:val="es-ES"/>
        </w:rPr>
        <w:t>En atención a las consideraciones precedentes, esta Defensoría no aprecia mérito ni razón para revocar la resolución recurrida; por lo tanto,</w:t>
      </w:r>
    </w:p>
    <w:p w:rsidRPr="00224CEE" w:rsidR="00224CEE" w:rsidP="00224CEE" w:rsidRDefault="00224CEE" w14:paraId="3B7D5912" w14:textId="77777777">
      <w:pPr>
        <w:spacing w:after="0" w:line="240" w:lineRule="auto"/>
        <w:jc w:val="both"/>
        <w:rPr>
          <w:rFonts w:ascii="Times New Roman" w:hAnsi="Times New Roman" w:eastAsia="Times New Roman" w:cs="Times New Roman"/>
          <w:bCs/>
          <w:sz w:val="24"/>
          <w:szCs w:val="24"/>
          <w:lang w:val="es-ES" w:eastAsia="ar-SA"/>
        </w:rPr>
      </w:pPr>
    </w:p>
    <w:p w:rsidRPr="00224CEE" w:rsidR="00224CEE" w:rsidP="00224CEE" w:rsidRDefault="00224CEE" w14:paraId="52CED59D" w14:textId="77777777">
      <w:pPr>
        <w:spacing w:after="0" w:line="240" w:lineRule="auto"/>
        <w:jc w:val="both"/>
        <w:rPr>
          <w:rFonts w:ascii="Times New Roman" w:hAnsi="Times New Roman" w:cs="Times New Roman"/>
          <w:b/>
          <w:sz w:val="24"/>
          <w:szCs w:val="24"/>
          <w:lang w:val="es-PE"/>
        </w:rPr>
      </w:pPr>
      <w:r w:rsidRPr="00224CEE">
        <w:rPr>
          <w:rFonts w:ascii="Times New Roman" w:hAnsi="Times New Roman" w:cs="Times New Roman"/>
          <w:b/>
          <w:sz w:val="24"/>
          <w:szCs w:val="24"/>
          <w:lang w:val="es-PE"/>
        </w:rPr>
        <w:t>Atendiendo a lo expresado, conforme a su reglamento, este colegiado resuelve:</w:t>
      </w:r>
    </w:p>
    <w:p w:rsidRPr="00224CEE" w:rsidR="00224CEE" w:rsidP="00224CEE" w:rsidRDefault="00224CEE" w14:paraId="63E5CC36" w14:textId="77777777">
      <w:pPr>
        <w:spacing w:after="0" w:line="240" w:lineRule="auto"/>
        <w:jc w:val="both"/>
        <w:rPr>
          <w:rFonts w:ascii="Times New Roman" w:hAnsi="Times New Roman" w:eastAsia="Arial Unicode MS" w:cs="Times New Roman"/>
          <w:b/>
          <w:sz w:val="24"/>
          <w:szCs w:val="24"/>
          <w:lang w:val="es-PE"/>
        </w:rPr>
      </w:pPr>
    </w:p>
    <w:p w:rsidRPr="00224CEE" w:rsidR="00224CEE" w:rsidP="00224CEE" w:rsidRDefault="00224CEE" w14:paraId="01D82E34" w14:textId="6F4E3848">
      <w:pPr>
        <w:spacing w:after="0" w:line="240" w:lineRule="auto"/>
        <w:jc w:val="both"/>
        <w:rPr>
          <w:rFonts w:ascii="Times New Roman" w:hAnsi="Times New Roman" w:eastAsia="Arial Unicode MS" w:cs="Times New Roman"/>
          <w:sz w:val="24"/>
          <w:szCs w:val="24"/>
          <w:lang w:val="es-PE"/>
        </w:rPr>
      </w:pPr>
      <w:r w:rsidRPr="00224CEE">
        <w:rPr>
          <w:rFonts w:ascii="Times New Roman" w:hAnsi="Times New Roman" w:eastAsia="Arial Unicode MS" w:cs="Times New Roman"/>
          <w:b/>
          <w:sz w:val="24"/>
          <w:szCs w:val="24"/>
          <w:lang w:val="es-PE"/>
        </w:rPr>
        <w:t xml:space="preserve">Declarar INFUNDADO el recurso impugnativo </w:t>
      </w:r>
      <w:r w:rsidRPr="00224CEE">
        <w:rPr>
          <w:rFonts w:ascii="Times New Roman" w:hAnsi="Times New Roman" w:eastAsia="Arial Unicode MS" w:cs="Times New Roman"/>
          <w:sz w:val="24"/>
          <w:szCs w:val="24"/>
          <w:lang w:val="es-PE"/>
        </w:rPr>
        <w:t>interpuesto por</w:t>
      </w:r>
      <w:r w:rsidRPr="00224CEE">
        <w:rPr>
          <w:rFonts w:ascii="Times New Roman" w:hAnsi="Times New Roman" w:eastAsia="Times New Roman" w:cs="Times New Roman"/>
          <w:sz w:val="24"/>
          <w:szCs w:val="24"/>
          <w:lang w:val="es-ES" w:eastAsia="ar-SA"/>
        </w:rPr>
        <w:t xml:space="preserve"> don </w:t>
      </w:r>
      <w:r w:rsidRPr="00BE30C8" w:rsidR="00BE30C8">
        <w:rPr>
          <w:rFonts w:ascii="Arial" w:hAnsi="Arial" w:cs="Arial"/>
          <w:lang w:val="es-PE"/>
        </w:rPr>
        <w:t>...................</w:t>
      </w:r>
      <w:r w:rsidRPr="00224CEE">
        <w:rPr>
          <w:rFonts w:ascii="Times New Roman" w:hAnsi="Times New Roman" w:eastAsia="Arial Unicode MS" w:cs="Times New Roman"/>
          <w:sz w:val="24"/>
          <w:szCs w:val="24"/>
          <w:lang w:val="es-PE"/>
        </w:rPr>
        <w:t xml:space="preserve"> </w:t>
      </w:r>
      <w:r w:rsidRPr="00224CEE">
        <w:rPr>
          <w:rFonts w:ascii="Times New Roman" w:hAnsi="Times New Roman" w:cs="Times New Roman"/>
          <w:sz w:val="24"/>
          <w:szCs w:val="24"/>
          <w:lang w:val="es-ES"/>
        </w:rPr>
        <w:t>y, por consiguiente,</w:t>
      </w:r>
      <w:r w:rsidRPr="00224CEE">
        <w:rPr>
          <w:rFonts w:ascii="Times New Roman" w:hAnsi="Times New Roman" w:cs="Times New Roman"/>
          <w:sz w:val="24"/>
          <w:szCs w:val="24"/>
          <w:lang w:val="es-PE"/>
        </w:rPr>
        <w:t xml:space="preserve"> ratificar la</w:t>
      </w:r>
      <w:r w:rsidRPr="00224CEE">
        <w:rPr>
          <w:rFonts w:ascii="Times New Roman" w:hAnsi="Times New Roman" w:eastAsia="Times New Roman" w:cs="Times New Roman"/>
          <w:sz w:val="24"/>
          <w:szCs w:val="24"/>
          <w:lang w:val="es-ES" w:eastAsia="ar-SA"/>
        </w:rPr>
        <w:t xml:space="preserve"> Resolución Nro. 007/21, del 1 de febrero de 2021</w:t>
      </w:r>
      <w:r w:rsidRPr="00224CEE">
        <w:rPr>
          <w:rFonts w:ascii="Times New Roman" w:hAnsi="Times New Roman" w:cs="Times New Roman"/>
          <w:sz w:val="24"/>
          <w:szCs w:val="24"/>
          <w:lang w:val="es-PE"/>
        </w:rPr>
        <w:t>.</w:t>
      </w:r>
    </w:p>
    <w:p w:rsidRPr="009C7C2B" w:rsidR="006F2F97" w:rsidP="006F2F97" w:rsidRDefault="006F2F97" w14:paraId="5B721050" w14:textId="247DF6C9">
      <w:pPr>
        <w:spacing w:after="0" w:line="240" w:lineRule="auto"/>
        <w:jc w:val="both"/>
        <w:rPr>
          <w:rFonts w:ascii="Times New Roman" w:hAnsi="Times New Roman" w:cs="Times New Roman"/>
          <w:b/>
          <w:sz w:val="24"/>
          <w:szCs w:val="24"/>
          <w:lang w:val="es-PE"/>
        </w:rPr>
      </w:pPr>
    </w:p>
    <w:p w:rsidRPr="009C7C2B" w:rsidR="00077B6F" w:rsidP="00C671F5" w:rsidRDefault="0091528B" w14:paraId="78A39B5B" w14:textId="1DB6AF2A">
      <w:pPr>
        <w:suppressAutoHyphens/>
        <w:spacing w:after="0" w:line="240" w:lineRule="auto"/>
        <w:jc w:val="right"/>
        <w:outlineLvl w:val="0"/>
        <w:rPr>
          <w:rFonts w:ascii="Times New Roman" w:hAnsi="Times New Roman" w:eastAsia="Arial Unicode MS" w:cs="Times New Roman"/>
          <w:sz w:val="24"/>
          <w:szCs w:val="24"/>
          <w:lang w:val="es-PE" w:eastAsia="ar-SA"/>
        </w:rPr>
      </w:pPr>
      <w:r w:rsidRPr="009C7C2B">
        <w:rPr>
          <w:rFonts w:ascii="Times New Roman" w:hAnsi="Times New Roman" w:eastAsia="Arial Unicode MS" w:cs="Times New Roman"/>
          <w:sz w:val="24"/>
          <w:szCs w:val="24"/>
          <w:lang w:val="es-PE" w:eastAsia="ar-SA"/>
        </w:rPr>
        <w:t xml:space="preserve">Lima, </w:t>
      </w:r>
      <w:r w:rsidR="00BF5A34">
        <w:rPr>
          <w:rFonts w:ascii="Times New Roman" w:hAnsi="Times New Roman" w:eastAsia="Arial Unicode MS" w:cs="Times New Roman"/>
          <w:sz w:val="24"/>
          <w:szCs w:val="24"/>
          <w:lang w:val="es-PE" w:eastAsia="ar-SA"/>
        </w:rPr>
        <w:t>01</w:t>
      </w:r>
      <w:r w:rsidRPr="009C7C2B" w:rsidR="00707C99">
        <w:rPr>
          <w:rFonts w:ascii="Times New Roman" w:hAnsi="Times New Roman" w:eastAsia="Arial Unicode MS" w:cs="Times New Roman"/>
          <w:sz w:val="24"/>
          <w:szCs w:val="24"/>
          <w:lang w:val="es-PE" w:eastAsia="ar-SA"/>
        </w:rPr>
        <w:t xml:space="preserve"> de </w:t>
      </w:r>
      <w:r w:rsidR="00BF5A34">
        <w:rPr>
          <w:rFonts w:ascii="Times New Roman" w:hAnsi="Times New Roman" w:eastAsia="Arial Unicode MS" w:cs="Times New Roman"/>
          <w:sz w:val="24"/>
          <w:szCs w:val="24"/>
          <w:lang w:val="es-PE" w:eastAsia="ar-SA"/>
        </w:rPr>
        <w:t>marzo</w:t>
      </w:r>
      <w:r w:rsidRPr="009C7C2B" w:rsidR="00F06498">
        <w:rPr>
          <w:rFonts w:ascii="Times New Roman" w:hAnsi="Times New Roman" w:eastAsia="Arial Unicode MS" w:cs="Times New Roman"/>
          <w:sz w:val="24"/>
          <w:szCs w:val="24"/>
          <w:lang w:val="es-PE" w:eastAsia="ar-SA"/>
        </w:rPr>
        <w:t xml:space="preserve"> de 202</w:t>
      </w:r>
      <w:r w:rsidRPr="009C7C2B" w:rsidR="00231C58">
        <w:rPr>
          <w:rFonts w:ascii="Times New Roman" w:hAnsi="Times New Roman" w:eastAsia="Arial Unicode MS" w:cs="Times New Roman"/>
          <w:sz w:val="24"/>
          <w:szCs w:val="24"/>
          <w:lang w:val="es-PE" w:eastAsia="ar-SA"/>
        </w:rPr>
        <w:t>1</w:t>
      </w:r>
      <w:r w:rsidRPr="009C7C2B" w:rsidR="00707C99">
        <w:rPr>
          <w:rFonts w:ascii="Times New Roman" w:hAnsi="Times New Roman" w:eastAsia="Times New Roman" w:cs="Times New Roman"/>
          <w:sz w:val="24"/>
          <w:szCs w:val="24"/>
          <w:lang w:val="es-PE" w:eastAsia="ar-SA"/>
        </w:rPr>
        <w:t xml:space="preserve"> </w:t>
      </w:r>
    </w:p>
    <w:p w:rsidRPr="009C7C2B" w:rsidR="00C671F5" w:rsidP="00C671F5" w:rsidRDefault="00C671F5" w14:paraId="486C3F46" w14:textId="3443E457">
      <w:pPr>
        <w:suppressAutoHyphens/>
        <w:spacing w:after="0" w:line="240" w:lineRule="auto"/>
        <w:outlineLvl w:val="0"/>
        <w:rPr>
          <w:rFonts w:ascii="Times New Roman" w:hAnsi="Times New Roman" w:eastAsia="Arial Unicode MS" w:cs="Times New Roman"/>
          <w:sz w:val="24"/>
          <w:szCs w:val="24"/>
          <w:lang w:val="es-PE" w:eastAsia="ar-SA"/>
        </w:rPr>
      </w:pPr>
    </w:p>
    <w:p w:rsidRPr="009C7C2B" w:rsidR="00231C58" w:rsidP="00C671F5"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9C7C2B" w:rsidR="00C671F5" w:rsidP="00C671F5" w:rsidRDefault="00C671F5" w14:paraId="7BC448E0" w14:textId="77777777">
      <w:pPr>
        <w:spacing w:after="0" w:line="240" w:lineRule="auto"/>
        <w:jc w:val="both"/>
        <w:rPr>
          <w:rFonts w:ascii="Times New Roman" w:hAnsi="Times New Roman" w:cs="Times New Roman"/>
          <w:b/>
          <w:bCs/>
          <w:i/>
          <w:iCs/>
          <w:sz w:val="24"/>
          <w:szCs w:val="24"/>
          <w:lang w:val="es-PE"/>
        </w:rPr>
      </w:pPr>
      <w:r w:rsidRPr="009C7C2B">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9C7C2B" w:rsidR="00C671F5" w:rsidP="00C671F5" w:rsidRDefault="00C671F5" w14:paraId="3408E6CE" w14:textId="77777777">
      <w:pPr>
        <w:spacing w:after="0" w:line="360" w:lineRule="auto"/>
        <w:jc w:val="both"/>
        <w:rPr>
          <w:rFonts w:ascii="Times New Roman" w:hAnsi="Times New Roman" w:cs="Times New Roman"/>
          <w:b/>
          <w:bCs/>
          <w:i/>
          <w:iCs/>
          <w:sz w:val="24"/>
          <w:szCs w:val="24"/>
          <w:lang w:val="es-PE"/>
        </w:rPr>
      </w:pPr>
    </w:p>
    <w:p w:rsidRPr="009C7C2B" w:rsidR="00C671F5" w:rsidP="00C671F5" w:rsidRDefault="00231C58" w14:paraId="548B3E5B" w14:textId="47A8BA49">
      <w:pPr>
        <w:spacing w:after="0" w:line="360" w:lineRule="auto"/>
        <w:jc w:val="center"/>
        <w:rPr>
          <w:rFonts w:ascii="Times New Roman" w:hAnsi="Times New Roman" w:cs="Times New Roman"/>
          <w:b/>
          <w:bCs/>
          <w:sz w:val="24"/>
          <w:szCs w:val="24"/>
          <w:lang w:val="es-PE"/>
        </w:rPr>
      </w:pPr>
      <w:r w:rsidRPr="009C7C2B">
        <w:rPr>
          <w:rFonts w:ascii="Times New Roman" w:hAnsi="Times New Roman" w:cs="Times New Roman"/>
          <w:b/>
          <w:bCs/>
          <w:sz w:val="24"/>
          <w:szCs w:val="24"/>
          <w:lang w:val="es-PE"/>
        </w:rPr>
        <w:t xml:space="preserve">María Eugenia Valdez Fernández Baca </w:t>
      </w:r>
      <w:r w:rsidRPr="009C7C2B" w:rsidR="00C671F5">
        <w:rPr>
          <w:rFonts w:ascii="Times New Roman" w:hAnsi="Times New Roman" w:cs="Times New Roman"/>
          <w:b/>
          <w:bCs/>
          <w:sz w:val="24"/>
          <w:szCs w:val="24"/>
          <w:lang w:val="es-PE"/>
        </w:rPr>
        <w:t xml:space="preserve">– </w:t>
      </w:r>
      <w:proofErr w:type="gramStart"/>
      <w:r w:rsidRPr="009C7C2B" w:rsidR="00C671F5">
        <w:rPr>
          <w:rFonts w:ascii="Times New Roman" w:hAnsi="Times New Roman" w:cs="Times New Roman"/>
          <w:b/>
          <w:bCs/>
          <w:sz w:val="24"/>
          <w:szCs w:val="24"/>
          <w:lang w:val="es-PE"/>
        </w:rPr>
        <w:t>Presidente</w:t>
      </w:r>
      <w:proofErr w:type="gramEnd"/>
    </w:p>
    <w:p w:rsidRPr="009C7C2B" w:rsidR="00C671F5" w:rsidP="00C671F5" w:rsidRDefault="00C671F5" w14:paraId="55E7D9D7" w14:textId="724A8615">
      <w:pPr>
        <w:spacing w:after="0" w:line="360" w:lineRule="auto"/>
        <w:jc w:val="center"/>
        <w:rPr>
          <w:rFonts w:ascii="Times New Roman" w:hAnsi="Times New Roman" w:cs="Times New Roman"/>
          <w:b/>
          <w:bCs/>
          <w:sz w:val="24"/>
          <w:szCs w:val="24"/>
          <w:lang w:val="es-PE"/>
        </w:rPr>
      </w:pPr>
      <w:r w:rsidRPr="009C7C2B">
        <w:rPr>
          <w:rFonts w:ascii="Times New Roman" w:hAnsi="Times New Roman" w:cs="Times New Roman"/>
          <w:b/>
          <w:bCs/>
          <w:sz w:val="24"/>
          <w:szCs w:val="24"/>
          <w:lang w:val="es-PE"/>
        </w:rPr>
        <w:t>Marco Antonio Ortega Piana – Vocal</w:t>
      </w:r>
    </w:p>
    <w:p w:rsidRPr="009C7C2B" w:rsidR="00292018" w:rsidP="00292018" w:rsidRDefault="00292018" w14:paraId="3006BA35" w14:textId="7871895F">
      <w:pPr>
        <w:spacing w:after="0" w:line="360" w:lineRule="auto"/>
        <w:jc w:val="center"/>
        <w:rPr>
          <w:rFonts w:ascii="Times New Roman" w:hAnsi="Times New Roman" w:cs="Times New Roman"/>
          <w:b/>
          <w:bCs/>
          <w:sz w:val="24"/>
          <w:szCs w:val="24"/>
          <w:lang w:val="es-PE"/>
        </w:rPr>
      </w:pPr>
      <w:r w:rsidRPr="009C7C2B">
        <w:rPr>
          <w:rFonts w:ascii="Times New Roman" w:hAnsi="Times New Roman" w:cs="Times New Roman"/>
          <w:b/>
          <w:bCs/>
          <w:sz w:val="24"/>
          <w:szCs w:val="24"/>
          <w:lang w:val="es-PE"/>
        </w:rPr>
        <w:t xml:space="preserve">Rolando Eyzaguirre </w:t>
      </w:r>
      <w:proofErr w:type="spellStart"/>
      <w:r w:rsidRPr="009C7C2B">
        <w:rPr>
          <w:rFonts w:ascii="Times New Roman" w:hAnsi="Times New Roman" w:cs="Times New Roman"/>
          <w:b/>
          <w:bCs/>
          <w:sz w:val="24"/>
          <w:szCs w:val="24"/>
          <w:lang w:val="es-PE"/>
        </w:rPr>
        <w:t>Maccan</w:t>
      </w:r>
      <w:proofErr w:type="spellEnd"/>
      <w:r w:rsidRPr="009C7C2B">
        <w:rPr>
          <w:rFonts w:ascii="Times New Roman" w:hAnsi="Times New Roman" w:cs="Times New Roman"/>
          <w:b/>
          <w:bCs/>
          <w:sz w:val="24"/>
          <w:szCs w:val="24"/>
          <w:lang w:val="es-PE"/>
        </w:rPr>
        <w:t xml:space="preserve"> – Vocal</w:t>
      </w:r>
    </w:p>
    <w:p w:rsidRPr="009C7C2B" w:rsidR="00C671F5" w:rsidP="00C671F5" w:rsidRDefault="00C671F5" w14:paraId="3A9CFE9F" w14:textId="4DFF4426">
      <w:pPr>
        <w:spacing w:after="0" w:line="360" w:lineRule="auto"/>
        <w:jc w:val="center"/>
        <w:rPr>
          <w:rFonts w:ascii="Times New Roman" w:hAnsi="Times New Roman" w:cs="Times New Roman"/>
          <w:sz w:val="24"/>
          <w:szCs w:val="24"/>
          <w:lang w:val="es-PE"/>
        </w:rPr>
      </w:pPr>
      <w:r w:rsidRPr="009C7C2B">
        <w:rPr>
          <w:rFonts w:ascii="Times New Roman" w:hAnsi="Times New Roman" w:cs="Times New Roman"/>
          <w:b/>
          <w:bCs/>
          <w:sz w:val="24"/>
          <w:szCs w:val="24"/>
          <w:lang w:val="es-PE"/>
        </w:rPr>
        <w:t xml:space="preserve">Gonzalo Abad del Busto </w:t>
      </w:r>
      <w:r w:rsidRPr="009C7C2B" w:rsidR="00231C58">
        <w:rPr>
          <w:rFonts w:ascii="Times New Roman" w:hAnsi="Times New Roman" w:cs="Times New Roman"/>
          <w:b/>
          <w:bCs/>
          <w:sz w:val="24"/>
          <w:szCs w:val="24"/>
          <w:lang w:val="es-PE"/>
        </w:rPr>
        <w:t xml:space="preserve">– </w:t>
      </w:r>
      <w:r w:rsidRPr="009C7C2B">
        <w:rPr>
          <w:rFonts w:ascii="Times New Roman" w:hAnsi="Times New Roman" w:cs="Times New Roman"/>
          <w:b/>
          <w:bCs/>
          <w:sz w:val="24"/>
          <w:szCs w:val="24"/>
          <w:lang w:val="es-PE"/>
        </w:rPr>
        <w:t>Vocal</w:t>
      </w:r>
    </w:p>
    <w:p w:rsidRPr="009E7FDD"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9E7FDD" w:rsidR="00C671F5" w:rsidP="00C671F5" w:rsidRDefault="00C671F5" w14:paraId="2C3A0205" w14:textId="77777777">
      <w:pPr>
        <w:rPr>
          <w:rFonts w:ascii="Times New Roman" w:hAnsi="Times New Roman" w:eastAsia="Arial Unicode MS" w:cs="Times New Roman"/>
          <w:sz w:val="24"/>
          <w:szCs w:val="24"/>
          <w:lang w:val="es-PE" w:eastAsia="ar-SA"/>
        </w:rPr>
      </w:pPr>
    </w:p>
    <w:sectPr w:rsidRPr="009E7FDD" w:rsidR="00C671F5"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67F30" w:rsidP="00784355" w:rsidRDefault="00D67F30" w14:paraId="2378E70C" w14:textId="77777777">
      <w:pPr>
        <w:spacing w:after="0" w:line="240" w:lineRule="auto"/>
      </w:pPr>
      <w:r>
        <w:separator/>
      </w:r>
    </w:p>
  </w:endnote>
  <w:endnote w:type="continuationSeparator" w:id="0">
    <w:p w:rsidR="00D67F30" w:rsidP="00784355" w:rsidRDefault="00D67F30" w14:paraId="0CC619C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rsidR="00C671F5" w:rsidRDefault="00C671F5" w14:paraId="1A7D4DE2" w14:textId="27FEA839">
            <w:pPr>
              <w:pStyle w:val="Piedepgina"/>
              <w:jc w:val="right"/>
            </w:pPr>
            <w:r w:rsidRPr="009C7C2B">
              <w:rPr>
                <w:rFonts w:ascii="Times New Roman" w:hAnsi="Times New Roman" w:cs="Times New Roman"/>
                <w:sz w:val="18"/>
                <w:szCs w:val="18"/>
                <w:lang w:val="es-ES"/>
              </w:rPr>
              <w:t xml:space="preserve">Página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PAGE</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r w:rsidRPr="009C7C2B">
              <w:rPr>
                <w:rFonts w:ascii="Times New Roman" w:hAnsi="Times New Roman" w:cs="Times New Roman"/>
                <w:sz w:val="18"/>
                <w:szCs w:val="18"/>
                <w:lang w:val="es-ES"/>
              </w:rPr>
              <w:t xml:space="preserve"> de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NUMPAGES</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67F30" w:rsidP="00784355" w:rsidRDefault="00D67F30" w14:paraId="2C812E08" w14:textId="77777777">
      <w:pPr>
        <w:spacing w:after="0" w:line="240" w:lineRule="auto"/>
      </w:pPr>
      <w:r>
        <w:separator/>
      </w:r>
    </w:p>
  </w:footnote>
  <w:footnote w:type="continuationSeparator" w:id="0">
    <w:p w:rsidR="00D67F30" w:rsidP="00784355" w:rsidRDefault="00D67F30" w14:paraId="2272A47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F2B65D9"/>
    <w:multiLevelType w:val="hybridMultilevel"/>
    <w:tmpl w:val="537460CC"/>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2"/>
  </w:num>
  <w:num w:numId="5">
    <w:abstractNumId w:val="4"/>
  </w:num>
  <w:num w:numId="6">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C5E"/>
    <w:rsid w:val="00005B96"/>
    <w:rsid w:val="00010987"/>
    <w:rsid w:val="00013057"/>
    <w:rsid w:val="000159CC"/>
    <w:rsid w:val="00015C22"/>
    <w:rsid w:val="000167E0"/>
    <w:rsid w:val="000235E9"/>
    <w:rsid w:val="0002637D"/>
    <w:rsid w:val="0002733C"/>
    <w:rsid w:val="00027978"/>
    <w:rsid w:val="0004480C"/>
    <w:rsid w:val="00053D16"/>
    <w:rsid w:val="00056D9F"/>
    <w:rsid w:val="00062040"/>
    <w:rsid w:val="00063183"/>
    <w:rsid w:val="0006548C"/>
    <w:rsid w:val="00070DB6"/>
    <w:rsid w:val="00071A25"/>
    <w:rsid w:val="00072C60"/>
    <w:rsid w:val="000752E4"/>
    <w:rsid w:val="00076E73"/>
    <w:rsid w:val="00077B6F"/>
    <w:rsid w:val="00080A9A"/>
    <w:rsid w:val="000835CB"/>
    <w:rsid w:val="00083D69"/>
    <w:rsid w:val="00083F50"/>
    <w:rsid w:val="00084148"/>
    <w:rsid w:val="00092684"/>
    <w:rsid w:val="000A5666"/>
    <w:rsid w:val="000A5CAA"/>
    <w:rsid w:val="000B19A0"/>
    <w:rsid w:val="000B58D8"/>
    <w:rsid w:val="000C0734"/>
    <w:rsid w:val="000D0DFE"/>
    <w:rsid w:val="000F6340"/>
    <w:rsid w:val="0011308C"/>
    <w:rsid w:val="00125B9B"/>
    <w:rsid w:val="001320DF"/>
    <w:rsid w:val="00136E12"/>
    <w:rsid w:val="001373AF"/>
    <w:rsid w:val="001377EF"/>
    <w:rsid w:val="00150874"/>
    <w:rsid w:val="001508BC"/>
    <w:rsid w:val="001529FE"/>
    <w:rsid w:val="00161642"/>
    <w:rsid w:val="001703D8"/>
    <w:rsid w:val="00170E39"/>
    <w:rsid w:val="00174918"/>
    <w:rsid w:val="00174DA5"/>
    <w:rsid w:val="00181908"/>
    <w:rsid w:val="00181DCE"/>
    <w:rsid w:val="00187BFD"/>
    <w:rsid w:val="001A008A"/>
    <w:rsid w:val="001A3395"/>
    <w:rsid w:val="001A44E1"/>
    <w:rsid w:val="001B1E59"/>
    <w:rsid w:val="001B58A3"/>
    <w:rsid w:val="001D0EED"/>
    <w:rsid w:val="001D59D9"/>
    <w:rsid w:val="001D6136"/>
    <w:rsid w:val="001E119C"/>
    <w:rsid w:val="00201C0D"/>
    <w:rsid w:val="00204407"/>
    <w:rsid w:val="0020749F"/>
    <w:rsid w:val="002108AD"/>
    <w:rsid w:val="00211977"/>
    <w:rsid w:val="002130B0"/>
    <w:rsid w:val="0021627D"/>
    <w:rsid w:val="00224CEE"/>
    <w:rsid w:val="00225288"/>
    <w:rsid w:val="00227D02"/>
    <w:rsid w:val="00231C58"/>
    <w:rsid w:val="002331C3"/>
    <w:rsid w:val="00241719"/>
    <w:rsid w:val="00243F6B"/>
    <w:rsid w:val="00256592"/>
    <w:rsid w:val="0027261F"/>
    <w:rsid w:val="00272F4F"/>
    <w:rsid w:val="0027301E"/>
    <w:rsid w:val="00274985"/>
    <w:rsid w:val="002768C6"/>
    <w:rsid w:val="00276A92"/>
    <w:rsid w:val="00277667"/>
    <w:rsid w:val="00290CA4"/>
    <w:rsid w:val="00292018"/>
    <w:rsid w:val="0029331C"/>
    <w:rsid w:val="002A31D3"/>
    <w:rsid w:val="002A3E88"/>
    <w:rsid w:val="002A7E2E"/>
    <w:rsid w:val="002B726E"/>
    <w:rsid w:val="002C2A0F"/>
    <w:rsid w:val="002D0DB0"/>
    <w:rsid w:val="002D3B01"/>
    <w:rsid w:val="002E1221"/>
    <w:rsid w:val="002E17F9"/>
    <w:rsid w:val="002F09CA"/>
    <w:rsid w:val="002F35F0"/>
    <w:rsid w:val="003045E3"/>
    <w:rsid w:val="00313D12"/>
    <w:rsid w:val="0032132E"/>
    <w:rsid w:val="00340E4B"/>
    <w:rsid w:val="00345DF0"/>
    <w:rsid w:val="00345F7F"/>
    <w:rsid w:val="00347D7E"/>
    <w:rsid w:val="00353092"/>
    <w:rsid w:val="003544B1"/>
    <w:rsid w:val="00357D70"/>
    <w:rsid w:val="00362449"/>
    <w:rsid w:val="00364E0F"/>
    <w:rsid w:val="00366842"/>
    <w:rsid w:val="00367746"/>
    <w:rsid w:val="00377D5A"/>
    <w:rsid w:val="0038290F"/>
    <w:rsid w:val="00387D06"/>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3F651C"/>
    <w:rsid w:val="00403814"/>
    <w:rsid w:val="004049B9"/>
    <w:rsid w:val="00414F05"/>
    <w:rsid w:val="0041626C"/>
    <w:rsid w:val="00417E23"/>
    <w:rsid w:val="00425F75"/>
    <w:rsid w:val="00440BC2"/>
    <w:rsid w:val="00444232"/>
    <w:rsid w:val="00460C30"/>
    <w:rsid w:val="00465FB9"/>
    <w:rsid w:val="00466302"/>
    <w:rsid w:val="0047370C"/>
    <w:rsid w:val="0047522D"/>
    <w:rsid w:val="00476BA1"/>
    <w:rsid w:val="00482259"/>
    <w:rsid w:val="00496A1A"/>
    <w:rsid w:val="004A3E25"/>
    <w:rsid w:val="004B51ED"/>
    <w:rsid w:val="004C51EC"/>
    <w:rsid w:val="004E65DD"/>
    <w:rsid w:val="004F549E"/>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4BFC"/>
    <w:rsid w:val="00545F19"/>
    <w:rsid w:val="00547EE5"/>
    <w:rsid w:val="00567DEC"/>
    <w:rsid w:val="0057035B"/>
    <w:rsid w:val="005818E3"/>
    <w:rsid w:val="005819C6"/>
    <w:rsid w:val="00582D26"/>
    <w:rsid w:val="0058358B"/>
    <w:rsid w:val="00583A87"/>
    <w:rsid w:val="00585D65"/>
    <w:rsid w:val="005904C2"/>
    <w:rsid w:val="00592259"/>
    <w:rsid w:val="005948EF"/>
    <w:rsid w:val="00597430"/>
    <w:rsid w:val="005A0B70"/>
    <w:rsid w:val="005A782D"/>
    <w:rsid w:val="005B2924"/>
    <w:rsid w:val="005C524E"/>
    <w:rsid w:val="005C5AB9"/>
    <w:rsid w:val="005D3E68"/>
    <w:rsid w:val="005E0EC2"/>
    <w:rsid w:val="005E2CBE"/>
    <w:rsid w:val="005E4870"/>
    <w:rsid w:val="005F4C97"/>
    <w:rsid w:val="00605902"/>
    <w:rsid w:val="00606105"/>
    <w:rsid w:val="0061360C"/>
    <w:rsid w:val="00613A39"/>
    <w:rsid w:val="00622ABC"/>
    <w:rsid w:val="00623204"/>
    <w:rsid w:val="00624034"/>
    <w:rsid w:val="006442E0"/>
    <w:rsid w:val="0064607A"/>
    <w:rsid w:val="00652672"/>
    <w:rsid w:val="0065542B"/>
    <w:rsid w:val="0065594D"/>
    <w:rsid w:val="00655A90"/>
    <w:rsid w:val="00655BA3"/>
    <w:rsid w:val="00657AD2"/>
    <w:rsid w:val="00671DB5"/>
    <w:rsid w:val="00680D8A"/>
    <w:rsid w:val="00686BB2"/>
    <w:rsid w:val="006878E1"/>
    <w:rsid w:val="0069304A"/>
    <w:rsid w:val="00697D6C"/>
    <w:rsid w:val="006A0499"/>
    <w:rsid w:val="006B5CAE"/>
    <w:rsid w:val="006C1A65"/>
    <w:rsid w:val="006C29A7"/>
    <w:rsid w:val="006C4C21"/>
    <w:rsid w:val="006C6261"/>
    <w:rsid w:val="006D2BA9"/>
    <w:rsid w:val="006D3600"/>
    <w:rsid w:val="006D397E"/>
    <w:rsid w:val="006E2366"/>
    <w:rsid w:val="006E4547"/>
    <w:rsid w:val="006F2F9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61FD"/>
    <w:rsid w:val="007300C4"/>
    <w:rsid w:val="00744447"/>
    <w:rsid w:val="00760034"/>
    <w:rsid w:val="007703E9"/>
    <w:rsid w:val="007708AB"/>
    <w:rsid w:val="00771625"/>
    <w:rsid w:val="0078123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6831"/>
    <w:rsid w:val="00837DDE"/>
    <w:rsid w:val="008523F5"/>
    <w:rsid w:val="008548F9"/>
    <w:rsid w:val="0085575C"/>
    <w:rsid w:val="0085791F"/>
    <w:rsid w:val="00857988"/>
    <w:rsid w:val="0086244F"/>
    <w:rsid w:val="00871F40"/>
    <w:rsid w:val="00883121"/>
    <w:rsid w:val="0088392F"/>
    <w:rsid w:val="00884426"/>
    <w:rsid w:val="00886D60"/>
    <w:rsid w:val="00887814"/>
    <w:rsid w:val="008916FF"/>
    <w:rsid w:val="00891DB3"/>
    <w:rsid w:val="00895A85"/>
    <w:rsid w:val="008A1D12"/>
    <w:rsid w:val="008A3A47"/>
    <w:rsid w:val="008D6DDF"/>
    <w:rsid w:val="008F1161"/>
    <w:rsid w:val="008F479E"/>
    <w:rsid w:val="009011F1"/>
    <w:rsid w:val="009127A6"/>
    <w:rsid w:val="0091528B"/>
    <w:rsid w:val="009157B1"/>
    <w:rsid w:val="00917CAF"/>
    <w:rsid w:val="009272D7"/>
    <w:rsid w:val="00933532"/>
    <w:rsid w:val="00943343"/>
    <w:rsid w:val="00946694"/>
    <w:rsid w:val="00951B99"/>
    <w:rsid w:val="00955C03"/>
    <w:rsid w:val="00964237"/>
    <w:rsid w:val="00966813"/>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404"/>
    <w:rsid w:val="009C7C2B"/>
    <w:rsid w:val="009D3B98"/>
    <w:rsid w:val="009D6055"/>
    <w:rsid w:val="009E5F11"/>
    <w:rsid w:val="009E7994"/>
    <w:rsid w:val="009E7FDD"/>
    <w:rsid w:val="009F143B"/>
    <w:rsid w:val="009F2EEB"/>
    <w:rsid w:val="00A02270"/>
    <w:rsid w:val="00A077D2"/>
    <w:rsid w:val="00A16942"/>
    <w:rsid w:val="00A17A72"/>
    <w:rsid w:val="00A23996"/>
    <w:rsid w:val="00A25F51"/>
    <w:rsid w:val="00A30393"/>
    <w:rsid w:val="00A32246"/>
    <w:rsid w:val="00A328C0"/>
    <w:rsid w:val="00A3714C"/>
    <w:rsid w:val="00A427D6"/>
    <w:rsid w:val="00A46E96"/>
    <w:rsid w:val="00A51F2A"/>
    <w:rsid w:val="00A62BEC"/>
    <w:rsid w:val="00A658C1"/>
    <w:rsid w:val="00A734AD"/>
    <w:rsid w:val="00A837A0"/>
    <w:rsid w:val="00A83D6A"/>
    <w:rsid w:val="00A90926"/>
    <w:rsid w:val="00A97287"/>
    <w:rsid w:val="00AA2DED"/>
    <w:rsid w:val="00AB1C66"/>
    <w:rsid w:val="00AC5A9E"/>
    <w:rsid w:val="00AD1FEC"/>
    <w:rsid w:val="00AD2DF1"/>
    <w:rsid w:val="00AE4125"/>
    <w:rsid w:val="00AF16B6"/>
    <w:rsid w:val="00AF5E87"/>
    <w:rsid w:val="00B00552"/>
    <w:rsid w:val="00B02BEE"/>
    <w:rsid w:val="00B0406C"/>
    <w:rsid w:val="00B115C4"/>
    <w:rsid w:val="00B11C1C"/>
    <w:rsid w:val="00B17BD8"/>
    <w:rsid w:val="00B30B53"/>
    <w:rsid w:val="00B313E9"/>
    <w:rsid w:val="00B32325"/>
    <w:rsid w:val="00B32523"/>
    <w:rsid w:val="00B340A4"/>
    <w:rsid w:val="00B45C2D"/>
    <w:rsid w:val="00B56649"/>
    <w:rsid w:val="00B625F2"/>
    <w:rsid w:val="00B663DC"/>
    <w:rsid w:val="00B710D8"/>
    <w:rsid w:val="00B73629"/>
    <w:rsid w:val="00B7466E"/>
    <w:rsid w:val="00B779BD"/>
    <w:rsid w:val="00B8021E"/>
    <w:rsid w:val="00B8028F"/>
    <w:rsid w:val="00B833BE"/>
    <w:rsid w:val="00B87B08"/>
    <w:rsid w:val="00B94FDB"/>
    <w:rsid w:val="00B956C4"/>
    <w:rsid w:val="00BB2152"/>
    <w:rsid w:val="00BB2BE0"/>
    <w:rsid w:val="00BB405B"/>
    <w:rsid w:val="00BC29D0"/>
    <w:rsid w:val="00BD797F"/>
    <w:rsid w:val="00BE1470"/>
    <w:rsid w:val="00BE30C8"/>
    <w:rsid w:val="00BE6FFA"/>
    <w:rsid w:val="00BE7C72"/>
    <w:rsid w:val="00BF1421"/>
    <w:rsid w:val="00BF414E"/>
    <w:rsid w:val="00BF5A34"/>
    <w:rsid w:val="00BF78BF"/>
    <w:rsid w:val="00C00BBF"/>
    <w:rsid w:val="00C04AA4"/>
    <w:rsid w:val="00C05445"/>
    <w:rsid w:val="00C12CBD"/>
    <w:rsid w:val="00C134DB"/>
    <w:rsid w:val="00C25B78"/>
    <w:rsid w:val="00C32068"/>
    <w:rsid w:val="00C33FEF"/>
    <w:rsid w:val="00C4163B"/>
    <w:rsid w:val="00C41F24"/>
    <w:rsid w:val="00C45F20"/>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55D6"/>
    <w:rsid w:val="00CF78D3"/>
    <w:rsid w:val="00D01E70"/>
    <w:rsid w:val="00D10B27"/>
    <w:rsid w:val="00D12CFF"/>
    <w:rsid w:val="00D156AF"/>
    <w:rsid w:val="00D16367"/>
    <w:rsid w:val="00D2092C"/>
    <w:rsid w:val="00D22AA1"/>
    <w:rsid w:val="00D22DC3"/>
    <w:rsid w:val="00D25683"/>
    <w:rsid w:val="00D27042"/>
    <w:rsid w:val="00D4253A"/>
    <w:rsid w:val="00D50B42"/>
    <w:rsid w:val="00D57228"/>
    <w:rsid w:val="00D61C6D"/>
    <w:rsid w:val="00D64034"/>
    <w:rsid w:val="00D67F30"/>
    <w:rsid w:val="00D73109"/>
    <w:rsid w:val="00D76C43"/>
    <w:rsid w:val="00D810EC"/>
    <w:rsid w:val="00D835B6"/>
    <w:rsid w:val="00D84464"/>
    <w:rsid w:val="00DA0540"/>
    <w:rsid w:val="00DA2840"/>
    <w:rsid w:val="00DA4030"/>
    <w:rsid w:val="00DB15FD"/>
    <w:rsid w:val="00DB58EC"/>
    <w:rsid w:val="00DC399B"/>
    <w:rsid w:val="00DD5E2B"/>
    <w:rsid w:val="00DF3781"/>
    <w:rsid w:val="00DF6E69"/>
    <w:rsid w:val="00E107CA"/>
    <w:rsid w:val="00E1216B"/>
    <w:rsid w:val="00E1477F"/>
    <w:rsid w:val="00E16C63"/>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865E7"/>
    <w:rsid w:val="00EA4C4B"/>
    <w:rsid w:val="00EA77BE"/>
    <w:rsid w:val="00EC19C1"/>
    <w:rsid w:val="00EC7271"/>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3F49"/>
    <w:rsid w:val="00F65837"/>
    <w:rsid w:val="00F72D00"/>
    <w:rsid w:val="00F81150"/>
    <w:rsid w:val="00F833B7"/>
    <w:rsid w:val="00F83A22"/>
    <w:rsid w:val="00F84CF9"/>
    <w:rsid w:val="00F87C6C"/>
    <w:rsid w:val="00F87E38"/>
    <w:rsid w:val="00F97EA2"/>
    <w:rsid w:val="00FA155E"/>
    <w:rsid w:val="00FA2322"/>
    <w:rsid w:val="00FB4B0C"/>
    <w:rsid w:val="00FC0D10"/>
    <w:rsid w:val="00FC1934"/>
    <w:rsid w:val="00FC382A"/>
    <w:rsid w:val="00FE2121"/>
    <w:rsid w:val="00FE38F0"/>
    <w:rsid w:val="00FE43A9"/>
    <w:rsid w:val="00FF41F3"/>
    <w:rsid w:val="494CC4A9"/>
    <w:rsid w:val="4EB6C5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072C60"/>
    <w:pPr>
      <w:autoSpaceDE w:val="0"/>
      <w:autoSpaceDN w:val="0"/>
      <w:adjustRightInd w:val="0"/>
      <w:spacing w:after="0" w:line="240" w:lineRule="auto"/>
    </w:pPr>
    <w:rPr>
      <w:rFonts w:ascii="Arial" w:hAnsi="Arial" w:cs="Arial"/>
      <w:color w:val="000000"/>
      <w:sz w:val="24"/>
      <w:szCs w:val="24"/>
      <w:lang w:val="es-PE"/>
    </w:rPr>
  </w:style>
  <w:style w:type="character" w:styleId="Textoennegrita">
    <w:name w:val="Strong"/>
    <w:qFormat/>
    <w:rsid w:val="000620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3138293">
      <w:bodyDiv w:val="1"/>
      <w:marLeft w:val="0"/>
      <w:marRight w:val="0"/>
      <w:marTop w:val="0"/>
      <w:marBottom w:val="0"/>
      <w:divBdr>
        <w:top w:val="none" w:sz="0" w:space="0" w:color="auto"/>
        <w:left w:val="none" w:sz="0" w:space="0" w:color="auto"/>
        <w:bottom w:val="none" w:sz="0" w:space="0" w:color="auto"/>
        <w:right w:val="none" w:sz="0" w:space="0" w:color="auto"/>
      </w:divBdr>
    </w:div>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92009586-EBF1-4211-8B93-2F862A754220}"/>
</file>

<file path=customXml/itemProps3.xml><?xml version="1.0" encoding="utf-8"?>
<ds:datastoreItem xmlns:ds="http://schemas.openxmlformats.org/officeDocument/2006/customXml" ds:itemID="{0D5DB28D-F90B-46D6-B78A-C04BDAE96D06}"/>
</file>

<file path=customXml/itemProps4.xml><?xml version="1.0" encoding="utf-8"?>
<ds:datastoreItem xmlns:ds="http://schemas.openxmlformats.org/officeDocument/2006/customXml" ds:itemID="{42C758CD-0A8A-4141-A7E2-71D97A92BB1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38</cp:revision>
  <cp:lastPrinted>2021-03-01T13:03:00Z</cp:lastPrinted>
  <dcterms:created xsi:type="dcterms:W3CDTF">2020-12-18T20:17:00Z</dcterms:created>
  <dcterms:modified xsi:type="dcterms:W3CDTF">2026-02-02T21:38:04Z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