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5A4C4E" w:rsidR="00707C99" w:rsidP="00072C60" w:rsidRDefault="00201C0D" w14:paraId="19FE0E96" w14:textId="3D7A6168">
      <w:pPr>
        <w:spacing w:after="0" w:line="240" w:lineRule="auto"/>
        <w:jc w:val="center"/>
        <w:rPr>
          <w:rFonts w:ascii="Times New Roman" w:hAnsi="Times New Roman" w:cs="Times New Roman"/>
          <w:b/>
          <w:sz w:val="24"/>
          <w:szCs w:val="24"/>
          <w:lang w:val="es-PE" w:eastAsia="ar-SA"/>
        </w:rPr>
      </w:pPr>
      <w:r w:rsidRPr="005A4C4E">
        <w:rPr>
          <w:rFonts w:ascii="Times New Roman" w:hAnsi="Times New Roman" w:cs="Times New Roman"/>
          <w:b/>
          <w:sz w:val="24"/>
          <w:szCs w:val="24"/>
          <w:lang w:val="es-PE" w:eastAsia="ar-SA"/>
        </w:rPr>
        <w:t xml:space="preserve">RESOLUCIÓN DE RECURSO IMPUGNATIVO </w:t>
      </w:r>
      <w:proofErr w:type="spellStart"/>
      <w:r w:rsidRPr="005A4C4E" w:rsidR="00707C99">
        <w:rPr>
          <w:rFonts w:ascii="Times New Roman" w:hAnsi="Times New Roman" w:cs="Times New Roman"/>
          <w:b/>
          <w:sz w:val="24"/>
          <w:szCs w:val="24"/>
          <w:lang w:val="es-PE" w:eastAsia="ar-SA"/>
        </w:rPr>
        <w:t>N°</w:t>
      </w:r>
      <w:proofErr w:type="spellEnd"/>
      <w:r w:rsidRPr="005A4C4E" w:rsidR="00707C99">
        <w:rPr>
          <w:rFonts w:ascii="Times New Roman" w:hAnsi="Times New Roman" w:cs="Times New Roman"/>
          <w:b/>
          <w:sz w:val="24"/>
          <w:szCs w:val="24"/>
          <w:lang w:val="es-PE" w:eastAsia="ar-SA"/>
        </w:rPr>
        <w:t xml:space="preserve"> </w:t>
      </w:r>
      <w:r w:rsidRPr="005A4C4E" w:rsidR="00C671F5">
        <w:rPr>
          <w:rFonts w:ascii="Times New Roman" w:hAnsi="Times New Roman" w:cs="Times New Roman"/>
          <w:b/>
          <w:sz w:val="24"/>
          <w:szCs w:val="24"/>
          <w:lang w:val="es-PE" w:eastAsia="ar-SA"/>
        </w:rPr>
        <w:t>0</w:t>
      </w:r>
      <w:r w:rsidRPr="005A4C4E" w:rsidR="000752E4">
        <w:rPr>
          <w:rFonts w:ascii="Times New Roman" w:hAnsi="Times New Roman" w:cs="Times New Roman"/>
          <w:b/>
          <w:sz w:val="24"/>
          <w:szCs w:val="24"/>
          <w:lang w:val="es-PE" w:eastAsia="ar-SA"/>
        </w:rPr>
        <w:t>1</w:t>
      </w:r>
      <w:r w:rsidRPr="005A4C4E" w:rsidR="005A4C4E">
        <w:rPr>
          <w:rFonts w:ascii="Times New Roman" w:hAnsi="Times New Roman" w:cs="Times New Roman"/>
          <w:b/>
          <w:sz w:val="24"/>
          <w:szCs w:val="24"/>
          <w:lang w:val="es-PE" w:eastAsia="ar-SA"/>
        </w:rPr>
        <w:t>8</w:t>
      </w:r>
      <w:r w:rsidRPr="005A4C4E" w:rsidR="00C671F5">
        <w:rPr>
          <w:rFonts w:ascii="Times New Roman" w:hAnsi="Times New Roman" w:cs="Times New Roman"/>
          <w:b/>
          <w:sz w:val="24"/>
          <w:szCs w:val="24"/>
          <w:lang w:val="es-PE" w:eastAsia="ar-SA"/>
        </w:rPr>
        <w:t>/2</w:t>
      </w:r>
      <w:r w:rsidRPr="005A4C4E" w:rsidR="00231C58">
        <w:rPr>
          <w:rFonts w:ascii="Times New Roman" w:hAnsi="Times New Roman" w:cs="Times New Roman"/>
          <w:b/>
          <w:sz w:val="24"/>
          <w:szCs w:val="24"/>
          <w:lang w:val="es-PE" w:eastAsia="ar-SA"/>
        </w:rPr>
        <w:t>1</w:t>
      </w:r>
    </w:p>
    <w:p w:rsidRPr="005A4C4E"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5A4C4E" w:rsidR="00224CEE" w:rsidP="00224CEE" w:rsidRDefault="00224CEE" w14:paraId="1132310D"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5A4C4E" w:rsidR="005A4C4E" w:rsidP="005A4C4E" w:rsidRDefault="005A4C4E" w14:paraId="59FAB39E" w14:textId="137ACE6E">
      <w:pPr>
        <w:jc w:val="both"/>
        <w:outlineLvl w:val="0"/>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VISTOS:</w:t>
      </w:r>
    </w:p>
    <w:p w:rsidRPr="005A4C4E" w:rsidR="005A4C4E" w:rsidP="005A4C4E" w:rsidRDefault="005A4C4E" w14:paraId="01C99390" w14:textId="7EECD373">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 xml:space="preserve">El recurso de impugnación presentado por </w:t>
      </w:r>
      <w:r w:rsidRPr="63875330" w:rsidR="2A1471DF">
        <w:rPr>
          <w:rFonts w:ascii="Times New Roman" w:hAnsi="Times New Roman" w:cs="Times New Roman"/>
          <w:b w:val="1"/>
          <w:bCs w:val="1"/>
          <w:sz w:val="24"/>
          <w:szCs w:val="24"/>
          <w:lang w:val="es-PE" w:eastAsia="es-ES"/>
        </w:rPr>
        <w:t>...................................................</w:t>
      </w:r>
      <w:r w:rsidRPr="63875330" w:rsidR="005A4C4E">
        <w:rPr>
          <w:rFonts w:ascii="Times New Roman" w:hAnsi="Times New Roman" w:cs="Times New Roman"/>
          <w:sz w:val="24"/>
          <w:szCs w:val="24"/>
          <w:lang w:val="es-PE" w:eastAsia="es-ES"/>
        </w:rPr>
        <w:t xml:space="preserve"> </w:t>
      </w:r>
      <w:r w:rsidRPr="63875330" w:rsidR="005A4C4E">
        <w:rPr>
          <w:rFonts w:ascii="Times New Roman" w:hAnsi="Times New Roman" w:cs="Times New Roman"/>
          <w:sz w:val="24"/>
          <w:szCs w:val="24"/>
          <w:lang w:val="es-PE"/>
        </w:rPr>
        <w:t xml:space="preserve">respecto de la Resolución Nro. 119/20, expedida por esta Defensoría del Asegurado (DEFASEG), conforme a la cual se declaró FUNDADA la reclamación interpuesta por </w:t>
      </w:r>
      <w:r w:rsidRPr="63875330" w:rsidR="4DC0F496">
        <w:rPr>
          <w:rFonts w:ascii="Times New Roman" w:hAnsi="Times New Roman" w:cs="Times New Roman"/>
          <w:b w:val="1"/>
          <w:bCs w:val="1"/>
          <w:sz w:val="24"/>
          <w:szCs w:val="24"/>
          <w:lang w:val="es-PE"/>
        </w:rPr>
        <w:t>...................................................</w:t>
      </w:r>
      <w:r w:rsidRPr="63875330" w:rsidR="005A4C4E">
        <w:rPr>
          <w:rFonts w:ascii="Times New Roman" w:hAnsi="Times New Roman" w:cs="Times New Roman"/>
          <w:b w:val="1"/>
          <w:bCs w:val="1"/>
          <w:sz w:val="24"/>
          <w:szCs w:val="24"/>
          <w:lang w:val="es-PE"/>
        </w:rPr>
        <w:t xml:space="preserve"> </w:t>
      </w:r>
      <w:r w:rsidRPr="63875330" w:rsidR="005A4C4E">
        <w:rPr>
          <w:rFonts w:ascii="Times New Roman" w:hAnsi="Times New Roman" w:cs="Times New Roman"/>
          <w:sz w:val="24"/>
          <w:szCs w:val="24"/>
          <w:lang w:val="es-PE"/>
        </w:rPr>
        <w:t xml:space="preserve">respecto al </w:t>
      </w:r>
      <w:r w:rsidRPr="63875330" w:rsidR="3A1A12CB">
        <w:rPr>
          <w:rFonts w:ascii="Times New Roman" w:hAnsi="Times New Roman" w:cs="Times New Roman"/>
          <w:b w:val="1"/>
          <w:bCs w:val="1"/>
          <w:sz w:val="24"/>
          <w:szCs w:val="24"/>
          <w:lang w:val="es-PE"/>
        </w:rPr>
        <w:t>...................................................</w:t>
      </w:r>
      <w:r w:rsidRPr="63875330" w:rsidR="005A4C4E">
        <w:rPr>
          <w:rFonts w:ascii="Times New Roman" w:hAnsi="Times New Roman" w:cs="Times New Roman"/>
          <w:sz w:val="24"/>
          <w:szCs w:val="24"/>
          <w:lang w:val="es-PE"/>
        </w:rPr>
        <w:t xml:space="preserve"> – SOAT, Póliza Nro. </w:t>
      </w:r>
      <w:r w:rsidRPr="63875330" w:rsidR="248DA265">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w:t>
      </w:r>
    </w:p>
    <w:p w:rsidRPr="005A4C4E" w:rsidR="005A4C4E" w:rsidP="005A4C4E" w:rsidRDefault="005A4C4E" w14:paraId="7122A201" w14:textId="1B03D752">
      <w:pPr>
        <w:pStyle w:val="Default"/>
        <w:jc w:val="both"/>
        <w:rPr>
          <w:rFonts w:ascii="Times New Roman" w:hAnsi="Times New Roman" w:cs="Times New Roman"/>
        </w:rPr>
      </w:pPr>
      <w:r w:rsidRPr="63875330" w:rsidR="005A4C4E">
        <w:rPr>
          <w:rFonts w:ascii="Times New Roman" w:hAnsi="Times New Roman" w:cs="Times New Roman"/>
        </w:rPr>
        <w:t xml:space="preserve">Que, el indicado recurso se sustenta resumidamente en lo siguiente: (1) asume que existe falta de motivación y se ha vulnerado el debido proceso, puesto que entiende que en la resolución no hay pronunciamiento sobre todos los argumentos y medios de prueba expuestos por la aseguradora; (2) son meras afirmaciones que el vehículo menor acoplado no estaba operativo; (3) la reclamante no contrató un seguro con </w:t>
      </w:r>
      <w:r w:rsidRPr="63875330" w:rsidR="2F9113D7">
        <w:rPr>
          <w:rFonts w:ascii="Times New Roman" w:hAnsi="Times New Roman" w:cs="Times New Roman"/>
        </w:rPr>
        <w:t>.........................</w:t>
      </w:r>
      <w:r w:rsidRPr="63875330" w:rsidR="005A4C4E">
        <w:rPr>
          <w:rFonts w:ascii="Times New Roman" w:hAnsi="Times New Roman" w:cs="Times New Roman"/>
        </w:rPr>
        <w:t xml:space="preserve">, por tanto, no existe una relación de consumo, entre la aseguradora y la reclamante; (4) el caso en concreto versa sobre un accidente de tránsito donde participaron un vehículo automotor que contaba con SOAT y un vehículo automotor sin SOAT (el de la reclamante), radicando la controversia en si </w:t>
      </w:r>
      <w:r w:rsidRPr="63875330" w:rsidR="2F9113D7">
        <w:rPr>
          <w:rFonts w:ascii="Times New Roman" w:hAnsi="Times New Roman" w:cs="Times New Roman"/>
        </w:rPr>
        <w:t>.........................</w:t>
      </w:r>
      <w:r w:rsidRPr="63875330" w:rsidR="005A4C4E">
        <w:rPr>
          <w:rFonts w:ascii="Times New Roman" w:hAnsi="Times New Roman" w:cs="Times New Roman"/>
        </w:rPr>
        <w:t xml:space="preserve"> estaría obligada a indemnizar al chofer o conductor del vehículo no asegurado; (5) siendo que  no corresponde extender dicha protección al conductor o chofer de la unidad siniestrada que no contase con SOAT; (6) es deber de todo conductor contratar el seguro SOAT para su vehículo antes de hacerlo circular, no resulta correcto que ante un siniestro, el conductor, que no cumple con tal obligación legal, reclame a la aseguradora de otro vehículo interviniente en el siniestro (que cuenta con SOAT) una indemnización a consecuencia de un siniestro, cuando este, no ha cumplido con el deber legal antes mencionado, esto es contar y pagar por un SOAT destinado a cubrir a los ocupantes y terceros no ocupantes en relación con su propio vehículo; (7) si un agente de tránsito conduce un vehículo a sabiendas que no cuenta con un SOAT, no podría ser considerado como beneficiario de dicho seguro, en tanto ha actuado inobservando un deber de cuidado impuesto por ley, siendo un escenario totalmente distinto al caso de los ocupantes (o terceros no ocupantes) del referido vehículo, toda vez que, a estos, a diferencia del conductor irresponsable, no se les puede atribuir la responsabilidad por el que el vehículo no tenga un SOAT. Ello, en tanto el conductor es quien está en mejor posición de saber y cumplir con la obligación de contar con SOAT, el cual debería activarse ante un siniestro que el vehículo sufra y no esperar que los seguros de otros vehículos se hagan efectivos; (8) si bien es cierto, la reclamante bajo una interpretación del artículo 17° del Reglamento del SOAT, señala que correspondería a </w:t>
      </w:r>
      <w:r w:rsidRPr="63875330" w:rsidR="2F9113D7">
        <w:rPr>
          <w:rFonts w:ascii="Times New Roman" w:hAnsi="Times New Roman" w:cs="Times New Roman"/>
        </w:rPr>
        <w:t>.........................</w:t>
      </w:r>
      <w:r w:rsidRPr="63875330" w:rsidR="005A4C4E">
        <w:rPr>
          <w:rFonts w:ascii="Times New Roman" w:hAnsi="Times New Roman" w:cs="Times New Roman"/>
        </w:rPr>
        <w:t xml:space="preserve">, hacer efectiva la cobertura incluso frente a los ocupantes o no ocupantes del vehículo sin SOAT, dicha obligación no se extiende al conductor o propietario negligente del vehículo que no hubiera contratado el referido seguro; (9) la señora Sevillano fue conductor de la unidad siniestrada que no contaba con SOAT, cabe concluir que no correspondía otorgar a su favor, o a favor de los correspondientes beneficiarios, la cobertura de indemnización por incapacidad temporal acogida en el Reglamento del SOAT, al colocar en circulación un vehículo que no contaba con SOAT, de manera negligente; (10) la denunciante no ha presentado medio de prueba que acredite sus alegaciones. </w:t>
      </w:r>
    </w:p>
    <w:p w:rsidR="005A4C4E" w:rsidP="005A4C4E" w:rsidRDefault="005A4C4E" w14:paraId="12CFE738" w14:textId="77777777">
      <w:pPr>
        <w:pStyle w:val="Textoindependiente"/>
        <w:rPr>
          <w:lang w:val="es-PE"/>
        </w:rPr>
      </w:pPr>
    </w:p>
    <w:p w:rsidRPr="005A4C4E" w:rsidR="005A4C4E" w:rsidP="005A4C4E" w:rsidRDefault="005A4C4E" w14:paraId="264A2D25" w14:textId="7D85D882">
      <w:pPr>
        <w:pStyle w:val="Textoindependiente"/>
        <w:rPr>
          <w:lang w:val="es-PE"/>
        </w:rPr>
      </w:pPr>
      <w:r w:rsidRPr="005A4C4E">
        <w:rPr>
          <w:lang w:val="es-PE"/>
        </w:rPr>
        <w:t xml:space="preserve">Que, la reclamante no absolvió el traslado del recurso interpuesto. </w:t>
      </w:r>
    </w:p>
    <w:p w:rsidRPr="005A4C4E" w:rsidR="005A4C4E" w:rsidP="005A4C4E" w:rsidRDefault="005A4C4E" w14:paraId="06B2BA03" w14:textId="77777777">
      <w:pPr>
        <w:pStyle w:val="Textoindependiente"/>
        <w:rPr>
          <w:lang w:val="es-PE"/>
        </w:rPr>
      </w:pPr>
    </w:p>
    <w:p w:rsidRPr="005A4C4E" w:rsidR="005A4C4E" w:rsidP="005A4C4E" w:rsidRDefault="005A4C4E" w14:paraId="1196C934" w14:textId="77777777">
      <w:pPr>
        <w:pStyle w:val="Textoindependiente"/>
        <w:tabs>
          <w:tab w:val="left" w:pos="930"/>
        </w:tabs>
        <w:rPr>
          <w:lang w:val="es-PE"/>
        </w:rPr>
      </w:pPr>
      <w:r w:rsidRPr="005A4C4E">
        <w:rPr>
          <w:lang w:val="es-PE"/>
        </w:rPr>
        <w:t>Que, atendiendo a lo expuesto, esta Defensoría resuelve finalmente lo siguiente:</w:t>
      </w:r>
    </w:p>
    <w:p w:rsidR="005A4C4E" w:rsidP="005A4C4E" w:rsidRDefault="005A4C4E" w14:paraId="5FF96433" w14:textId="77777777">
      <w:pPr>
        <w:jc w:val="both"/>
        <w:rPr>
          <w:rFonts w:ascii="Times New Roman" w:hAnsi="Times New Roman" w:cs="Times New Roman"/>
          <w:b/>
          <w:sz w:val="24"/>
          <w:szCs w:val="24"/>
          <w:u w:val="single"/>
          <w:lang w:val="es-PE"/>
        </w:rPr>
      </w:pPr>
    </w:p>
    <w:p w:rsidRPr="005A4C4E" w:rsidR="005A4C4E" w:rsidP="005A4C4E" w:rsidRDefault="005A4C4E" w14:paraId="15AD5774" w14:textId="54F89859">
      <w:pPr>
        <w:jc w:val="both"/>
        <w:rPr>
          <w:rFonts w:ascii="Times New Roman" w:hAnsi="Times New Roman" w:cs="Times New Roman"/>
          <w:sz w:val="24"/>
          <w:szCs w:val="24"/>
          <w:lang w:val="es-PE"/>
        </w:rPr>
      </w:pPr>
      <w:r w:rsidRPr="005A4C4E">
        <w:rPr>
          <w:rFonts w:ascii="Times New Roman" w:hAnsi="Times New Roman" w:cs="Times New Roman"/>
          <w:b/>
          <w:sz w:val="24"/>
          <w:szCs w:val="24"/>
          <w:u w:val="single"/>
          <w:lang w:val="es-PE"/>
        </w:rPr>
        <w:t>PRIMERO</w:t>
      </w:r>
      <w:r w:rsidRPr="005A4C4E">
        <w:rPr>
          <w:rFonts w:ascii="Times New Roman" w:hAnsi="Times New Roman" w:cs="Times New Roman"/>
          <w:b/>
          <w:sz w:val="24"/>
          <w:szCs w:val="24"/>
          <w:lang w:val="es-PE"/>
        </w:rPr>
        <w:t>:</w:t>
      </w:r>
      <w:r w:rsidRPr="005A4C4E">
        <w:rPr>
          <w:rFonts w:ascii="Times New Roman" w:hAnsi="Times New Roman" w:cs="Times New Roman"/>
          <w:sz w:val="24"/>
          <w:szCs w:val="24"/>
          <w:lang w:val="es-PE"/>
        </w:rPr>
        <w:t xml:space="preserve"> El artículo 10 (Procedimiento) del Reglamento de la DEFASEG </w:t>
      </w:r>
      <w:r w:rsidRPr="005A4C4E">
        <w:rPr>
          <w:rFonts w:ascii="Times New Roman" w:hAnsi="Times New Roman" w:eastAsia="Arial Unicode MS" w:cs="Times New Roman"/>
          <w:sz w:val="24"/>
          <w:szCs w:val="24"/>
          <w:lang w:val="es-PE"/>
        </w:rPr>
        <w:t>(http://www.defaseg.com.pe/reglamento)</w:t>
      </w:r>
      <w:r w:rsidRPr="005A4C4E">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5A4C4E" w:rsidR="005A4C4E" w:rsidP="005A4C4E" w:rsidRDefault="005A4C4E" w14:paraId="52BE17FE" w14:textId="77777777">
      <w:pPr>
        <w:jc w:val="both"/>
        <w:rPr>
          <w:rFonts w:ascii="Times New Roman" w:hAnsi="Times New Roman" w:cs="Times New Roman"/>
          <w:sz w:val="24"/>
          <w:szCs w:val="24"/>
          <w:lang w:val="es-PE"/>
        </w:rPr>
      </w:pPr>
      <w:r w:rsidRPr="005A4C4E">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5A4C4E" w:rsidR="005A4C4E" w:rsidP="005A4C4E" w:rsidRDefault="005A4C4E" w14:paraId="04D480B3" w14:textId="77777777">
      <w:pPr>
        <w:jc w:val="both"/>
        <w:rPr>
          <w:rFonts w:ascii="Times New Roman" w:hAnsi="Times New Roman" w:cs="Times New Roman"/>
          <w:sz w:val="24"/>
          <w:szCs w:val="24"/>
          <w:lang w:val="es-PE"/>
        </w:rPr>
      </w:pPr>
      <w:r w:rsidRPr="005A4C4E">
        <w:rPr>
          <w:rFonts w:ascii="Times New Roman" w:hAnsi="Times New Roman" w:cs="Times New Roman"/>
          <w:b/>
          <w:bCs/>
          <w:sz w:val="24"/>
          <w:szCs w:val="24"/>
          <w:u w:val="single"/>
          <w:lang w:val="es-PE"/>
        </w:rPr>
        <w:t>SEGUNDO</w:t>
      </w:r>
      <w:r w:rsidRPr="005A4C4E">
        <w:rPr>
          <w:rFonts w:ascii="Times New Roman" w:hAnsi="Times New Roman" w:cs="Times New Roman"/>
          <w:b/>
          <w:bCs/>
          <w:sz w:val="24"/>
          <w:szCs w:val="24"/>
          <w:lang w:val="es-PE"/>
        </w:rPr>
        <w:t>:</w:t>
      </w:r>
      <w:r w:rsidRPr="005A4C4E">
        <w:rPr>
          <w:rFonts w:ascii="Times New Roman" w:hAnsi="Times New Roman" w:cs="Times New Roman"/>
          <w:bCs/>
          <w:sz w:val="24"/>
          <w:szCs w:val="24"/>
          <w:lang w:val="es-PE"/>
        </w:rPr>
        <w:t xml:space="preserve"> Que el recurso de impugnación presentado por la aseguradora no se sustenta en nueva prueba sino en tratar de desvirtuar los fundamentos de la resolución impugnada, invocando una supuesta falta de motivación sin identificar los argumentos o pruebas que eventualmente se habría omitido valorar</w:t>
      </w:r>
      <w:r w:rsidRPr="005A4C4E">
        <w:rPr>
          <w:rFonts w:ascii="Times New Roman" w:hAnsi="Times New Roman" w:cs="Times New Roman"/>
          <w:sz w:val="24"/>
          <w:szCs w:val="24"/>
          <w:lang w:val="es-PE"/>
        </w:rPr>
        <w:t>.</w:t>
      </w:r>
    </w:p>
    <w:p w:rsidRPr="005A4C4E" w:rsidR="005A4C4E" w:rsidP="005A4C4E" w:rsidRDefault="005A4C4E" w14:paraId="038776BD" w14:textId="75EB78D7">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 xml:space="preserve">Sobre el particular, este Colegiado advierte que no existe falta de motivación ni error en la resolución impugnada, por cuanto esta se fundamenta en la verificación que la reclamante no califica como conductora o chofer de un vehículo sin SOAT, como alega </w:t>
      </w:r>
      <w:r w:rsidRPr="63875330" w:rsidR="2F9113D7">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w:t>
      </w:r>
    </w:p>
    <w:p w:rsidRPr="005A4C4E" w:rsidR="005A4C4E" w:rsidP="005A4C4E" w:rsidRDefault="005A4C4E" w14:paraId="6045D0AC" w14:textId="04E5A4CC">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 xml:space="preserve">En efecto, tal como se desarrolla en el séptimo considerando de la resolución impugnada, la Defensoría concluye que las coberturas que deben ser otorgadas en el presente caso son las que corresponden precisamente a favor de un peatón o tercero no ocupante de los vehículos partícipes en un accidente de tránsito, al no haber probado </w:t>
      </w:r>
      <w:r w:rsidRPr="63875330" w:rsidR="2F9113D7">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xml:space="preserve"> lo contrario, esto es, que la reclamante era conductora u ocupante del triciclo que empujaba, y que, con posterioridad a que ella fuera atropellada, fue materia de una colisión o choque por parte de la unidad asegurada.</w:t>
      </w:r>
    </w:p>
    <w:p w:rsidRPr="005A4C4E" w:rsidR="005A4C4E" w:rsidP="005A4C4E" w:rsidRDefault="005A4C4E" w14:paraId="066124E5" w14:textId="77777777">
      <w:pPr>
        <w:jc w:val="both"/>
        <w:rPr>
          <w:rFonts w:ascii="Times New Roman" w:hAnsi="Times New Roman" w:cs="Times New Roman"/>
          <w:sz w:val="24"/>
          <w:szCs w:val="24"/>
          <w:lang w:val="es-PE"/>
        </w:rPr>
      </w:pPr>
      <w:r w:rsidRPr="005A4C4E">
        <w:rPr>
          <w:rFonts w:ascii="Times New Roman" w:hAnsi="Times New Roman" w:cs="Times New Roman"/>
          <w:sz w:val="24"/>
          <w:szCs w:val="24"/>
          <w:lang w:val="es-PE"/>
        </w:rPr>
        <w:t>La Defensoría llega a su conclusión, tal como se desarrolla en el sexto considerando valorando la Denuncia Policial donde la autoridad policial da cuenta de los hechos que configuran el accidente de tránsito materia del siniestro bajo cobertura.</w:t>
      </w:r>
    </w:p>
    <w:p w:rsidRPr="005A4C4E" w:rsidR="005A4C4E" w:rsidP="005A4C4E" w:rsidRDefault="005A4C4E" w14:paraId="0D1C193E" w14:textId="1D03450D">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Como se deja constancia en dicho considerando, citando textualmente a la calificación de la autoridad policial, el accidente de tránsito es calificado como un “atropello seguido de choque”, que involucra a la unidad asegurada (</w:t>
      </w:r>
      <w:r w:rsidRPr="63875330" w:rsidR="4781F2C0">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xml:space="preserve">) y a un peatón (la reclamante </w:t>
      </w:r>
      <w:r w:rsidRPr="63875330" w:rsidR="3F870444">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w:t>
      </w:r>
    </w:p>
    <w:p w:rsidRPr="005A4C4E" w:rsidR="005A4C4E" w:rsidP="005A4C4E" w:rsidRDefault="005A4C4E" w14:paraId="3641EE89" w14:textId="2A1C4F9B">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Asimismo, se valora que la información policial sobre las circunstancias del accidente de tránsito refiere expresa y claramente a dos eventos, como son: por un lado, el atropello a la reclamante (</w:t>
      </w:r>
      <w:r w:rsidRPr="63875330" w:rsidR="3F870444">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y, por otro, la posterior colisión con el triciclo acoplado (</w:t>
      </w:r>
      <w:r w:rsidRPr="63875330" w:rsidR="3E9941EE">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w:t>
      </w:r>
    </w:p>
    <w:p w:rsidRPr="005A4C4E" w:rsidR="005A4C4E" w:rsidP="005A4C4E" w:rsidRDefault="005A4C4E" w14:paraId="428074B7" w14:textId="38595AC4">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En ese sentido, al valorarse la apreciación de la autoridad policial, el Colegiado identifica plenamente que, al momento del accidente de tránsito, la reclamante tenía la condición de peatón (</w:t>
      </w:r>
      <w:r w:rsidRPr="63875330" w:rsidR="3F870444">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que empujaba un triciclo acoplado (</w:t>
      </w:r>
      <w:r w:rsidRPr="63875330" w:rsidR="3E9941EE">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Es evidente que, al estar fuera del triciclo acoplado empujándolo, la reclamante no tiene la condición de conductora ni ocupante de una unidad vehicular sin SOAT participante de un choque o colisión.</w:t>
      </w:r>
    </w:p>
    <w:p w:rsidRPr="005A4C4E" w:rsidR="005A4C4E" w:rsidP="005A4C4E" w:rsidRDefault="005A4C4E" w14:paraId="0C417618" w14:textId="2426BD6B">
      <w:pPr>
        <w:jc w:val="both"/>
        <w:rPr>
          <w:rFonts w:ascii="Times New Roman" w:hAnsi="Times New Roman" w:cs="Times New Roman"/>
          <w:sz w:val="24"/>
          <w:szCs w:val="24"/>
          <w:lang w:val="es-PE"/>
        </w:rPr>
      </w:pPr>
      <w:r w:rsidRPr="005A4C4E">
        <w:rPr>
          <w:rFonts w:ascii="Times New Roman" w:hAnsi="Times New Roman" w:cs="Times New Roman"/>
          <w:sz w:val="24"/>
          <w:szCs w:val="24"/>
          <w:lang w:val="es-PE"/>
        </w:rPr>
        <w:t>Asimismo, cabe advertir que no es cierto que sean meras afirmaciones que el vehículo menor acoplado no estaba operativo, ya que como se deja constancia en la resolución impugnada, la autoridad policial da cuenta que el triciclo acoplado no funcionaba como vehículo motorizado, ya que no tenía batería y su sistema de funcionamiento no estaba operativo.</w:t>
      </w:r>
    </w:p>
    <w:p w:rsidRPr="005A4C4E" w:rsidR="005A4C4E" w:rsidP="005A4C4E" w:rsidRDefault="005A4C4E" w14:paraId="58053AC2" w14:textId="4AFB383B">
      <w:pPr>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 xml:space="preserve">Igualmente, como </w:t>
      </w:r>
      <w:r w:rsidRPr="63875330" w:rsidR="005A4C4E">
        <w:rPr>
          <w:rFonts w:ascii="Times New Roman" w:hAnsi="Times New Roman" w:cs="Times New Roman"/>
          <w:sz w:val="24"/>
          <w:szCs w:val="24"/>
          <w:lang w:val="es-PE"/>
        </w:rPr>
        <w:t>de</w:t>
      </w:r>
      <w:r w:rsidRPr="63875330" w:rsidR="005A4C4E">
        <w:rPr>
          <w:rFonts w:ascii="Times New Roman" w:hAnsi="Times New Roman" w:cs="Times New Roman"/>
          <w:sz w:val="24"/>
          <w:szCs w:val="24"/>
          <w:lang w:val="es-PE"/>
        </w:rPr>
        <w:t xml:space="preserve"> indica en la resolución impugnada, la Defensoría valora el hecho de que la denuncia policial se hizo con la presencia del conductor de la unidad asegurada (</w:t>
      </w:r>
      <w:r w:rsidRPr="63875330" w:rsidR="4781F2C0">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y dicho conductor no observó ni dio una descripción distinta de los hechos recogidos en la Denuncia Policial.</w:t>
      </w:r>
    </w:p>
    <w:p w:rsidRPr="005A4C4E" w:rsidR="005A4C4E" w:rsidP="005A4C4E" w:rsidRDefault="005A4C4E" w14:paraId="72958095" w14:textId="2AFEB2A5">
      <w:pPr>
        <w:tabs>
          <w:tab w:val="left" w:pos="709"/>
          <w:tab w:val="left" w:pos="2160"/>
        </w:tabs>
        <w:jc w:val="both"/>
        <w:rPr>
          <w:rFonts w:ascii="Times New Roman" w:hAnsi="Times New Roman" w:cs="Times New Roman"/>
          <w:sz w:val="24"/>
          <w:szCs w:val="24"/>
          <w:lang w:val="es-PE"/>
        </w:rPr>
      </w:pPr>
      <w:r w:rsidRPr="005A4C4E">
        <w:rPr>
          <w:rFonts w:ascii="Times New Roman" w:hAnsi="Times New Roman" w:cs="Times New Roman"/>
          <w:sz w:val="24"/>
          <w:szCs w:val="24"/>
          <w:lang w:val="es-PE"/>
        </w:rPr>
        <w:t>Al no existir evidencia que desvirtúe la exactitud de la descripción fáctica del accidente de tránsito, se mantiene la presunción de certeza derivada de la información consignada por la Policía Nacional del Perú en la Denuncia Policial de fecha 18 de diciembre de 2019.</w:t>
      </w:r>
    </w:p>
    <w:p w:rsidRPr="005A4C4E" w:rsidR="005A4C4E" w:rsidP="005A4C4E" w:rsidRDefault="005A4C4E" w14:paraId="0C17B4E7" w14:textId="648562A6">
      <w:pPr>
        <w:tabs>
          <w:tab w:val="left" w:pos="709"/>
          <w:tab w:val="left" w:pos="2160"/>
        </w:tabs>
        <w:jc w:val="both"/>
        <w:rPr>
          <w:rFonts w:ascii="Times New Roman" w:hAnsi="Times New Roman" w:cs="Times New Roman"/>
          <w:sz w:val="24"/>
          <w:szCs w:val="24"/>
          <w:lang w:val="es-PE"/>
        </w:rPr>
      </w:pPr>
      <w:r w:rsidRPr="63875330" w:rsidR="005A4C4E">
        <w:rPr>
          <w:rFonts w:ascii="Times New Roman" w:hAnsi="Times New Roman" w:cs="Times New Roman"/>
          <w:sz w:val="24"/>
          <w:szCs w:val="24"/>
          <w:lang w:val="es-PE"/>
        </w:rPr>
        <w:t xml:space="preserve">Dada la evidencia probatoria analizada, el Colegiado verificó que </w:t>
      </w:r>
      <w:r w:rsidRPr="63875330" w:rsidR="2F9113D7">
        <w:rPr>
          <w:rFonts w:ascii="Times New Roman" w:hAnsi="Times New Roman" w:cs="Times New Roman"/>
          <w:sz w:val="24"/>
          <w:szCs w:val="24"/>
          <w:lang w:val="es-PE"/>
        </w:rPr>
        <w:t>.........................</w:t>
      </w:r>
      <w:r w:rsidRPr="63875330" w:rsidR="005A4C4E">
        <w:rPr>
          <w:rFonts w:ascii="Times New Roman" w:hAnsi="Times New Roman" w:cs="Times New Roman"/>
          <w:sz w:val="24"/>
          <w:szCs w:val="24"/>
          <w:lang w:val="es-PE"/>
        </w:rPr>
        <w:t xml:space="preserve"> no demostró de manera fehaciente ni concluyente, la circunstancia por la que no le correspondería asumir responsabilidad frente a la reclamante.</w:t>
      </w:r>
    </w:p>
    <w:p w:rsidRPr="005A4C4E" w:rsidR="005A4C4E" w:rsidP="005A4C4E" w:rsidRDefault="005A4C4E" w14:paraId="0483BC4B" w14:textId="77777777">
      <w:pPr>
        <w:jc w:val="both"/>
        <w:rPr>
          <w:rFonts w:ascii="Times New Roman" w:hAnsi="Times New Roman" w:cs="Times New Roman"/>
          <w:sz w:val="24"/>
          <w:szCs w:val="24"/>
          <w:lang w:val="es-PE"/>
        </w:rPr>
      </w:pPr>
      <w:r w:rsidRPr="005A4C4E">
        <w:rPr>
          <w:rFonts w:ascii="Times New Roman" w:hAnsi="Times New Roman" w:cs="Times New Roman"/>
          <w:b/>
          <w:sz w:val="24"/>
          <w:szCs w:val="24"/>
          <w:u w:val="single"/>
          <w:lang w:val="es-PE"/>
        </w:rPr>
        <w:t>TERCERO</w:t>
      </w:r>
      <w:r w:rsidRPr="005A4C4E">
        <w:rPr>
          <w:rFonts w:ascii="Times New Roman" w:hAnsi="Times New Roman" w:cs="Times New Roman"/>
          <w:b/>
          <w:sz w:val="24"/>
          <w:szCs w:val="24"/>
          <w:lang w:val="es-PE"/>
        </w:rPr>
        <w:t>:</w:t>
      </w:r>
      <w:r w:rsidRPr="005A4C4E">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5A4C4E" w:rsidR="005A4C4E" w:rsidP="005A4C4E" w:rsidRDefault="005A4C4E" w14:paraId="4CDB2977" w14:textId="77777777">
      <w:pPr>
        <w:jc w:val="both"/>
        <w:rPr>
          <w:rFonts w:ascii="Times New Roman" w:hAnsi="Times New Roman" w:cs="Times New Roman"/>
          <w:sz w:val="24"/>
          <w:szCs w:val="24"/>
          <w:lang w:val="es-PE"/>
        </w:rPr>
      </w:pPr>
    </w:p>
    <w:p w:rsidRPr="005A4C4E" w:rsidR="005A4C4E" w:rsidP="005A4C4E" w:rsidRDefault="005A4C4E" w14:paraId="0ED2981E" w14:textId="77777777">
      <w:pPr>
        <w:jc w:val="both"/>
        <w:rPr>
          <w:rFonts w:ascii="Times New Roman" w:hAnsi="Times New Roman" w:cs="Times New Roman"/>
          <w:b/>
          <w:sz w:val="24"/>
          <w:szCs w:val="24"/>
          <w:lang w:val="es-PE"/>
        </w:rPr>
      </w:pPr>
      <w:r w:rsidRPr="005A4C4E">
        <w:rPr>
          <w:rFonts w:ascii="Times New Roman" w:hAnsi="Times New Roman" w:cs="Times New Roman"/>
          <w:b/>
          <w:sz w:val="24"/>
          <w:szCs w:val="24"/>
          <w:lang w:val="es-PE"/>
        </w:rPr>
        <w:t>RESUELVE:</w:t>
      </w:r>
    </w:p>
    <w:p w:rsidRPr="005A4C4E" w:rsidR="005A4C4E" w:rsidP="005A4C4E" w:rsidRDefault="005A4C4E" w14:paraId="4022813A" w14:textId="77777777">
      <w:pPr>
        <w:jc w:val="both"/>
        <w:rPr>
          <w:rFonts w:ascii="Times New Roman" w:hAnsi="Times New Roman" w:cs="Times New Roman"/>
          <w:sz w:val="24"/>
          <w:szCs w:val="24"/>
          <w:lang w:val="es-PE"/>
        </w:rPr>
      </w:pPr>
    </w:p>
    <w:p w:rsidRPr="005A4C4E" w:rsidR="005A4C4E" w:rsidP="005A4C4E" w:rsidRDefault="005A4C4E" w14:paraId="06C46F1B" w14:textId="77777777">
      <w:pPr>
        <w:jc w:val="both"/>
        <w:rPr>
          <w:rFonts w:ascii="Times New Roman" w:hAnsi="Times New Roman" w:cs="Times New Roman"/>
          <w:sz w:val="24"/>
          <w:szCs w:val="24"/>
          <w:lang w:val="es-PE"/>
        </w:rPr>
      </w:pPr>
      <w:r w:rsidRPr="005A4C4E">
        <w:rPr>
          <w:rFonts w:ascii="Times New Roman" w:hAnsi="Times New Roman" w:eastAsia="Arial Unicode MS" w:cs="Times New Roman"/>
          <w:b/>
          <w:sz w:val="24"/>
          <w:szCs w:val="24"/>
          <w:lang w:val="es-PE"/>
        </w:rPr>
        <w:t>Declarar INFUNDADO el recurso de impugnación interpuesto y, por consiguiente, CONFIRMAR la Resolución Nro. 119/2020</w:t>
      </w:r>
      <w:r w:rsidRPr="005A4C4E">
        <w:rPr>
          <w:rFonts w:ascii="Times New Roman" w:hAnsi="Times New Roman" w:cs="Times New Roman"/>
          <w:sz w:val="24"/>
          <w:szCs w:val="24"/>
          <w:lang w:val="es-PE"/>
        </w:rPr>
        <w:t>.</w:t>
      </w:r>
    </w:p>
    <w:p w:rsidRPr="005A4C4E" w:rsidR="006F2F97" w:rsidP="006F2F97" w:rsidRDefault="006F2F97" w14:paraId="5B721050" w14:textId="247DF6C9">
      <w:pPr>
        <w:spacing w:after="0" w:line="240" w:lineRule="auto"/>
        <w:jc w:val="both"/>
        <w:rPr>
          <w:rFonts w:ascii="Times New Roman" w:hAnsi="Times New Roman" w:cs="Times New Roman"/>
          <w:b/>
          <w:sz w:val="24"/>
          <w:szCs w:val="24"/>
          <w:lang w:val="es-PE"/>
        </w:rPr>
      </w:pPr>
    </w:p>
    <w:p w:rsidRPr="005A4C4E" w:rsidR="00077B6F" w:rsidP="00C671F5" w:rsidRDefault="0091528B" w14:paraId="78A39B5B" w14:textId="1DB6AF2A">
      <w:pPr>
        <w:suppressAutoHyphens/>
        <w:spacing w:after="0" w:line="240" w:lineRule="auto"/>
        <w:jc w:val="right"/>
        <w:outlineLvl w:val="0"/>
        <w:rPr>
          <w:rFonts w:ascii="Times New Roman" w:hAnsi="Times New Roman" w:eastAsia="Arial Unicode MS" w:cs="Times New Roman"/>
          <w:sz w:val="24"/>
          <w:szCs w:val="24"/>
          <w:lang w:val="es-PE" w:eastAsia="ar-SA"/>
        </w:rPr>
      </w:pPr>
      <w:r w:rsidRPr="005A4C4E">
        <w:rPr>
          <w:rFonts w:ascii="Times New Roman" w:hAnsi="Times New Roman" w:eastAsia="Arial Unicode MS" w:cs="Times New Roman"/>
          <w:sz w:val="24"/>
          <w:szCs w:val="24"/>
          <w:lang w:val="es-PE" w:eastAsia="ar-SA"/>
        </w:rPr>
        <w:t xml:space="preserve">Lima, </w:t>
      </w:r>
      <w:r w:rsidRPr="005A4C4E" w:rsidR="00BF5A34">
        <w:rPr>
          <w:rFonts w:ascii="Times New Roman" w:hAnsi="Times New Roman" w:eastAsia="Arial Unicode MS" w:cs="Times New Roman"/>
          <w:sz w:val="24"/>
          <w:szCs w:val="24"/>
          <w:lang w:val="es-PE" w:eastAsia="ar-SA"/>
        </w:rPr>
        <w:t>01</w:t>
      </w:r>
      <w:r w:rsidRPr="005A4C4E" w:rsidR="00707C99">
        <w:rPr>
          <w:rFonts w:ascii="Times New Roman" w:hAnsi="Times New Roman" w:eastAsia="Arial Unicode MS" w:cs="Times New Roman"/>
          <w:sz w:val="24"/>
          <w:szCs w:val="24"/>
          <w:lang w:val="es-PE" w:eastAsia="ar-SA"/>
        </w:rPr>
        <w:t xml:space="preserve"> de </w:t>
      </w:r>
      <w:r w:rsidRPr="005A4C4E" w:rsidR="00BF5A34">
        <w:rPr>
          <w:rFonts w:ascii="Times New Roman" w:hAnsi="Times New Roman" w:eastAsia="Arial Unicode MS" w:cs="Times New Roman"/>
          <w:sz w:val="24"/>
          <w:szCs w:val="24"/>
          <w:lang w:val="es-PE" w:eastAsia="ar-SA"/>
        </w:rPr>
        <w:t>marzo</w:t>
      </w:r>
      <w:r w:rsidRPr="005A4C4E" w:rsidR="00F06498">
        <w:rPr>
          <w:rFonts w:ascii="Times New Roman" w:hAnsi="Times New Roman" w:eastAsia="Arial Unicode MS" w:cs="Times New Roman"/>
          <w:sz w:val="24"/>
          <w:szCs w:val="24"/>
          <w:lang w:val="es-PE" w:eastAsia="ar-SA"/>
        </w:rPr>
        <w:t xml:space="preserve"> de 202</w:t>
      </w:r>
      <w:r w:rsidRPr="005A4C4E" w:rsidR="00231C58">
        <w:rPr>
          <w:rFonts w:ascii="Times New Roman" w:hAnsi="Times New Roman" w:eastAsia="Arial Unicode MS" w:cs="Times New Roman"/>
          <w:sz w:val="24"/>
          <w:szCs w:val="24"/>
          <w:lang w:val="es-PE" w:eastAsia="ar-SA"/>
        </w:rPr>
        <w:t>1</w:t>
      </w:r>
      <w:r w:rsidRPr="005A4C4E" w:rsidR="00707C99">
        <w:rPr>
          <w:rFonts w:ascii="Times New Roman" w:hAnsi="Times New Roman" w:eastAsia="Times New Roman" w:cs="Times New Roman"/>
          <w:sz w:val="24"/>
          <w:szCs w:val="24"/>
          <w:lang w:val="es-PE" w:eastAsia="ar-SA"/>
        </w:rPr>
        <w:t xml:space="preserve"> </w:t>
      </w:r>
    </w:p>
    <w:p w:rsidRPr="005A4C4E"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5A4C4E"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A4C4E"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A4C4E"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5A4C4E"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Pr="005A4C4E" w:rsidR="00C671F5">
        <w:rPr>
          <w:rFonts w:ascii="Times New Roman" w:hAnsi="Times New Roman" w:cs="Times New Roman"/>
          <w:b/>
          <w:bCs/>
          <w:sz w:val="24"/>
          <w:szCs w:val="24"/>
          <w:lang w:val="es-PE"/>
        </w:rPr>
        <w:t xml:space="preserve">– </w:t>
      </w:r>
      <w:proofErr w:type="gramStart"/>
      <w:r w:rsidRPr="005A4C4E" w:rsidR="00C671F5">
        <w:rPr>
          <w:rFonts w:ascii="Times New Roman" w:hAnsi="Times New Roman" w:cs="Times New Roman"/>
          <w:b/>
          <w:bCs/>
          <w:sz w:val="24"/>
          <w:szCs w:val="24"/>
          <w:lang w:val="es-PE"/>
        </w:rPr>
        <w:t>Presidente</w:t>
      </w:r>
      <w:proofErr w:type="gramEnd"/>
    </w:p>
    <w:p w:rsidRPr="005A4C4E"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rsidRPr="005A4C4E"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rsidRPr="005A4C4E"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Pr="005A4C4E" w:rsidR="00231C58">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rsidRPr="005A4C4E"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5A4C4E"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5A4C4E"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274F" w:rsidP="00784355" w:rsidRDefault="000A274F" w14:paraId="262D111A" w14:textId="77777777">
      <w:pPr>
        <w:spacing w:after="0" w:line="240" w:lineRule="auto"/>
      </w:pPr>
      <w:r>
        <w:separator/>
      </w:r>
    </w:p>
  </w:endnote>
  <w:endnote w:type="continuationSeparator" w:id="0">
    <w:p w:rsidR="000A274F" w:rsidP="00784355" w:rsidRDefault="000A274F" w14:paraId="56492E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274F" w:rsidP="00784355" w:rsidRDefault="000A274F" w14:paraId="33D594E7" w14:textId="77777777">
      <w:pPr>
        <w:spacing w:after="0" w:line="240" w:lineRule="auto"/>
      </w:pPr>
      <w:r>
        <w:separator/>
      </w:r>
    </w:p>
  </w:footnote>
  <w:footnote w:type="continuationSeparator" w:id="0">
    <w:p w:rsidR="000A274F" w:rsidP="00784355" w:rsidRDefault="000A274F" w14:paraId="52D980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270"/>
    <w:rsid w:val="00A077D2"/>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248DA265"/>
    <w:rsid w:val="2A1471DF"/>
    <w:rsid w:val="2F9113D7"/>
    <w:rsid w:val="3A1A12CB"/>
    <w:rsid w:val="3E9941EE"/>
    <w:rsid w:val="3F870444"/>
    <w:rsid w:val="4781F2C0"/>
    <w:rsid w:val="4DC0F496"/>
    <w:rsid w:val="54E686B6"/>
    <w:rsid w:val="63875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FB1CEC1-081F-443B-AC2F-69C0FC9369B9}"/>
</file>

<file path=customXml/itemProps3.xml><?xml version="1.0" encoding="utf-8"?>
<ds:datastoreItem xmlns:ds="http://schemas.openxmlformats.org/officeDocument/2006/customXml" ds:itemID="{8273D8EF-95A6-494C-A3E9-D570706383B2}"/>
</file>

<file path=customXml/itemProps4.xml><?xml version="1.0" encoding="utf-8"?>
<ds:datastoreItem xmlns:ds="http://schemas.openxmlformats.org/officeDocument/2006/customXml" ds:itemID="{E686BBF1-E1C2-45F1-ADA7-C1774581EF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37</cp:revision>
  <cp:lastPrinted>2021-03-01T18:18:00Z</cp:lastPrinted>
  <dcterms:created xsi:type="dcterms:W3CDTF">2020-12-18T20:17:00Z</dcterms:created>
  <dcterms:modified xsi:type="dcterms:W3CDTF">2026-02-02T21:44:24Z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