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1BCB" w:rsidP="00720157" w:rsidRDefault="00201C0D" w14:paraId="0D90F86A" w14:textId="413DCB6A">
      <w:pPr>
        <w:suppressAutoHyphens/>
        <w:spacing w:after="0" w:line="240" w:lineRule="auto"/>
        <w:jc w:val="center"/>
        <w:rPr>
          <w:rFonts w:ascii="Times New Roman" w:hAnsi="Times New Roman" w:cs="Times New Roman"/>
          <w:b/>
          <w:sz w:val="24"/>
          <w:szCs w:val="24"/>
          <w:lang w:val="es-PE" w:eastAsia="ar-SA"/>
        </w:rPr>
      </w:pPr>
      <w:r w:rsidRPr="0041626C">
        <w:rPr>
          <w:rFonts w:ascii="Times New Roman" w:hAnsi="Times New Roman" w:cs="Times New Roman"/>
          <w:b/>
          <w:sz w:val="24"/>
          <w:szCs w:val="24"/>
          <w:lang w:val="es-PE" w:eastAsia="ar-SA"/>
        </w:rPr>
        <w:t xml:space="preserve">RESOLUCIÓN DE RECURSO IMPUGNATIVO </w:t>
      </w:r>
      <w:r w:rsidRPr="0041626C" w:rsidR="00707C99">
        <w:rPr>
          <w:rFonts w:ascii="Times New Roman" w:hAnsi="Times New Roman" w:cs="Times New Roman"/>
          <w:b/>
          <w:sz w:val="24"/>
          <w:szCs w:val="24"/>
          <w:lang w:val="es-PE" w:eastAsia="ar-SA"/>
        </w:rPr>
        <w:t xml:space="preserve">N° </w:t>
      </w:r>
      <w:r w:rsidRPr="0041626C" w:rsidR="00C671F5">
        <w:rPr>
          <w:rFonts w:ascii="Times New Roman" w:hAnsi="Times New Roman" w:cs="Times New Roman"/>
          <w:b/>
          <w:sz w:val="24"/>
          <w:szCs w:val="24"/>
          <w:lang w:val="es-PE" w:eastAsia="ar-SA"/>
        </w:rPr>
        <w:t>0</w:t>
      </w:r>
      <w:r w:rsidR="00BF20A4">
        <w:rPr>
          <w:rFonts w:ascii="Times New Roman" w:hAnsi="Times New Roman" w:cs="Times New Roman"/>
          <w:b/>
          <w:sz w:val="24"/>
          <w:szCs w:val="24"/>
          <w:lang w:val="es-PE" w:eastAsia="ar-SA"/>
        </w:rPr>
        <w:t>19</w:t>
      </w:r>
      <w:r w:rsidRPr="0041626C" w:rsidR="00C671F5">
        <w:rPr>
          <w:rFonts w:ascii="Times New Roman" w:hAnsi="Times New Roman" w:cs="Times New Roman"/>
          <w:b/>
          <w:sz w:val="24"/>
          <w:szCs w:val="24"/>
          <w:lang w:val="es-PE" w:eastAsia="ar-SA"/>
        </w:rPr>
        <w:t>/2</w:t>
      </w:r>
      <w:r w:rsidRPr="0041626C" w:rsidR="00231C58">
        <w:rPr>
          <w:rFonts w:ascii="Times New Roman" w:hAnsi="Times New Roman" w:cs="Times New Roman"/>
          <w:b/>
          <w:sz w:val="24"/>
          <w:szCs w:val="24"/>
          <w:lang w:val="es-PE" w:eastAsia="ar-SA"/>
        </w:rPr>
        <w:t>1</w:t>
      </w:r>
    </w:p>
    <w:p w:rsidRPr="00C11BCB" w:rsidR="00720157" w:rsidP="00720157" w:rsidRDefault="00720157" w14:paraId="02DE4AEF"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BF20A4" w:rsidR="00BF20A4" w:rsidP="00BF20A4" w:rsidRDefault="00BF20A4" w14:paraId="385CBD2A" w14:textId="77777777">
      <w:pPr>
        <w:jc w:val="both"/>
        <w:outlineLvl w:val="0"/>
        <w:rPr>
          <w:rFonts w:ascii="Times New Roman" w:hAnsi="Times New Roman" w:cs="Times New Roman"/>
          <w:b/>
          <w:bCs/>
          <w:sz w:val="24"/>
          <w:szCs w:val="24"/>
          <w:lang w:val="es-PE"/>
        </w:rPr>
      </w:pPr>
      <w:r w:rsidRPr="00BF20A4">
        <w:rPr>
          <w:rFonts w:ascii="Times New Roman" w:hAnsi="Times New Roman" w:cs="Times New Roman"/>
          <w:b/>
          <w:bCs/>
          <w:sz w:val="24"/>
          <w:szCs w:val="24"/>
          <w:lang w:val="es-PE"/>
        </w:rPr>
        <w:t>VISTOS:</w:t>
      </w:r>
    </w:p>
    <w:p w:rsidRPr="00BF20A4" w:rsidR="00BF20A4" w:rsidP="00BF20A4" w:rsidRDefault="00BF20A4" w14:paraId="58D1C494" w14:textId="77777777">
      <w:pPr>
        <w:jc w:val="both"/>
        <w:rPr>
          <w:rFonts w:ascii="Times New Roman" w:hAnsi="Times New Roman" w:cs="Times New Roman"/>
          <w:b/>
          <w:bCs/>
          <w:sz w:val="24"/>
          <w:szCs w:val="24"/>
          <w:lang w:val="es-PE"/>
        </w:rPr>
      </w:pPr>
    </w:p>
    <w:p w:rsidRPr="00BF20A4" w:rsidR="00BF20A4" w:rsidP="00BF20A4" w:rsidRDefault="00BF20A4" w14:paraId="04704B64" w14:textId="5FA191AA">
      <w:pPr>
        <w:jc w:val="both"/>
        <w:rPr>
          <w:rFonts w:ascii="Times New Roman" w:hAnsi="Times New Roman" w:cs="Times New Roman"/>
          <w:sz w:val="24"/>
          <w:szCs w:val="24"/>
          <w:lang w:val="es-PE"/>
        </w:rPr>
      </w:pPr>
      <w:r w:rsidRPr="24E28F25" w:rsidR="00BF20A4">
        <w:rPr>
          <w:rFonts w:ascii="Times New Roman" w:hAnsi="Times New Roman" w:cs="Times New Roman"/>
          <w:sz w:val="24"/>
          <w:szCs w:val="24"/>
          <w:lang w:val="es-PE"/>
        </w:rPr>
        <w:t xml:space="preserve">El recurso de impugnación presentado por </w:t>
      </w:r>
      <w:r w:rsidRPr="24E28F25" w:rsidR="68244590">
        <w:rPr>
          <w:rFonts w:ascii="Times New Roman" w:hAnsi="Times New Roman" w:cs="Times New Roman"/>
          <w:b w:val="1"/>
          <w:bCs w:val="1"/>
          <w:sz w:val="24"/>
          <w:szCs w:val="24"/>
          <w:lang w:val="es-PE" w:eastAsia="es-ES"/>
        </w:rPr>
        <w:t>.................................................</w:t>
      </w:r>
      <w:r w:rsidRPr="24E28F25" w:rsidR="00BF20A4">
        <w:rPr>
          <w:rFonts w:ascii="Times New Roman" w:hAnsi="Times New Roman" w:cs="Times New Roman"/>
          <w:sz w:val="24"/>
          <w:szCs w:val="24"/>
          <w:lang w:val="es-PE" w:eastAsia="es-ES"/>
        </w:rPr>
        <w:t xml:space="preserve"> </w:t>
      </w:r>
      <w:r w:rsidRPr="24E28F25" w:rsidR="00BF20A4">
        <w:rPr>
          <w:rFonts w:ascii="Times New Roman" w:hAnsi="Times New Roman" w:cs="Times New Roman"/>
          <w:sz w:val="24"/>
          <w:szCs w:val="24"/>
          <w:lang w:val="es-PE"/>
        </w:rPr>
        <w:t xml:space="preserve">respecto de la Resolución Nro. 130/20, expedida por el Órgano Resolutorio Unipersonal de esta Defensoría del Asegurado (DEFASEG), conforme a la cual se declaró FUNDADA la reclamación interpuesta por </w:t>
      </w:r>
      <w:r w:rsidRPr="24E28F25" w:rsidR="56303FD0">
        <w:rPr>
          <w:rFonts w:ascii="Times New Roman" w:hAnsi="Times New Roman" w:cs="Times New Roman"/>
          <w:b w:val="1"/>
          <w:bCs w:val="1"/>
          <w:sz w:val="24"/>
          <w:szCs w:val="24"/>
          <w:lang w:val="es-PE"/>
        </w:rPr>
        <w:t>.................................................</w:t>
      </w:r>
      <w:r w:rsidRPr="24E28F25" w:rsidR="00BF20A4">
        <w:rPr>
          <w:rFonts w:ascii="Times New Roman" w:hAnsi="Times New Roman" w:cs="Times New Roman"/>
          <w:b w:val="1"/>
          <w:bCs w:val="1"/>
          <w:sz w:val="24"/>
          <w:szCs w:val="24"/>
          <w:lang w:val="es-PE"/>
        </w:rPr>
        <w:t xml:space="preserve"> </w:t>
      </w:r>
      <w:r w:rsidRPr="24E28F25" w:rsidR="00BF20A4">
        <w:rPr>
          <w:rFonts w:ascii="Times New Roman" w:hAnsi="Times New Roman" w:cs="Times New Roman"/>
          <w:sz w:val="24"/>
          <w:szCs w:val="24"/>
          <w:lang w:val="es-PE"/>
        </w:rPr>
        <w:t xml:space="preserve">respecto al </w:t>
      </w:r>
      <w:r w:rsidRPr="24E28F25" w:rsidR="00BF20A4">
        <w:rPr>
          <w:rFonts w:ascii="Times New Roman" w:hAnsi="Times New Roman" w:cs="Times New Roman"/>
          <w:b w:val="1"/>
          <w:bCs w:val="1"/>
          <w:sz w:val="24"/>
          <w:szCs w:val="24"/>
          <w:lang w:val="es-PE"/>
        </w:rPr>
        <w:t xml:space="preserve">SEGURO PROTECCIÓN DE TARJETA - PÓLIZA </w:t>
      </w:r>
      <w:r w:rsidRPr="24E28F25" w:rsidR="20D9B18F">
        <w:rPr>
          <w:rFonts w:ascii="Times New Roman" w:hAnsi="Times New Roman" w:cs="Times New Roman"/>
          <w:b w:val="1"/>
          <w:bCs w:val="1"/>
          <w:sz w:val="24"/>
          <w:szCs w:val="24"/>
          <w:lang w:val="es-PE"/>
        </w:rPr>
        <w:t>.....................</w:t>
      </w:r>
      <w:bookmarkStart w:name="OLE_LINK2" w:id="0"/>
      <w:r w:rsidRPr="24E28F25" w:rsidR="00BF20A4">
        <w:rPr>
          <w:rFonts w:ascii="Times New Roman" w:hAnsi="Times New Roman" w:cs="Times New Roman"/>
          <w:sz w:val="24"/>
          <w:szCs w:val="24"/>
          <w:lang w:val="es-PE"/>
        </w:rPr>
        <w:t>.</w:t>
      </w:r>
      <w:bookmarkEnd w:id="0"/>
    </w:p>
    <w:p w:rsidRPr="00BF20A4" w:rsidR="00BF20A4" w:rsidP="00BF20A4" w:rsidRDefault="00BF20A4" w14:paraId="63090056" w14:textId="57F544E4">
      <w:pPr>
        <w:pStyle w:val="Default"/>
        <w:jc w:val="both"/>
        <w:rPr>
          <w:rFonts w:ascii="Times New Roman" w:hAnsi="Times New Roman" w:cs="Times New Roman"/>
        </w:rPr>
      </w:pPr>
      <w:r w:rsidRPr="24E28F25" w:rsidR="00BF20A4">
        <w:rPr>
          <w:rFonts w:ascii="Times New Roman" w:hAnsi="Times New Roman" w:cs="Times New Roman"/>
        </w:rPr>
        <w:t xml:space="preserve">Que, el indicado recurso se sustenta resumidamente en lo siguiente: (1) el Órgano Unipersonal no se ha pronunciado correctamente sobre los argumentos y medios de prueba presentados por </w:t>
      </w:r>
      <w:r w:rsidRPr="24E28F25" w:rsidR="0D9B2D5D">
        <w:rPr>
          <w:rFonts w:ascii="Times New Roman" w:hAnsi="Times New Roman" w:cs="Times New Roman"/>
        </w:rPr>
        <w:t>.....................</w:t>
      </w:r>
      <w:r w:rsidRPr="24E28F25" w:rsidR="00BF20A4">
        <w:rPr>
          <w:rFonts w:ascii="Times New Roman" w:hAnsi="Times New Roman" w:cs="Times New Roman"/>
        </w:rPr>
        <w:t xml:space="preserve"> Generales, obviando y vulnerando el derecho a una debida motivación de las resoluciones; (2) se ha violado el principio de congruencia procesal, pues debió señalarnos en todo caso, por qué no consideró cada uno de nuestros argumentos y/o medios de defensa, desvirtuando uno a uno de acuerdo a lo expuesto en nuestros descargos, que contenía los medios de prueba para declarar infundada la reclamación de la señora</w:t>
      </w:r>
      <w:r w:rsidRPr="24E28F25" w:rsidR="60BD2460">
        <w:rPr>
          <w:rFonts w:ascii="Times New Roman" w:hAnsi="Times New Roman" w:cs="Times New Roman"/>
        </w:rPr>
        <w:t>.....................</w:t>
      </w:r>
      <w:r w:rsidRPr="24E28F25" w:rsidR="00BF20A4">
        <w:rPr>
          <w:rFonts w:ascii="Times New Roman" w:hAnsi="Times New Roman" w:cs="Times New Roman"/>
        </w:rPr>
        <w:t xml:space="preserve">, sin ir más allá de lo pedido (extra </w:t>
      </w:r>
      <w:r w:rsidRPr="24E28F25" w:rsidR="00BF20A4">
        <w:rPr>
          <w:rFonts w:ascii="Times New Roman" w:hAnsi="Times New Roman" w:cs="Times New Roman"/>
        </w:rPr>
        <w:t>petita</w:t>
      </w:r>
      <w:r w:rsidRPr="24E28F25" w:rsidR="00BF20A4">
        <w:rPr>
          <w:rFonts w:ascii="Times New Roman" w:hAnsi="Times New Roman" w:cs="Times New Roman"/>
        </w:rPr>
        <w:t xml:space="preserve">); (3) el Órgano Resolutorio Unipersonal no ha realizado un análisis de legalidad de la documentación que solicitaba presente </w:t>
      </w:r>
      <w:r w:rsidRPr="24E28F25" w:rsidR="0D9B2D5D">
        <w:rPr>
          <w:rFonts w:ascii="Times New Roman" w:hAnsi="Times New Roman" w:cs="Times New Roman"/>
        </w:rPr>
        <w:t>.....................</w:t>
      </w:r>
      <w:r w:rsidRPr="24E28F25" w:rsidR="00BF20A4">
        <w:rPr>
          <w:rFonts w:ascii="Times New Roman" w:hAnsi="Times New Roman" w:cs="Times New Roman"/>
        </w:rPr>
        <w:t xml:space="preserve"> Seguros; puesto que, resulta totalmente evidente que la aseguradora no se encontraba en la obligación legal de conservar por más de once (11) años, la documentación respecto a la constancia de entrega de la Póliza de Seguro; (4) la decisión del Órgano Resolutorio Unipersonal es </w:t>
      </w:r>
      <w:r w:rsidRPr="24E28F25" w:rsidR="00BF20A4">
        <w:rPr>
          <w:rFonts w:ascii="Times New Roman" w:hAnsi="Times New Roman" w:cs="Times New Roman"/>
          <w:i w:val="1"/>
          <w:iCs w:val="1"/>
        </w:rPr>
        <w:t xml:space="preserve">Extra </w:t>
      </w:r>
      <w:r w:rsidRPr="24E28F25" w:rsidR="00BF20A4">
        <w:rPr>
          <w:rFonts w:ascii="Times New Roman" w:hAnsi="Times New Roman" w:cs="Times New Roman"/>
          <w:i w:val="1"/>
          <w:iCs w:val="1"/>
        </w:rPr>
        <w:t>petita</w:t>
      </w:r>
      <w:r w:rsidRPr="24E28F25" w:rsidR="00BF20A4">
        <w:rPr>
          <w:rFonts w:ascii="Times New Roman" w:hAnsi="Times New Roman" w:cs="Times New Roman"/>
        </w:rPr>
        <w:t xml:space="preserve">; es decir, no es una cuestión controvertida el hecho que no se le haya entregado copia de la Póliza contratada a la reclamante; habiéndose analizado ello como un hecho relevante en el fondo de la presente reclamación, cuando lo que debió analizarse era si el evento se encontraba amparado en la Póliza contratada, más aún cuando no existe cuestionamiento al respecto por el denunciante; (5) la Defensoría carece de legitimidad para emitir pronunciamientos por la falta de idoneidad en el servicio brindado; es decir, un supuesto que </w:t>
      </w:r>
      <w:r w:rsidRPr="24E28F25" w:rsidR="0D9B2D5D">
        <w:rPr>
          <w:rFonts w:ascii="Times New Roman" w:hAnsi="Times New Roman" w:cs="Times New Roman"/>
        </w:rPr>
        <w:t>.....................</w:t>
      </w:r>
      <w:r w:rsidRPr="24E28F25" w:rsidR="00BF20A4">
        <w:rPr>
          <w:rFonts w:ascii="Times New Roman" w:hAnsi="Times New Roman" w:cs="Times New Roman"/>
        </w:rPr>
        <w:t xml:space="preserve"> no le haya brindado copia de la Póliza contratada a la asegurada; sin embargo, resulta evidente que la Defensoría fue más allá de sus atribuciones legales y declaró fundado el reclamo por el siempre hecho de no obrar medio de prueba que acredite la entrega de la Póliza o certificado se seguro correspondiente; máxime que, no analizó previamente si </w:t>
      </w:r>
      <w:r w:rsidRPr="24E28F25" w:rsidR="0D9B2D5D">
        <w:rPr>
          <w:rFonts w:ascii="Times New Roman" w:hAnsi="Times New Roman" w:cs="Times New Roman"/>
        </w:rPr>
        <w:t>.....................</w:t>
      </w:r>
      <w:r w:rsidRPr="24E28F25" w:rsidR="00BF20A4">
        <w:rPr>
          <w:rFonts w:ascii="Times New Roman" w:hAnsi="Times New Roman" w:cs="Times New Roman"/>
        </w:rPr>
        <w:t xml:space="preserve"> Seguros se encontraba legitimada para conversar dicha documentación por el plazo de once (11) años; y, si el derecho de acción de la denunciante se encontraba prescrito o no para cuestionarlo; (6) el vocal a cargo de la Resolución de la presente reclamación ha ido más allá de sus atribuciones legales y más allá de lo solicitado por la señora</w:t>
      </w:r>
      <w:r w:rsidRPr="24E28F25" w:rsidR="60BD2460">
        <w:rPr>
          <w:rFonts w:ascii="Times New Roman" w:hAnsi="Times New Roman" w:cs="Times New Roman"/>
        </w:rPr>
        <w:t>.....................</w:t>
      </w:r>
      <w:r w:rsidRPr="24E28F25" w:rsidR="00BF20A4">
        <w:rPr>
          <w:rFonts w:ascii="Times New Roman" w:hAnsi="Times New Roman" w:cs="Times New Roman"/>
        </w:rPr>
        <w:t xml:space="preserve">; (7) la reclamante, no ha indicado en su escrito de reclamo el hecho de desconocer el contenido de las cláusulas contractuales, o que el Banco no le haya brindado copia de la Póliza contratada al momento de la autorización de la contratación del seguro; (8) la aseguradora no se encuentra en la obligación legal de conservar la documentación, tales como contratos, certificados, constancia de entrega de documentos, </w:t>
      </w:r>
      <w:r w:rsidRPr="24E28F25" w:rsidR="00BF20A4">
        <w:rPr>
          <w:rFonts w:ascii="Times New Roman" w:hAnsi="Times New Roman" w:cs="Times New Roman"/>
        </w:rPr>
        <w:t>etc</w:t>
      </w:r>
      <w:r w:rsidRPr="24E28F25" w:rsidR="00BF20A4">
        <w:rPr>
          <w:rFonts w:ascii="Times New Roman" w:hAnsi="Times New Roman" w:cs="Times New Roman"/>
        </w:rPr>
        <w:t xml:space="preserve">, por el plazo de más de diez (10) años. Máxime que como se verifica en el </w:t>
      </w:r>
      <w:r w:rsidRPr="24E28F25" w:rsidR="00BF20A4">
        <w:rPr>
          <w:rFonts w:ascii="Times New Roman" w:hAnsi="Times New Roman" w:cs="Times New Roman"/>
        </w:rPr>
        <w:t>voucher</w:t>
      </w:r>
      <w:r w:rsidRPr="24E28F25" w:rsidR="00BF20A4">
        <w:rPr>
          <w:rFonts w:ascii="Times New Roman" w:hAnsi="Times New Roman" w:cs="Times New Roman"/>
        </w:rPr>
        <w:t xml:space="preserve"> antes expuesto el seguro fue adquirido hace más de once (11) años (16/07/2009); y, la denunciante nunca ha cuestionado ello, en ninguna de las instancias correspondientes (reclamos, denuncias, etc.) </w:t>
      </w:r>
    </w:p>
    <w:p w:rsidRPr="00BF20A4" w:rsidR="00BF20A4" w:rsidP="00BF20A4" w:rsidRDefault="00BF20A4" w14:paraId="6B5EDF3D" w14:textId="77777777">
      <w:pPr>
        <w:pStyle w:val="Default"/>
        <w:jc w:val="both"/>
        <w:rPr>
          <w:rFonts w:ascii="Times New Roman" w:hAnsi="Times New Roman" w:cs="Times New Roman"/>
        </w:rPr>
      </w:pPr>
    </w:p>
    <w:p w:rsidRPr="00BF20A4" w:rsidR="00BF20A4" w:rsidP="00BF20A4" w:rsidRDefault="00BF20A4" w14:paraId="31A70951" w14:textId="77777777">
      <w:pPr>
        <w:pStyle w:val="Textoindependiente"/>
        <w:rPr>
          <w:lang w:val="es-PE"/>
        </w:rPr>
      </w:pPr>
      <w:r w:rsidRPr="00BF20A4">
        <w:rPr>
          <w:lang w:val="es-PE"/>
        </w:rPr>
        <w:t xml:space="preserve">Que, la reclamante no absolvió el traslado del recurso interpuesto. </w:t>
      </w:r>
    </w:p>
    <w:p w:rsidRPr="00BF20A4" w:rsidR="00BF20A4" w:rsidP="00BF20A4" w:rsidRDefault="00BF20A4" w14:paraId="701D4077" w14:textId="77777777">
      <w:pPr>
        <w:pStyle w:val="Textoindependiente"/>
        <w:rPr>
          <w:lang w:val="es-PE"/>
        </w:rPr>
      </w:pPr>
    </w:p>
    <w:p w:rsidRPr="00BF20A4" w:rsidR="00BF20A4" w:rsidP="00BF20A4" w:rsidRDefault="00BF20A4" w14:paraId="2D3EFF7B" w14:textId="77777777">
      <w:pPr>
        <w:pStyle w:val="Textoindependiente"/>
        <w:tabs>
          <w:tab w:val="left" w:pos="930"/>
        </w:tabs>
        <w:rPr>
          <w:lang w:val="es-PE"/>
        </w:rPr>
      </w:pPr>
      <w:r w:rsidRPr="00BF20A4">
        <w:rPr>
          <w:lang w:val="es-PE"/>
        </w:rPr>
        <w:t>Que, atendiendo a lo expuesto, esta Defensoría resuelve finalmente lo siguiente:</w:t>
      </w:r>
    </w:p>
    <w:p w:rsidRPr="00BF20A4" w:rsidR="00BF20A4" w:rsidP="00BF20A4" w:rsidRDefault="00BF20A4" w14:paraId="64DBDB09" w14:textId="77777777">
      <w:pPr>
        <w:jc w:val="both"/>
        <w:rPr>
          <w:rFonts w:ascii="Times New Roman" w:hAnsi="Times New Roman" w:cs="Times New Roman"/>
          <w:b/>
          <w:sz w:val="24"/>
          <w:szCs w:val="24"/>
          <w:u w:val="single"/>
          <w:lang w:val="es-PE"/>
        </w:rPr>
      </w:pPr>
    </w:p>
    <w:p w:rsidRPr="00BF20A4" w:rsidR="00BF20A4" w:rsidP="00BF20A4" w:rsidRDefault="00BF20A4" w14:paraId="75D96723" w14:textId="59FF2E3D">
      <w:pPr>
        <w:jc w:val="both"/>
        <w:rPr>
          <w:rFonts w:ascii="Times New Roman" w:hAnsi="Times New Roman" w:cs="Times New Roman"/>
          <w:sz w:val="24"/>
          <w:szCs w:val="24"/>
          <w:lang w:val="es-PE"/>
        </w:rPr>
      </w:pPr>
      <w:r w:rsidRPr="00BF20A4">
        <w:rPr>
          <w:rFonts w:ascii="Times New Roman" w:hAnsi="Times New Roman" w:cs="Times New Roman"/>
          <w:b/>
          <w:sz w:val="24"/>
          <w:szCs w:val="24"/>
          <w:u w:val="single"/>
          <w:lang w:val="es-PE"/>
        </w:rPr>
        <w:t>PRIMERO</w:t>
      </w:r>
      <w:r w:rsidRPr="00BF20A4">
        <w:rPr>
          <w:rFonts w:ascii="Times New Roman" w:hAnsi="Times New Roman" w:cs="Times New Roman"/>
          <w:b/>
          <w:sz w:val="24"/>
          <w:szCs w:val="24"/>
          <w:lang w:val="es-PE"/>
        </w:rPr>
        <w:t>:</w:t>
      </w:r>
      <w:r w:rsidRPr="00BF20A4">
        <w:rPr>
          <w:rFonts w:ascii="Times New Roman" w:hAnsi="Times New Roman" w:cs="Times New Roman"/>
          <w:sz w:val="24"/>
          <w:szCs w:val="24"/>
          <w:lang w:val="es-PE"/>
        </w:rPr>
        <w:t xml:space="preserve"> El artículo 10 (Procedimiento) del Reglamento de la DEFASEG </w:t>
      </w:r>
      <w:r w:rsidRPr="00BF20A4">
        <w:rPr>
          <w:rFonts w:ascii="Times New Roman" w:hAnsi="Times New Roman" w:eastAsia="Arial Unicode MS" w:cs="Times New Roman"/>
          <w:sz w:val="24"/>
          <w:szCs w:val="24"/>
          <w:lang w:val="es-PE"/>
        </w:rPr>
        <w:t>(http://www.defaseg.com.pe/reglamento)</w:t>
      </w:r>
      <w:r w:rsidRPr="00BF20A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BF20A4" w:rsidR="00BF20A4" w:rsidP="00BF20A4" w:rsidRDefault="00BF20A4" w14:paraId="05296BEC" w14:textId="2D9DB02E">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BF20A4" w:rsidR="00BF20A4" w:rsidP="00BF20A4" w:rsidRDefault="00BF20A4" w14:paraId="1372C65B" w14:textId="157C9C45">
      <w:pPr>
        <w:jc w:val="both"/>
        <w:rPr>
          <w:rFonts w:ascii="Times New Roman" w:hAnsi="Times New Roman" w:cs="Times New Roman"/>
          <w:sz w:val="24"/>
          <w:szCs w:val="24"/>
          <w:lang w:val="es-PE"/>
        </w:rPr>
      </w:pPr>
      <w:r w:rsidRPr="00BF20A4">
        <w:rPr>
          <w:rFonts w:ascii="Times New Roman" w:hAnsi="Times New Roman" w:cs="Times New Roman"/>
          <w:b/>
          <w:bCs/>
          <w:sz w:val="24"/>
          <w:szCs w:val="24"/>
          <w:u w:val="single"/>
          <w:lang w:val="es-PE"/>
        </w:rPr>
        <w:t>SEGUNDO</w:t>
      </w:r>
      <w:r w:rsidRPr="00BF20A4">
        <w:rPr>
          <w:rFonts w:ascii="Times New Roman" w:hAnsi="Times New Roman" w:cs="Times New Roman"/>
          <w:b/>
          <w:bCs/>
          <w:sz w:val="24"/>
          <w:szCs w:val="24"/>
          <w:lang w:val="es-PE"/>
        </w:rPr>
        <w:t>:</w:t>
      </w:r>
      <w:r w:rsidRPr="00BF20A4">
        <w:rPr>
          <w:rFonts w:ascii="Times New Roman" w:hAnsi="Times New Roman" w:cs="Times New Roman"/>
          <w:bCs/>
          <w:sz w:val="24"/>
          <w:szCs w:val="24"/>
          <w:lang w:val="es-PE"/>
        </w:rPr>
        <w:t xml:space="preserve"> Que el recurso de impugnación presentado por la aseguradora no se sustenta en nueva prueba sino cuestionar la resolución impugnada por considerar que: (i) incurre en</w:t>
      </w:r>
      <w:r w:rsidRPr="00BF20A4">
        <w:rPr>
          <w:rFonts w:ascii="Times New Roman" w:hAnsi="Times New Roman" w:cs="Times New Roman"/>
          <w:i/>
          <w:iCs/>
          <w:sz w:val="24"/>
          <w:szCs w:val="24"/>
          <w:lang w:val="es-PE"/>
        </w:rPr>
        <w:t xml:space="preserve"> Extra petita</w:t>
      </w:r>
      <w:r w:rsidRPr="00BF20A4">
        <w:rPr>
          <w:rFonts w:ascii="Times New Roman" w:hAnsi="Times New Roman" w:cs="Times New Roman"/>
          <w:sz w:val="24"/>
          <w:szCs w:val="24"/>
          <w:lang w:val="es-PE"/>
        </w:rPr>
        <w:t>, (ii) así como por desconocer que la aseguradora no se encuentra en la obligación legal de conservar la documentación, tales como contratos, certificados, constancia de entrega de documentos, etc, por el plazo de más de diez (10) años.</w:t>
      </w:r>
    </w:p>
    <w:p w:rsidRPr="00BF20A4" w:rsidR="00BF20A4" w:rsidP="00BF20A4" w:rsidRDefault="00BF20A4" w14:paraId="16D3782E" w14:textId="6883C873">
      <w:pPr>
        <w:jc w:val="both"/>
        <w:rPr>
          <w:rFonts w:ascii="Times New Roman" w:hAnsi="Times New Roman" w:cs="Times New Roman"/>
          <w:sz w:val="24"/>
          <w:szCs w:val="24"/>
          <w:lang w:val="es-PE"/>
        </w:rPr>
      </w:pPr>
      <w:r w:rsidRPr="00BF20A4">
        <w:rPr>
          <w:rFonts w:ascii="Times New Roman" w:hAnsi="Times New Roman" w:cs="Times New Roman"/>
          <w:bCs/>
          <w:sz w:val="24"/>
          <w:szCs w:val="24"/>
          <w:lang w:val="es-PE"/>
        </w:rPr>
        <w:t>Al respecto, conforme ha sido establecido por esta Defensoría en reiterados precedentes,</w:t>
      </w:r>
      <w:r w:rsidRPr="00BF20A4">
        <w:rPr>
          <w:rFonts w:ascii="Times New Roman" w:hAnsi="Times New Roman" w:cs="Times New Roman"/>
          <w:sz w:val="24"/>
          <w:szCs w:val="24"/>
          <w:lang w:val="es-PE"/>
        </w:rPr>
        <w:t xml:space="preserve"> </w:t>
      </w:r>
      <w:r w:rsidRPr="00BF20A4">
        <w:rPr>
          <w:rFonts w:ascii="Times New Roman" w:hAnsi="Times New Roman" w:cs="Times New Roman"/>
          <w:bCs/>
          <w:sz w:val="24"/>
          <w:szCs w:val="24"/>
          <w:lang w:val="es-PE"/>
        </w:rPr>
        <w:t xml:space="preserve"> </w:t>
      </w:r>
      <w:r w:rsidRPr="00BF20A4">
        <w:rPr>
          <w:rFonts w:ascii="Times New Roman" w:hAnsi="Times New Roman" w:cs="Times New Roman"/>
          <w:sz w:val="24"/>
          <w:szCs w:val="24"/>
          <w:lang w:val="es-PE"/>
        </w:rPr>
        <w:t xml:space="preserve">la existencia de una póliza colectiva o grupal, como ocurre en el presente caso, deriva en la aplicación de un determinado régimen normativo, de manera puntual para la oponibilidad de su contenido (en especial, de los términos de los alcances de cobertura, tales como las exclusiones y limitaciones de cobertura) a los asegurados no contratantes (como es el caso de la reclamante), ya que la aseguradora debe demostrar que dicho contenido fue oportuna y suficientemente informado a los asegurados, salvo que acredite en un caso concreto que el interesado conocía del respectivo contenido por otros medios. </w:t>
      </w:r>
    </w:p>
    <w:p w:rsidRPr="00BF20A4" w:rsidR="00BF20A4" w:rsidP="00BF20A4" w:rsidRDefault="00BF20A4" w14:paraId="6CD69972" w14:textId="22ADC543">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 xml:space="preserve">Ello, con el objeto que los asegurados no contratantes conozcan las características del seguro que adquieren, lo cual tiene por objetivo quebrar la asimetría informativa que existe ciertamente sobre el particular.  </w:t>
      </w:r>
    </w:p>
    <w:p w:rsidRPr="00BF20A4" w:rsidR="00BF20A4" w:rsidP="00BF20A4" w:rsidRDefault="00BF20A4" w14:paraId="72565299" w14:textId="7F755AE0">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 xml:space="preserve">Por consiguiente, este Colegiado destaca que habiéndose opuesto al reclamante una limitación, resulta manifiesto que la aseguradora tiene la carga procesal esencial de demostrar el cumplimiento de los requisitos para oponer válidamente el respectivo pacto, esto es, que haya informado de los alcances del seguro a la asegurada, como es la limitación invocada.  </w:t>
      </w:r>
    </w:p>
    <w:p w:rsidRPr="00BF20A4" w:rsidR="00BF20A4" w:rsidP="00BF20A4" w:rsidRDefault="00BF20A4" w14:paraId="7B79E2F8" w14:textId="41575472">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 xml:space="preserve">De una lectura sistemática y finalista de las normas orientadas a la protección del consumidor, y a los usuarios de seguros, debe concluirse, que las aseguradoras están en la mejor condición de exigir, bajo un elemental régimen de traslado de costos, que las empresas contratantes de estas pólizas grupales o colectivas cumplan con proporcionar la póliza o certificado de seguro, conjuntamente con un resumen en el que conste de manera clara y breve, principalmente, las condiciones y requisitos de cobertura, los riesgos cubiertos, las exclusiones y demás información relevante. </w:t>
      </w:r>
    </w:p>
    <w:p w:rsidRPr="00BF20A4" w:rsidR="00BF20A4" w:rsidP="00BF20A4" w:rsidRDefault="00BF20A4" w14:paraId="7A567226" w14:textId="4E4F5E33">
      <w:pPr>
        <w:jc w:val="both"/>
        <w:rPr>
          <w:rFonts w:ascii="Times New Roman" w:hAnsi="Times New Roman" w:cs="Times New Roman"/>
          <w:bCs/>
          <w:sz w:val="24"/>
          <w:szCs w:val="24"/>
          <w:lang w:val="es-PE"/>
        </w:rPr>
      </w:pPr>
      <w:r w:rsidRPr="00BF20A4">
        <w:rPr>
          <w:rFonts w:ascii="Times New Roman" w:hAnsi="Times New Roman" w:cs="Times New Roman"/>
          <w:bCs/>
          <w:sz w:val="24"/>
          <w:szCs w:val="24"/>
          <w:lang w:val="es-PE"/>
        </w:rPr>
        <w:t xml:space="preserve">A mayor abundamiento, de acuerdo al régimen legal vigente a la fecha, merece destacarse que en el artículo 137° de la Ley del Contrato de Seguro se sanciona explícitamente que </w:t>
      </w:r>
      <w:r w:rsidRPr="00BF20A4">
        <w:rPr>
          <w:rFonts w:ascii="Times New Roman" w:hAnsi="Times New Roman" w:cs="Times New Roman"/>
          <w:bCs/>
          <w:i/>
          <w:sz w:val="24"/>
          <w:szCs w:val="24"/>
          <w:lang w:val="es-PE"/>
        </w:rPr>
        <w:t>“no son oponibles al asegurado los contenidos contractuales que no le hayan sido informados en el certificado mencionado en el artículo anterior, cuyo contenido mínimo se sujeta a las disposiciones de la Superintendencia”</w:t>
      </w:r>
      <w:r w:rsidRPr="00BF20A4">
        <w:rPr>
          <w:rFonts w:ascii="Times New Roman" w:hAnsi="Times New Roman" w:cs="Times New Roman"/>
          <w:bCs/>
          <w:sz w:val="24"/>
          <w:szCs w:val="24"/>
          <w:lang w:val="es-PE"/>
        </w:rPr>
        <w:t>.</w:t>
      </w:r>
    </w:p>
    <w:p w:rsidRPr="00BF20A4" w:rsidR="00BF20A4" w:rsidP="00BF20A4" w:rsidRDefault="00BF20A4" w14:paraId="22480D57" w14:textId="55DD9AA0">
      <w:pPr>
        <w:jc w:val="both"/>
        <w:rPr>
          <w:rFonts w:ascii="Times New Roman" w:hAnsi="Times New Roman" w:eastAsia="Arial Unicode MS" w:cs="Times New Roman"/>
          <w:bCs/>
          <w:sz w:val="24"/>
          <w:szCs w:val="24"/>
          <w:lang w:val="es-PE"/>
        </w:rPr>
      </w:pPr>
      <w:r w:rsidRPr="00BF20A4">
        <w:rPr>
          <w:rFonts w:ascii="Times New Roman" w:hAnsi="Times New Roman" w:eastAsia="Arial Unicode MS" w:cs="Times New Roman"/>
          <w:bCs/>
          <w:sz w:val="24"/>
          <w:szCs w:val="24"/>
          <w:lang w:val="es-PE"/>
        </w:rPr>
        <w:lastRenderedPageBreak/>
        <w:t xml:space="preserve">De otro lado, cabe tener en cuenta que el tema de </w:t>
      </w:r>
      <w:r w:rsidRPr="00BF20A4">
        <w:rPr>
          <w:rFonts w:ascii="Times New Roman" w:hAnsi="Times New Roman" w:cs="Times New Roman"/>
          <w:sz w:val="24"/>
          <w:szCs w:val="24"/>
          <w:lang w:val="es-PE"/>
        </w:rPr>
        <w:t>la carga procesal esencial de demostrar el cumplimiento de los requisitos para oponer válidamente los fundamentos del rechazo,</w:t>
      </w:r>
      <w:r w:rsidRPr="00BF20A4">
        <w:rPr>
          <w:rFonts w:ascii="Times New Roman" w:hAnsi="Times New Roman" w:eastAsia="Arial Unicode MS" w:cs="Times New Roman"/>
          <w:bCs/>
          <w:sz w:val="24"/>
          <w:szCs w:val="24"/>
          <w:lang w:val="es-PE"/>
        </w:rPr>
        <w:t xml:space="preserve"> fue incluido como punto controvertido del proceso en la audiencia de vista virtual.</w:t>
      </w:r>
    </w:p>
    <w:p w:rsidRPr="00BF20A4" w:rsidR="00BF20A4" w:rsidP="00BF20A4" w:rsidRDefault="00BF20A4" w14:paraId="160FE4E1" w14:textId="3181CCA2">
      <w:pPr>
        <w:jc w:val="both"/>
        <w:rPr>
          <w:rFonts w:ascii="Times New Roman" w:hAnsi="Times New Roman" w:eastAsia="Arial Unicode MS" w:cs="Times New Roman"/>
          <w:bCs/>
          <w:sz w:val="24"/>
          <w:szCs w:val="24"/>
          <w:lang w:val="es-PE"/>
        </w:rPr>
      </w:pPr>
      <w:r w:rsidRPr="00BF20A4">
        <w:rPr>
          <w:rFonts w:ascii="Times New Roman" w:hAnsi="Times New Roman" w:eastAsia="Arial Unicode MS" w:cs="Times New Roman"/>
          <w:bCs/>
          <w:sz w:val="24"/>
          <w:szCs w:val="24"/>
          <w:lang w:val="es-PE"/>
        </w:rPr>
        <w:t xml:space="preserve">En efecto, tal como se aprecia en el Acta respectiva, se otorgó a la aseguradora cinco días hábiles para que presente la constancia de entrega del certificado de seguro. </w:t>
      </w:r>
    </w:p>
    <w:p w:rsidRPr="00BF20A4" w:rsidR="00BF20A4" w:rsidP="00BF20A4" w:rsidRDefault="00BF20A4" w14:paraId="0A9EBBC4" w14:textId="5B943AE4">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En otras palabras, si bien la aseguradora ha alegado que no tiene la obligación legal de conservar documentación más allá de diez años, ello no la libera de su carga probatoria de demostrar que los contenidos contractuales fueron informados al asegurado, por cuanto la propia ley del contrato de seguro señala que no son oponibles al asegurado los contenidos contractuales que no han sido informados en el certificado, tal y como ha sido referido en la resolución impugnada.</w:t>
      </w:r>
    </w:p>
    <w:p w:rsidRPr="00BF20A4" w:rsidR="00BF20A4" w:rsidP="00BF20A4" w:rsidRDefault="00BF20A4" w14:paraId="43A8C36F" w14:textId="60A42713">
      <w:pPr>
        <w:tabs>
          <w:tab w:val="left" w:pos="709"/>
          <w:tab w:val="left" w:pos="2160"/>
        </w:tabs>
        <w:jc w:val="both"/>
        <w:rPr>
          <w:rFonts w:ascii="Times New Roman" w:hAnsi="Times New Roman" w:cs="Times New Roman"/>
          <w:bCs/>
          <w:sz w:val="24"/>
          <w:szCs w:val="24"/>
          <w:lang w:val="es-PE"/>
        </w:rPr>
      </w:pPr>
      <w:r w:rsidRPr="00BF20A4">
        <w:rPr>
          <w:rFonts w:ascii="Times New Roman" w:hAnsi="Times New Roman" w:cs="Times New Roman"/>
          <w:sz w:val="24"/>
          <w:szCs w:val="24"/>
          <w:lang w:val="es-PE"/>
        </w:rPr>
        <w:t>La resolución impugnada se ajusta al</w:t>
      </w:r>
      <w:r w:rsidRPr="00BF20A4">
        <w:rPr>
          <w:rFonts w:ascii="Times New Roman" w:hAnsi="Times New Roman" w:cs="Times New Roman"/>
          <w:bCs/>
          <w:sz w:val="24"/>
          <w:szCs w:val="24"/>
          <w:lang w:val="es-PE"/>
        </w:rPr>
        <w:t xml:space="preserve"> criterio consistente y uniforme establecidos por esta Defensoría, respecto a los rechazos por exclusión de cobertura, estableciendo que se deben examinar al menos tres cuestiones: (i) ¿el contrato de seguro contiene la exclusión invocada?, (ii) de ser afirmativa la respuesta anterior, ¿la misma es oponible, esto es, surte efectos frente al asegurado?, por último, de ser también afirmativa la respuesta anterior, (iii) ¿se incurrió efectivamente en el supuesto de hecho que corresponde a la exclusión?</w:t>
      </w:r>
    </w:p>
    <w:p w:rsidRPr="00BF20A4" w:rsidR="00BF20A4" w:rsidP="00BF20A4" w:rsidRDefault="00BF20A4" w14:paraId="0B417192" w14:textId="147BF379">
      <w:pPr>
        <w:tabs>
          <w:tab w:val="left" w:pos="709"/>
          <w:tab w:val="left" w:pos="2160"/>
        </w:tabs>
        <w:jc w:val="both"/>
        <w:rPr>
          <w:rFonts w:ascii="Times New Roman" w:hAnsi="Times New Roman" w:cs="Times New Roman"/>
          <w:bCs/>
          <w:sz w:val="24"/>
          <w:szCs w:val="24"/>
          <w:lang w:val="es-PE"/>
        </w:rPr>
      </w:pPr>
      <w:r w:rsidRPr="00BF20A4">
        <w:rPr>
          <w:rFonts w:ascii="Times New Roman" w:hAnsi="Times New Roman" w:cs="Times New Roman"/>
          <w:bCs/>
          <w:sz w:val="24"/>
          <w:szCs w:val="24"/>
          <w:lang w:val="es-PE"/>
        </w:rPr>
        <w:t xml:space="preserve">Conforme a ello, el análisis correspondiente se practica de oficio, atendiendo a la asimetría informativa existente entre aseguradora y asegurado sobre el conocimiento de la regulación normativa del contrato de seguro -máxime cuando cualquier usuario de seguros puede recurrir a la DEFASEG sin requerirse de intervención de abogado-, salvo que el asegurado acepte o se haya evidenciado que sí recibió documentación y/o información sobre el régimen de exclusiones.  </w:t>
      </w:r>
    </w:p>
    <w:p w:rsidRPr="00BF20A4" w:rsidR="00BF20A4" w:rsidP="00BF20A4" w:rsidRDefault="00BF20A4" w14:paraId="0CF02837" w14:textId="72382E30">
      <w:pPr>
        <w:tabs>
          <w:tab w:val="left" w:pos="709"/>
          <w:tab w:val="left" w:pos="2160"/>
        </w:tabs>
        <w:jc w:val="both"/>
        <w:rPr>
          <w:rFonts w:ascii="Times New Roman" w:hAnsi="Times New Roman" w:cs="Times New Roman"/>
          <w:bCs/>
          <w:sz w:val="24"/>
          <w:szCs w:val="24"/>
          <w:lang w:val="es-PE"/>
        </w:rPr>
      </w:pPr>
      <w:r w:rsidRPr="00BF20A4">
        <w:rPr>
          <w:rFonts w:ascii="Times New Roman" w:hAnsi="Times New Roman" w:cs="Times New Roman"/>
          <w:bCs/>
          <w:sz w:val="24"/>
          <w:szCs w:val="24"/>
          <w:lang w:val="es-PE"/>
        </w:rPr>
        <w:t>Así, no es suficiente que la aseguradora pruebe los alcances de la exclusión pactada en su oportunidad, o que la misma se ha materializado, sino que es absolutamente necesario que también pruebe que informó de manera oportuna, suficiente y adecuada sobre dicha exclusión, quebrando así la asimetría informativa también existente sobre el conocimiento de las condiciones contractuales, dado que el asegurado es un tercero que se afilia al contrato de seguro.</w:t>
      </w:r>
    </w:p>
    <w:p w:rsidRPr="00BF20A4" w:rsidR="00BF20A4" w:rsidP="00BF20A4" w:rsidRDefault="00BF20A4" w14:paraId="5F06E79A" w14:textId="7050E158">
      <w:pPr>
        <w:jc w:val="both"/>
        <w:rPr>
          <w:rFonts w:ascii="Times New Roman" w:hAnsi="Times New Roman" w:cs="Times New Roman"/>
          <w:sz w:val="24"/>
          <w:szCs w:val="24"/>
          <w:lang w:val="es-PE"/>
        </w:rPr>
      </w:pPr>
      <w:r w:rsidRPr="00BF20A4">
        <w:rPr>
          <w:rFonts w:ascii="Times New Roman" w:hAnsi="Times New Roman" w:cs="Times New Roman"/>
          <w:sz w:val="24"/>
          <w:szCs w:val="24"/>
          <w:lang w:val="es-PE"/>
        </w:rPr>
        <w:t xml:space="preserve">Por lo tanto, este Colegiado advierte que no existe falta de motivación ni vulneración al debido proceso, o error en la resolución impugnada, por cuanto esta se fundamenta en la aplicación del </w:t>
      </w:r>
      <w:r w:rsidRPr="00BF20A4">
        <w:rPr>
          <w:rFonts w:ascii="Times New Roman" w:hAnsi="Times New Roman" w:cs="Times New Roman"/>
          <w:bCs/>
          <w:sz w:val="24"/>
          <w:szCs w:val="24"/>
          <w:lang w:val="es-PE"/>
        </w:rPr>
        <w:t>régimen legal vigente a la fecha.</w:t>
      </w:r>
    </w:p>
    <w:p w:rsidR="00BF20A4" w:rsidP="00BF20A4" w:rsidRDefault="00BF20A4" w14:paraId="5B08E0EE" w14:textId="772F87D3">
      <w:pPr>
        <w:jc w:val="both"/>
        <w:rPr>
          <w:rFonts w:ascii="Times New Roman" w:hAnsi="Times New Roman" w:cs="Times New Roman"/>
          <w:sz w:val="24"/>
          <w:szCs w:val="24"/>
          <w:lang w:val="es-PE"/>
        </w:rPr>
      </w:pPr>
      <w:r w:rsidRPr="00BF20A4">
        <w:rPr>
          <w:rFonts w:ascii="Times New Roman" w:hAnsi="Times New Roman" w:cs="Times New Roman"/>
          <w:b/>
          <w:sz w:val="24"/>
          <w:szCs w:val="24"/>
          <w:u w:val="single"/>
          <w:lang w:val="es-PE"/>
        </w:rPr>
        <w:t>TERCERO</w:t>
      </w:r>
      <w:r w:rsidRPr="00BF20A4">
        <w:rPr>
          <w:rFonts w:ascii="Times New Roman" w:hAnsi="Times New Roman" w:cs="Times New Roman"/>
          <w:b/>
          <w:sz w:val="24"/>
          <w:szCs w:val="24"/>
          <w:lang w:val="es-PE"/>
        </w:rPr>
        <w:t>:</w:t>
      </w:r>
      <w:r w:rsidRPr="00BF20A4">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BF20A4" w:rsidR="00BF20A4" w:rsidP="00BF20A4" w:rsidRDefault="00BF20A4" w14:paraId="757AB444" w14:textId="77777777">
      <w:pPr>
        <w:jc w:val="both"/>
        <w:rPr>
          <w:rFonts w:ascii="Times New Roman" w:hAnsi="Times New Roman" w:cs="Times New Roman"/>
          <w:sz w:val="24"/>
          <w:szCs w:val="24"/>
          <w:lang w:val="es-PE"/>
        </w:rPr>
      </w:pPr>
    </w:p>
    <w:p w:rsidRPr="00BF20A4" w:rsidR="00BF20A4" w:rsidP="00BF20A4" w:rsidRDefault="00BF20A4" w14:paraId="59C74BB1" w14:textId="414CABEA">
      <w:pPr>
        <w:jc w:val="both"/>
        <w:rPr>
          <w:rFonts w:ascii="Times New Roman" w:hAnsi="Times New Roman" w:cs="Times New Roman"/>
          <w:b/>
          <w:sz w:val="24"/>
          <w:szCs w:val="24"/>
          <w:lang w:val="es-PE"/>
        </w:rPr>
      </w:pPr>
      <w:r w:rsidRPr="00BF20A4">
        <w:rPr>
          <w:rFonts w:ascii="Times New Roman" w:hAnsi="Times New Roman" w:cs="Times New Roman"/>
          <w:b/>
          <w:sz w:val="24"/>
          <w:szCs w:val="24"/>
          <w:lang w:val="es-PE"/>
        </w:rPr>
        <w:t>RESUELVE:</w:t>
      </w:r>
    </w:p>
    <w:p w:rsidRPr="00BF20A4" w:rsidR="00BF20A4" w:rsidP="00BF20A4" w:rsidRDefault="00BF20A4" w14:paraId="4DAFA3EF" w14:textId="77777777">
      <w:pPr>
        <w:jc w:val="both"/>
        <w:rPr>
          <w:rFonts w:ascii="Times New Roman" w:hAnsi="Times New Roman" w:cs="Times New Roman"/>
          <w:sz w:val="24"/>
          <w:szCs w:val="24"/>
          <w:lang w:val="es-PE"/>
        </w:rPr>
      </w:pPr>
      <w:r w:rsidRPr="00BF20A4">
        <w:rPr>
          <w:rFonts w:ascii="Times New Roman" w:hAnsi="Times New Roman" w:eastAsia="Arial Unicode MS" w:cs="Times New Roman"/>
          <w:b/>
          <w:sz w:val="24"/>
          <w:szCs w:val="24"/>
          <w:lang w:val="es-PE"/>
        </w:rPr>
        <w:lastRenderedPageBreak/>
        <w:t>Declarar INFUNDADO el recurso de impugnación interpuesto y, por consiguiente, CONFIRMAR la Resolución Nro. 130/2020</w:t>
      </w:r>
      <w:r w:rsidRPr="00BF20A4">
        <w:rPr>
          <w:rFonts w:ascii="Times New Roman" w:hAnsi="Times New Roman" w:cs="Times New Roman"/>
          <w:sz w:val="24"/>
          <w:szCs w:val="24"/>
          <w:lang w:val="es-PE"/>
        </w:rPr>
        <w:t>.</w:t>
      </w:r>
    </w:p>
    <w:p w:rsidRPr="00BF20A4" w:rsidR="00C11BCB" w:rsidP="00BF20A4" w:rsidRDefault="00C11BCB" w14:paraId="6AE97D80"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BF20A4" w:rsidR="00C671F5" w:rsidP="00CF22D3" w:rsidRDefault="0091528B" w14:paraId="486C3F46" w14:textId="0747ECE9">
      <w:pPr>
        <w:suppressAutoHyphens/>
        <w:spacing w:after="0" w:line="240" w:lineRule="auto"/>
        <w:jc w:val="right"/>
        <w:outlineLvl w:val="0"/>
        <w:rPr>
          <w:rFonts w:ascii="Times New Roman" w:hAnsi="Times New Roman" w:eastAsia="Arial Unicode MS" w:cs="Times New Roman"/>
          <w:sz w:val="24"/>
          <w:szCs w:val="24"/>
          <w:lang w:val="es-PE" w:eastAsia="ar-SA"/>
        </w:rPr>
      </w:pPr>
      <w:r w:rsidRPr="00BF20A4">
        <w:rPr>
          <w:rFonts w:ascii="Times New Roman" w:hAnsi="Times New Roman" w:eastAsia="Arial Unicode MS" w:cs="Times New Roman"/>
          <w:sz w:val="24"/>
          <w:szCs w:val="24"/>
          <w:lang w:val="es-PE" w:eastAsia="ar-SA"/>
        </w:rPr>
        <w:t xml:space="preserve">Lima, </w:t>
      </w:r>
      <w:r w:rsidRPr="00BF20A4" w:rsidR="00BF20A4">
        <w:rPr>
          <w:rFonts w:ascii="Times New Roman" w:hAnsi="Times New Roman" w:eastAsia="Arial Unicode MS" w:cs="Times New Roman"/>
          <w:sz w:val="24"/>
          <w:szCs w:val="24"/>
          <w:lang w:val="es-PE" w:eastAsia="ar-SA"/>
        </w:rPr>
        <w:t xml:space="preserve">12 </w:t>
      </w:r>
      <w:r w:rsidRPr="00BF20A4" w:rsidR="00707C99">
        <w:rPr>
          <w:rFonts w:ascii="Times New Roman" w:hAnsi="Times New Roman" w:eastAsia="Arial Unicode MS" w:cs="Times New Roman"/>
          <w:sz w:val="24"/>
          <w:szCs w:val="24"/>
          <w:lang w:val="es-PE" w:eastAsia="ar-SA"/>
        </w:rPr>
        <w:t xml:space="preserve">de </w:t>
      </w:r>
      <w:r w:rsidRPr="00BF20A4" w:rsidR="00BF20A4">
        <w:rPr>
          <w:rFonts w:ascii="Times New Roman" w:hAnsi="Times New Roman" w:eastAsia="Arial Unicode MS" w:cs="Times New Roman"/>
          <w:sz w:val="24"/>
          <w:szCs w:val="24"/>
          <w:lang w:val="es-PE" w:eastAsia="ar-SA"/>
        </w:rPr>
        <w:t>marzo</w:t>
      </w:r>
      <w:r w:rsidRPr="00BF20A4" w:rsidR="00F06498">
        <w:rPr>
          <w:rFonts w:ascii="Times New Roman" w:hAnsi="Times New Roman" w:eastAsia="Arial Unicode MS" w:cs="Times New Roman"/>
          <w:sz w:val="24"/>
          <w:szCs w:val="24"/>
          <w:lang w:val="es-PE" w:eastAsia="ar-SA"/>
        </w:rPr>
        <w:t xml:space="preserve"> de 202</w:t>
      </w:r>
      <w:r w:rsidRPr="00BF20A4" w:rsidR="00231C58">
        <w:rPr>
          <w:rFonts w:ascii="Times New Roman" w:hAnsi="Times New Roman" w:eastAsia="Arial Unicode MS" w:cs="Times New Roman"/>
          <w:sz w:val="24"/>
          <w:szCs w:val="24"/>
          <w:lang w:val="es-PE" w:eastAsia="ar-SA"/>
        </w:rPr>
        <w:t>1</w:t>
      </w:r>
      <w:r w:rsidRPr="00BF20A4" w:rsidR="00707C99">
        <w:rPr>
          <w:rFonts w:ascii="Times New Roman" w:hAnsi="Times New Roman" w:eastAsia="Times New Roman" w:cs="Times New Roman"/>
          <w:sz w:val="24"/>
          <w:szCs w:val="24"/>
          <w:lang w:val="es-PE" w:eastAsia="ar-SA"/>
        </w:rPr>
        <w:t xml:space="preserve"> </w:t>
      </w:r>
    </w:p>
    <w:p w:rsidRPr="00BF20A4"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F20A4"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F20A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F20A4"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BF20A4" w:rsidR="00C671F5" w:rsidP="00C671F5" w:rsidRDefault="00231C58" w14:paraId="548B3E5B" w14:textId="4CB8B7CC">
      <w:pPr>
        <w:spacing w:after="0" w:line="360" w:lineRule="auto"/>
        <w:jc w:val="center"/>
        <w:rPr>
          <w:rFonts w:ascii="Times New Roman" w:hAnsi="Times New Roman" w:cs="Times New Roman"/>
          <w:b/>
          <w:bCs/>
          <w:sz w:val="24"/>
          <w:szCs w:val="24"/>
          <w:lang w:val="es-PE"/>
        </w:rPr>
      </w:pPr>
      <w:r w:rsidRPr="00BF20A4">
        <w:rPr>
          <w:rFonts w:ascii="Times New Roman" w:hAnsi="Times New Roman" w:cs="Times New Roman"/>
          <w:b/>
          <w:bCs/>
          <w:sz w:val="24"/>
          <w:szCs w:val="24"/>
          <w:lang w:val="es-PE"/>
        </w:rPr>
        <w:t xml:space="preserve">María Eugenia Valdez Fernández Baca </w:t>
      </w:r>
      <w:r w:rsidRPr="00BF20A4" w:rsidR="00C671F5">
        <w:rPr>
          <w:rFonts w:ascii="Times New Roman" w:hAnsi="Times New Roman" w:cs="Times New Roman"/>
          <w:b/>
          <w:bCs/>
          <w:sz w:val="24"/>
          <w:szCs w:val="24"/>
          <w:lang w:val="es-PE"/>
        </w:rPr>
        <w:t xml:space="preserve">– </w:t>
      </w:r>
      <w:r w:rsidRPr="00BF20A4" w:rsidR="006A4B79">
        <w:rPr>
          <w:rFonts w:ascii="Times New Roman" w:hAnsi="Times New Roman" w:cs="Times New Roman"/>
          <w:b/>
          <w:bCs/>
          <w:sz w:val="24"/>
          <w:szCs w:val="24"/>
          <w:lang w:val="es-PE"/>
        </w:rPr>
        <w:t>Vocal</w:t>
      </w:r>
    </w:p>
    <w:p w:rsidRPr="00BF20A4" w:rsidR="00292018" w:rsidP="00292018" w:rsidRDefault="00BF20A4" w14:paraId="3006BA35" w14:textId="48BAACA0">
      <w:pPr>
        <w:spacing w:after="0" w:line="360" w:lineRule="auto"/>
        <w:jc w:val="center"/>
        <w:rPr>
          <w:rFonts w:ascii="Times New Roman" w:hAnsi="Times New Roman" w:cs="Times New Roman"/>
          <w:b/>
          <w:bCs/>
          <w:sz w:val="24"/>
          <w:szCs w:val="24"/>
          <w:lang w:val="es-PE"/>
        </w:rPr>
      </w:pPr>
      <w:r w:rsidRPr="00BF20A4">
        <w:rPr>
          <w:rFonts w:ascii="Times New Roman" w:hAnsi="Times New Roman" w:cs="Times New Roman"/>
          <w:b/>
          <w:bCs/>
          <w:sz w:val="24"/>
          <w:szCs w:val="24"/>
          <w:lang w:val="es-PE"/>
        </w:rPr>
        <w:t>Marco Antonio Ortega Piana</w:t>
      </w:r>
      <w:r w:rsidRPr="00BF20A4" w:rsidR="00292018">
        <w:rPr>
          <w:rFonts w:ascii="Times New Roman" w:hAnsi="Times New Roman" w:cs="Times New Roman"/>
          <w:b/>
          <w:bCs/>
          <w:sz w:val="24"/>
          <w:szCs w:val="24"/>
          <w:lang w:val="es-PE"/>
        </w:rPr>
        <w:t xml:space="preserve"> – Vocal</w:t>
      </w:r>
    </w:p>
    <w:p w:rsidRPr="00BF20A4"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BF20A4">
        <w:rPr>
          <w:rFonts w:ascii="Times New Roman" w:hAnsi="Times New Roman" w:cs="Times New Roman"/>
          <w:b/>
          <w:bCs/>
          <w:sz w:val="24"/>
          <w:szCs w:val="24"/>
          <w:lang w:val="es-PE"/>
        </w:rPr>
        <w:t xml:space="preserve">Gonzalo Abad del Busto </w:t>
      </w:r>
      <w:r w:rsidRPr="00BF20A4" w:rsidR="00231C58">
        <w:rPr>
          <w:rFonts w:ascii="Times New Roman" w:hAnsi="Times New Roman" w:cs="Times New Roman"/>
          <w:b/>
          <w:bCs/>
          <w:sz w:val="24"/>
          <w:szCs w:val="24"/>
          <w:lang w:val="es-PE"/>
        </w:rPr>
        <w:t xml:space="preserve">– </w:t>
      </w:r>
      <w:r w:rsidRPr="00BF20A4">
        <w:rPr>
          <w:rFonts w:ascii="Times New Roman" w:hAnsi="Times New Roman" w:cs="Times New Roman"/>
          <w:b/>
          <w:bCs/>
          <w:sz w:val="24"/>
          <w:szCs w:val="24"/>
          <w:lang w:val="es-PE"/>
        </w:rPr>
        <w:t>Vocal</w:t>
      </w: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45E9D" w:rsidP="00784355" w:rsidRDefault="00945E9D" w14:paraId="6B505383" w14:textId="77777777">
      <w:pPr>
        <w:spacing w:after="0" w:line="240" w:lineRule="auto"/>
      </w:pPr>
      <w:r>
        <w:separator/>
      </w:r>
    </w:p>
  </w:endnote>
  <w:endnote w:type="continuationSeparator" w:id="0">
    <w:p w:rsidR="00945E9D" w:rsidP="00784355" w:rsidRDefault="00945E9D" w14:paraId="470AEA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BF20A4">
              <w:rPr>
                <w:rFonts w:ascii="Times New Roman" w:hAnsi="Times New Roman" w:cs="Times New Roman"/>
                <w:sz w:val="18"/>
                <w:szCs w:val="18"/>
                <w:lang w:val="es-ES"/>
              </w:rPr>
              <w:t xml:space="preserve">Página </w:t>
            </w:r>
            <w:r w:rsidRPr="00BF20A4">
              <w:rPr>
                <w:rFonts w:ascii="Times New Roman" w:hAnsi="Times New Roman" w:cs="Times New Roman"/>
                <w:b/>
                <w:bCs/>
                <w:sz w:val="18"/>
                <w:szCs w:val="18"/>
              </w:rPr>
              <w:fldChar w:fldCharType="begin"/>
            </w:r>
            <w:r w:rsidRPr="00BF20A4">
              <w:rPr>
                <w:rFonts w:ascii="Times New Roman" w:hAnsi="Times New Roman" w:cs="Times New Roman"/>
                <w:b/>
                <w:bCs/>
                <w:sz w:val="18"/>
                <w:szCs w:val="18"/>
              </w:rPr>
              <w:instrText>PAGE</w:instrText>
            </w:r>
            <w:r w:rsidRPr="00BF20A4">
              <w:rPr>
                <w:rFonts w:ascii="Times New Roman" w:hAnsi="Times New Roman" w:cs="Times New Roman"/>
                <w:b/>
                <w:bCs/>
                <w:sz w:val="18"/>
                <w:szCs w:val="18"/>
              </w:rPr>
              <w:fldChar w:fldCharType="separate"/>
            </w:r>
            <w:r w:rsidRPr="00BF20A4">
              <w:rPr>
                <w:rFonts w:ascii="Times New Roman" w:hAnsi="Times New Roman" w:cs="Times New Roman"/>
                <w:b/>
                <w:bCs/>
                <w:sz w:val="18"/>
                <w:szCs w:val="18"/>
                <w:lang w:val="es-ES"/>
              </w:rPr>
              <w:t>2</w:t>
            </w:r>
            <w:r w:rsidRPr="00BF20A4">
              <w:rPr>
                <w:rFonts w:ascii="Times New Roman" w:hAnsi="Times New Roman" w:cs="Times New Roman"/>
                <w:b/>
                <w:bCs/>
                <w:sz w:val="18"/>
                <w:szCs w:val="18"/>
              </w:rPr>
              <w:fldChar w:fldCharType="end"/>
            </w:r>
            <w:r w:rsidRPr="00BF20A4">
              <w:rPr>
                <w:rFonts w:ascii="Times New Roman" w:hAnsi="Times New Roman" w:cs="Times New Roman"/>
                <w:sz w:val="18"/>
                <w:szCs w:val="18"/>
                <w:lang w:val="es-ES"/>
              </w:rPr>
              <w:t xml:space="preserve"> de </w:t>
            </w:r>
            <w:r w:rsidRPr="00BF20A4">
              <w:rPr>
                <w:rFonts w:ascii="Times New Roman" w:hAnsi="Times New Roman" w:cs="Times New Roman"/>
                <w:b/>
                <w:bCs/>
                <w:sz w:val="18"/>
                <w:szCs w:val="18"/>
              </w:rPr>
              <w:fldChar w:fldCharType="begin"/>
            </w:r>
            <w:r w:rsidRPr="00BF20A4">
              <w:rPr>
                <w:rFonts w:ascii="Times New Roman" w:hAnsi="Times New Roman" w:cs="Times New Roman"/>
                <w:b/>
                <w:bCs/>
                <w:sz w:val="18"/>
                <w:szCs w:val="18"/>
              </w:rPr>
              <w:instrText>NUMPAGES</w:instrText>
            </w:r>
            <w:r w:rsidRPr="00BF20A4">
              <w:rPr>
                <w:rFonts w:ascii="Times New Roman" w:hAnsi="Times New Roman" w:cs="Times New Roman"/>
                <w:b/>
                <w:bCs/>
                <w:sz w:val="18"/>
                <w:szCs w:val="18"/>
              </w:rPr>
              <w:fldChar w:fldCharType="separate"/>
            </w:r>
            <w:r w:rsidRPr="00BF20A4">
              <w:rPr>
                <w:rFonts w:ascii="Times New Roman" w:hAnsi="Times New Roman" w:cs="Times New Roman"/>
                <w:b/>
                <w:bCs/>
                <w:sz w:val="18"/>
                <w:szCs w:val="18"/>
                <w:lang w:val="es-ES"/>
              </w:rPr>
              <w:t>2</w:t>
            </w:r>
            <w:r w:rsidRPr="00BF20A4">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45E9D" w:rsidP="00784355" w:rsidRDefault="00945E9D" w14:paraId="75AE81F5" w14:textId="77777777">
      <w:pPr>
        <w:spacing w:after="0" w:line="240" w:lineRule="auto"/>
      </w:pPr>
      <w:r>
        <w:separator/>
      </w:r>
    </w:p>
  </w:footnote>
  <w:footnote w:type="continuationSeparator" w:id="0">
    <w:p w:rsidR="00945E9D" w:rsidP="00784355" w:rsidRDefault="00945E9D" w14:paraId="57F322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367"/>
    <w:rsid w:val="00465FB9"/>
    <w:rsid w:val="00466302"/>
    <w:rsid w:val="0047370C"/>
    <w:rsid w:val="0047522D"/>
    <w:rsid w:val="00476BA1"/>
    <w:rsid w:val="00496A1A"/>
    <w:rsid w:val="004A3E25"/>
    <w:rsid w:val="004B51ED"/>
    <w:rsid w:val="004C51EC"/>
    <w:rsid w:val="004E65DD"/>
    <w:rsid w:val="004F549E"/>
    <w:rsid w:val="004F6BA0"/>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A4B7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157"/>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3C96"/>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07A0"/>
    <w:rsid w:val="009272D7"/>
    <w:rsid w:val="00933532"/>
    <w:rsid w:val="00943343"/>
    <w:rsid w:val="00945E9D"/>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1DE9"/>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669CB"/>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20A4"/>
    <w:rsid w:val="00BF414E"/>
    <w:rsid w:val="00BF78BF"/>
    <w:rsid w:val="00C00BBF"/>
    <w:rsid w:val="00C04AA4"/>
    <w:rsid w:val="00C05445"/>
    <w:rsid w:val="00C11BCB"/>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22D3"/>
    <w:rsid w:val="00CF55D6"/>
    <w:rsid w:val="00CF78D3"/>
    <w:rsid w:val="00D006FE"/>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D9B2D5D"/>
    <w:rsid w:val="168D80A8"/>
    <w:rsid w:val="20D9B18F"/>
    <w:rsid w:val="24E28F25"/>
    <w:rsid w:val="56303FD0"/>
    <w:rsid w:val="60BD2460"/>
    <w:rsid w:val="68244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A38E563-8BAE-40BE-B7D6-5027182A96B5}"/>
</file>

<file path=customXml/itemProps3.xml><?xml version="1.0" encoding="utf-8"?>
<ds:datastoreItem xmlns:ds="http://schemas.openxmlformats.org/officeDocument/2006/customXml" ds:itemID="{E826BA59-7B6C-4592-B819-FFE0113CDBBD}"/>
</file>

<file path=customXml/itemProps4.xml><?xml version="1.0" encoding="utf-8"?>
<ds:datastoreItem xmlns:ds="http://schemas.openxmlformats.org/officeDocument/2006/customXml" ds:itemID="{0FBF3956-F036-4ED9-8723-431B03C398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29</cp:revision>
  <cp:lastPrinted>2021-02-15T19:54:00Z</cp:lastPrinted>
  <dcterms:created xsi:type="dcterms:W3CDTF">2020-12-18T20:17:00Z</dcterms:created>
  <dcterms:modified xsi:type="dcterms:W3CDTF">2026-02-02T21:47:59Z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