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19F72365" w:rsidR="00707C99" w:rsidRPr="0033211B" w:rsidRDefault="00201C0D" w:rsidP="00072C60">
      <w:pPr>
        <w:spacing w:after="0" w:line="240" w:lineRule="auto"/>
        <w:jc w:val="center"/>
        <w:rPr>
          <w:rFonts w:ascii="Times New Roman" w:hAnsi="Times New Roman" w:cs="Times New Roman"/>
          <w:b/>
          <w:sz w:val="24"/>
          <w:szCs w:val="24"/>
          <w:lang w:val="es-PE" w:eastAsia="ar-SA"/>
        </w:rPr>
      </w:pPr>
      <w:r w:rsidRPr="0033211B">
        <w:rPr>
          <w:rFonts w:ascii="Times New Roman" w:hAnsi="Times New Roman" w:cs="Times New Roman"/>
          <w:b/>
          <w:sz w:val="24"/>
          <w:szCs w:val="24"/>
          <w:lang w:val="es-PE" w:eastAsia="ar-SA"/>
        </w:rPr>
        <w:t xml:space="preserve">RESOLUCIÓN DE RECURSO IMPUGNATIVO </w:t>
      </w:r>
      <w:proofErr w:type="spellStart"/>
      <w:r w:rsidR="00707C99" w:rsidRPr="0033211B">
        <w:rPr>
          <w:rFonts w:ascii="Times New Roman" w:hAnsi="Times New Roman" w:cs="Times New Roman"/>
          <w:b/>
          <w:sz w:val="24"/>
          <w:szCs w:val="24"/>
          <w:lang w:val="es-PE" w:eastAsia="ar-SA"/>
        </w:rPr>
        <w:t>N°</w:t>
      </w:r>
      <w:proofErr w:type="spellEnd"/>
      <w:r w:rsidR="00707C99" w:rsidRPr="0033211B">
        <w:rPr>
          <w:rFonts w:ascii="Times New Roman" w:hAnsi="Times New Roman" w:cs="Times New Roman"/>
          <w:b/>
          <w:sz w:val="24"/>
          <w:szCs w:val="24"/>
          <w:lang w:val="es-PE" w:eastAsia="ar-SA"/>
        </w:rPr>
        <w:t xml:space="preserve"> </w:t>
      </w:r>
      <w:r w:rsidR="00C671F5" w:rsidRPr="0033211B">
        <w:rPr>
          <w:rFonts w:ascii="Times New Roman" w:hAnsi="Times New Roman" w:cs="Times New Roman"/>
          <w:b/>
          <w:sz w:val="24"/>
          <w:szCs w:val="24"/>
          <w:lang w:val="es-PE" w:eastAsia="ar-SA"/>
        </w:rPr>
        <w:t>0</w:t>
      </w:r>
      <w:r w:rsidR="0033211B" w:rsidRPr="0033211B">
        <w:rPr>
          <w:rFonts w:ascii="Times New Roman" w:hAnsi="Times New Roman" w:cs="Times New Roman"/>
          <w:b/>
          <w:sz w:val="24"/>
          <w:szCs w:val="24"/>
          <w:lang w:val="es-PE" w:eastAsia="ar-SA"/>
        </w:rPr>
        <w:t>20</w:t>
      </w:r>
      <w:r w:rsidR="00C671F5" w:rsidRPr="0033211B">
        <w:rPr>
          <w:rFonts w:ascii="Times New Roman" w:hAnsi="Times New Roman" w:cs="Times New Roman"/>
          <w:b/>
          <w:sz w:val="24"/>
          <w:szCs w:val="24"/>
          <w:lang w:val="es-PE" w:eastAsia="ar-SA"/>
        </w:rPr>
        <w:t>/2</w:t>
      </w:r>
      <w:r w:rsidR="00231C58" w:rsidRPr="0033211B">
        <w:rPr>
          <w:rFonts w:ascii="Times New Roman" w:hAnsi="Times New Roman" w:cs="Times New Roman"/>
          <w:b/>
          <w:sz w:val="24"/>
          <w:szCs w:val="24"/>
          <w:lang w:val="es-PE" w:eastAsia="ar-SA"/>
        </w:rPr>
        <w:t>1</w:t>
      </w:r>
    </w:p>
    <w:p w14:paraId="428240E5" w14:textId="06F06948" w:rsidR="00707C99" w:rsidRPr="0033211B"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33211B"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0A48A2A2" w14:textId="77777777" w:rsidR="0033211B" w:rsidRPr="0033211B" w:rsidRDefault="0033211B" w:rsidP="0033211B">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33211B">
        <w:rPr>
          <w:rFonts w:ascii="Times New Roman" w:eastAsia="Times New Roman" w:hAnsi="Times New Roman" w:cs="Times New Roman"/>
          <w:b/>
          <w:bCs/>
          <w:sz w:val="24"/>
          <w:szCs w:val="24"/>
          <w:lang w:val="es-MX" w:eastAsia="ar-SA"/>
        </w:rPr>
        <w:t>Vistos:</w:t>
      </w:r>
    </w:p>
    <w:p w14:paraId="1F93DDFF" w14:textId="77777777" w:rsidR="0033211B" w:rsidRPr="0033211B" w:rsidRDefault="0033211B" w:rsidP="0033211B">
      <w:pPr>
        <w:suppressAutoHyphens/>
        <w:spacing w:after="0" w:line="240" w:lineRule="auto"/>
        <w:jc w:val="both"/>
        <w:rPr>
          <w:rFonts w:ascii="Times New Roman" w:eastAsia="Times New Roman" w:hAnsi="Times New Roman" w:cs="Times New Roman"/>
          <w:b/>
          <w:bCs/>
          <w:sz w:val="24"/>
          <w:szCs w:val="24"/>
          <w:lang w:val="es-MX" w:eastAsia="ar-SA"/>
        </w:rPr>
      </w:pPr>
      <w:r w:rsidRPr="0033211B">
        <w:rPr>
          <w:rFonts w:ascii="Times New Roman" w:eastAsia="Times New Roman" w:hAnsi="Times New Roman" w:cs="Times New Roman"/>
          <w:b/>
          <w:bCs/>
          <w:sz w:val="24"/>
          <w:szCs w:val="24"/>
          <w:lang w:val="es-MX" w:eastAsia="ar-SA"/>
        </w:rPr>
        <w:t xml:space="preserve">   </w:t>
      </w:r>
    </w:p>
    <w:p w14:paraId="06B83B82" w14:textId="0040A913" w:rsidR="0033211B" w:rsidRPr="0033211B" w:rsidRDefault="0033211B" w:rsidP="0033211B">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r w:rsidRPr="0033211B">
        <w:rPr>
          <w:rFonts w:ascii="Times New Roman" w:eastAsia="Times New Roman" w:hAnsi="Times New Roman" w:cs="Times New Roman"/>
          <w:sz w:val="24"/>
          <w:szCs w:val="24"/>
          <w:lang w:val="es-ES" w:eastAsia="ar-SA"/>
        </w:rPr>
        <w:t xml:space="preserve">El recurso de impugnación presentado el 23 de febrero de 2021 por </w:t>
      </w:r>
      <w:r w:rsidR="00D17152" w:rsidRPr="00B32523">
        <w:rPr>
          <w:rFonts w:ascii="Arial" w:hAnsi="Arial" w:cs="Arial"/>
          <w:lang w:val="es-PE"/>
        </w:rPr>
        <w:t>...................</w:t>
      </w:r>
      <w:r w:rsidRPr="0033211B">
        <w:rPr>
          <w:rFonts w:ascii="Times New Roman" w:eastAsia="Times New Roman" w:hAnsi="Times New Roman" w:cs="Times New Roman"/>
          <w:sz w:val="24"/>
          <w:szCs w:val="24"/>
          <w:lang w:val="es-ES" w:eastAsia="ar-SA"/>
        </w:rPr>
        <w:t xml:space="preserve"> respecto de la Resolución Nro. 017/21, del 16 de febrero de 2021, emitida por esta Defensoría del Asegurado (DEFASEG), que declaró FUNDADA</w:t>
      </w:r>
      <w:r w:rsidRPr="0033211B">
        <w:rPr>
          <w:rFonts w:ascii="Times New Roman" w:hAnsi="Times New Roman" w:cs="Times New Roman"/>
          <w:sz w:val="24"/>
          <w:szCs w:val="24"/>
          <w:lang w:val="es-PE"/>
        </w:rPr>
        <w:t xml:space="preserve"> </w:t>
      </w:r>
      <w:r w:rsidRPr="0033211B">
        <w:rPr>
          <w:rFonts w:ascii="Times New Roman" w:eastAsia="Arial Unicode MS" w:hAnsi="Times New Roman" w:cs="Times New Roman"/>
          <w:sz w:val="24"/>
          <w:szCs w:val="24"/>
          <w:lang w:val="es-PE"/>
        </w:rPr>
        <w:t xml:space="preserve">la reclamación interpuesta por don </w:t>
      </w:r>
      <w:r w:rsidR="00D17152" w:rsidRPr="00B32523">
        <w:rPr>
          <w:rFonts w:ascii="Arial" w:hAnsi="Arial" w:cs="Arial"/>
          <w:lang w:val="es-PE"/>
        </w:rPr>
        <w:t>...................</w:t>
      </w:r>
      <w:r w:rsidRPr="0033211B">
        <w:rPr>
          <w:rFonts w:ascii="Times New Roman" w:hAnsi="Times New Roman" w:cs="Times New Roman"/>
          <w:bCs/>
          <w:sz w:val="24"/>
          <w:szCs w:val="24"/>
          <w:lang w:val="es-ES"/>
        </w:rPr>
        <w:t>, sobre</w:t>
      </w:r>
      <w:r w:rsidRPr="0033211B">
        <w:rPr>
          <w:rFonts w:ascii="Times New Roman" w:eastAsia="Times New Roman" w:hAnsi="Times New Roman" w:cs="Times New Roman"/>
          <w:sz w:val="24"/>
          <w:szCs w:val="24"/>
          <w:lang w:val="es-PE" w:eastAsia="es-ES"/>
        </w:rPr>
        <w:t xml:space="preserve"> otorgamiento de cobertura </w:t>
      </w:r>
      <w:bookmarkStart w:id="0" w:name="OLE_LINK2"/>
      <w:r w:rsidRPr="0033211B">
        <w:rPr>
          <w:rFonts w:ascii="Times New Roman" w:eastAsia="Times New Roman" w:hAnsi="Times New Roman" w:cs="Times New Roman"/>
          <w:sz w:val="24"/>
          <w:szCs w:val="24"/>
          <w:lang w:val="es-PE" w:eastAsia="es-ES"/>
        </w:rPr>
        <w:t>por invalidez total, permanente y definitiva por enfermedad</w:t>
      </w:r>
      <w:r w:rsidRPr="0033211B">
        <w:rPr>
          <w:rFonts w:ascii="Times New Roman" w:hAnsi="Times New Roman" w:cs="Times New Roman"/>
          <w:bCs/>
          <w:sz w:val="24"/>
          <w:szCs w:val="24"/>
          <w:lang w:val="es-ES"/>
        </w:rPr>
        <w:t>,</w:t>
      </w:r>
      <w:r w:rsidRPr="0033211B">
        <w:rPr>
          <w:rFonts w:ascii="Times New Roman" w:eastAsia="Times New Roman" w:hAnsi="Times New Roman" w:cs="Times New Roman"/>
          <w:sz w:val="24"/>
          <w:szCs w:val="24"/>
          <w:lang w:val="es-ES" w:eastAsia="es-ES"/>
        </w:rPr>
        <w:t xml:space="preserve"> </w:t>
      </w:r>
      <w:proofErr w:type="gramStart"/>
      <w:r w:rsidRPr="0033211B">
        <w:rPr>
          <w:rFonts w:ascii="Times New Roman" w:eastAsia="Times New Roman" w:hAnsi="Times New Roman" w:cs="Times New Roman"/>
          <w:sz w:val="24"/>
          <w:szCs w:val="24"/>
          <w:lang w:val="es-PE" w:eastAsia="es-ES"/>
        </w:rPr>
        <w:t>de acuerdo a</w:t>
      </w:r>
      <w:proofErr w:type="gramEnd"/>
      <w:r w:rsidRPr="0033211B">
        <w:rPr>
          <w:rFonts w:ascii="Times New Roman" w:eastAsia="Times New Roman" w:hAnsi="Times New Roman" w:cs="Times New Roman"/>
          <w:sz w:val="24"/>
          <w:szCs w:val="24"/>
          <w:lang w:val="es-PE" w:eastAsia="es-ES"/>
        </w:rPr>
        <w:t xml:space="preserve"> los términos y condiciones del Seguro </w:t>
      </w:r>
      <w:r w:rsidRPr="0033211B">
        <w:rPr>
          <w:rFonts w:ascii="Times New Roman" w:hAnsi="Times New Roman" w:cs="Times New Roman"/>
          <w:sz w:val="24"/>
          <w:szCs w:val="24"/>
          <w:lang w:val="es-ES"/>
        </w:rPr>
        <w:t xml:space="preserve">Desgravamen de Crédito para préstamos personales y con garantía hipotecaria – Póliza Nro. </w:t>
      </w:r>
      <w:r w:rsidR="00D17152" w:rsidRPr="00B32523">
        <w:rPr>
          <w:rFonts w:ascii="Arial" w:hAnsi="Arial" w:cs="Arial"/>
          <w:lang w:val="es-PE"/>
        </w:rPr>
        <w:t>...................</w:t>
      </w:r>
      <w:r w:rsidRPr="0033211B">
        <w:rPr>
          <w:rFonts w:ascii="Times New Roman" w:hAnsi="Times New Roman" w:cs="Times New Roman"/>
          <w:sz w:val="24"/>
          <w:szCs w:val="24"/>
          <w:lang w:val="es-ES"/>
        </w:rPr>
        <w:t xml:space="preserve"> (Soles) – </w:t>
      </w:r>
      <w:r w:rsidR="00D17152" w:rsidRPr="00B32523">
        <w:rPr>
          <w:rFonts w:ascii="Arial" w:hAnsi="Arial" w:cs="Arial"/>
          <w:lang w:val="es-PE"/>
        </w:rPr>
        <w:t>...................</w:t>
      </w:r>
      <w:r w:rsidRPr="0033211B">
        <w:rPr>
          <w:rFonts w:ascii="Times New Roman" w:hAnsi="Times New Roman" w:cs="Times New Roman"/>
          <w:sz w:val="24"/>
          <w:szCs w:val="24"/>
          <w:lang w:val="es-ES"/>
        </w:rPr>
        <w:t xml:space="preserve"> (</w:t>
      </w:r>
      <w:proofErr w:type="gramStart"/>
      <w:r w:rsidRPr="0033211B">
        <w:rPr>
          <w:rFonts w:ascii="Times New Roman" w:hAnsi="Times New Roman" w:cs="Times New Roman"/>
          <w:sz w:val="24"/>
          <w:szCs w:val="24"/>
          <w:lang w:val="es-ES"/>
        </w:rPr>
        <w:t>Dólares</w:t>
      </w:r>
      <w:proofErr w:type="gramEnd"/>
      <w:r w:rsidRPr="0033211B">
        <w:rPr>
          <w:rFonts w:ascii="Times New Roman" w:hAnsi="Times New Roman" w:cs="Times New Roman"/>
          <w:sz w:val="24"/>
          <w:szCs w:val="24"/>
          <w:lang w:val="es-ES"/>
        </w:rPr>
        <w:t xml:space="preserve">), Certificado Nro. </w:t>
      </w:r>
      <w:r w:rsidR="00D17152" w:rsidRPr="00B32523">
        <w:rPr>
          <w:rFonts w:ascii="Arial" w:hAnsi="Arial" w:cs="Arial"/>
          <w:lang w:val="es-PE"/>
        </w:rPr>
        <w:t>...................</w:t>
      </w:r>
      <w:r w:rsidRPr="0033211B">
        <w:rPr>
          <w:rFonts w:ascii="Times New Roman" w:hAnsi="Times New Roman" w:cs="Times New Roman"/>
          <w:sz w:val="24"/>
          <w:szCs w:val="24"/>
          <w:lang w:val="es-ES"/>
        </w:rPr>
        <w:t>;</w:t>
      </w:r>
    </w:p>
    <w:bookmarkEnd w:id="0"/>
    <w:p w14:paraId="64CFA2B8" w14:textId="77777777" w:rsidR="0033211B" w:rsidRPr="0033211B" w:rsidRDefault="0033211B" w:rsidP="0033211B">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p>
    <w:p w14:paraId="0CA26B67" w14:textId="3E658BC9"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r w:rsidRPr="0033211B">
        <w:rPr>
          <w:rFonts w:ascii="Times New Roman" w:eastAsia="Times New Roman" w:hAnsi="Times New Roman" w:cs="Times New Roman"/>
          <w:bCs/>
          <w:sz w:val="24"/>
          <w:szCs w:val="24"/>
          <w:lang w:val="es-MX" w:eastAsia="ar-SA"/>
        </w:rPr>
        <w:t>Que, a través del señalado recurso, la aseguradora cuestiona lo resuelto por la DEFASEG, siendo que de manera específica y con relación al sustento de la resolución recurrida, destaca que, mediante correo electrónico del 13 de diciembre de 2020, dirigido a la dirección electrónica registrada del asegurado (</w:t>
      </w:r>
      <w:r w:rsidR="00D17152" w:rsidRPr="00B32523">
        <w:rPr>
          <w:rFonts w:ascii="Arial" w:hAnsi="Arial" w:cs="Arial"/>
          <w:lang w:val="es-PE"/>
        </w:rPr>
        <w:t>...................</w:t>
      </w:r>
      <w:r w:rsidRPr="0033211B">
        <w:rPr>
          <w:rFonts w:ascii="Times New Roman" w:eastAsia="Times New Roman" w:hAnsi="Times New Roman" w:cs="Times New Roman"/>
          <w:bCs/>
          <w:sz w:val="24"/>
          <w:szCs w:val="24"/>
          <w:lang w:val="es-MX" w:eastAsia="ar-SA"/>
        </w:rPr>
        <w:t>), le comunicó su respuesta a la solicitud de cobertura, lo cual corresponde a una comunicación oportuna y fehaciente según la exigencia del artículo 9 de la Ley Nro. 29946 – Ley del Contrato de Seguro;</w:t>
      </w:r>
    </w:p>
    <w:p w14:paraId="4DFEF9E0" w14:textId="77777777"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p>
    <w:p w14:paraId="49C4EDB3" w14:textId="77777777"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r w:rsidRPr="0033211B">
        <w:rPr>
          <w:rFonts w:ascii="Times New Roman" w:eastAsia="Times New Roman" w:hAnsi="Times New Roman" w:cs="Times New Roman"/>
          <w:bCs/>
          <w:sz w:val="24"/>
          <w:szCs w:val="24"/>
          <w:lang w:val="es-MX" w:eastAsia="ar-SA"/>
        </w:rPr>
        <w:t>Que, con fecha 26 de febrero de 2021 se corrió traslado al asegurado de dicha impugnación para que, dentro del plazo reglamentario, pudiese expresar lo conveniente a su derecho; plazo que se encuentra ampliamente vencido sin que se haya absuelto el indicado trámite;</w:t>
      </w:r>
    </w:p>
    <w:p w14:paraId="22DFD860" w14:textId="77777777"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p>
    <w:p w14:paraId="007CA762" w14:textId="77777777" w:rsidR="0033211B" w:rsidRPr="0033211B" w:rsidRDefault="0033211B" w:rsidP="0033211B">
      <w:pPr>
        <w:suppressAutoHyphens/>
        <w:spacing w:after="0" w:line="240" w:lineRule="auto"/>
        <w:jc w:val="both"/>
        <w:rPr>
          <w:rFonts w:ascii="Times New Roman" w:hAnsi="Times New Roman" w:cs="Times New Roman"/>
          <w:bCs/>
          <w:sz w:val="24"/>
          <w:szCs w:val="24"/>
          <w:lang w:val="es-ES"/>
        </w:rPr>
      </w:pPr>
      <w:r w:rsidRPr="0033211B">
        <w:rPr>
          <w:rFonts w:ascii="Times New Roman" w:hAnsi="Times New Roman" w:cs="Times New Roman"/>
          <w:bCs/>
          <w:sz w:val="24"/>
          <w:szCs w:val="24"/>
          <w:lang w:val="es-ES"/>
        </w:rPr>
        <w:t>Que, ambas partes han tenido la oportunidad para ejercer su derecho de defensa, siendo que este colegiado estima que está suficientemente informado para resolver de manera definitiva;</w:t>
      </w:r>
    </w:p>
    <w:p w14:paraId="492DF92C" w14:textId="77777777"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p>
    <w:p w14:paraId="03BCEB06" w14:textId="77777777" w:rsidR="0033211B" w:rsidRPr="0033211B" w:rsidRDefault="0033211B" w:rsidP="0033211B">
      <w:pPr>
        <w:suppressAutoHyphens/>
        <w:spacing w:after="0" w:line="240" w:lineRule="auto"/>
        <w:jc w:val="both"/>
        <w:rPr>
          <w:rFonts w:ascii="Times New Roman" w:eastAsia="Times New Roman" w:hAnsi="Times New Roman" w:cs="Times New Roman"/>
          <w:bCs/>
          <w:sz w:val="24"/>
          <w:szCs w:val="24"/>
          <w:lang w:val="es-MX" w:eastAsia="ar-SA"/>
        </w:rPr>
      </w:pPr>
      <w:r w:rsidRPr="0033211B">
        <w:rPr>
          <w:rFonts w:ascii="Times New Roman" w:eastAsia="Times New Roman" w:hAnsi="Times New Roman" w:cs="Times New Roman"/>
          <w:b/>
          <w:bCs/>
          <w:sz w:val="24"/>
          <w:szCs w:val="24"/>
          <w:lang w:val="es-MX" w:eastAsia="ar-SA"/>
        </w:rPr>
        <w:t>Considerando:</w:t>
      </w:r>
    </w:p>
    <w:p w14:paraId="0191028D" w14:textId="77777777" w:rsidR="0033211B" w:rsidRPr="0033211B" w:rsidRDefault="0033211B" w:rsidP="0033211B">
      <w:pPr>
        <w:suppressAutoHyphens/>
        <w:spacing w:after="0" w:line="240" w:lineRule="auto"/>
        <w:jc w:val="both"/>
        <w:rPr>
          <w:rFonts w:ascii="Times New Roman" w:eastAsia="Times New Roman" w:hAnsi="Times New Roman" w:cs="Times New Roman"/>
          <w:sz w:val="24"/>
          <w:szCs w:val="24"/>
          <w:lang w:val="es-ES" w:eastAsia="ar-SA"/>
        </w:rPr>
      </w:pPr>
    </w:p>
    <w:p w14:paraId="331B85A2" w14:textId="77777777" w:rsidR="0033211B" w:rsidRPr="0033211B" w:rsidRDefault="0033211B" w:rsidP="0033211B">
      <w:pPr>
        <w:spacing w:after="0" w:line="240" w:lineRule="auto"/>
        <w:jc w:val="both"/>
        <w:rPr>
          <w:rFonts w:ascii="Times New Roman" w:hAnsi="Times New Roman" w:cs="Times New Roman"/>
          <w:sz w:val="24"/>
          <w:szCs w:val="24"/>
          <w:lang w:val="es-PE"/>
        </w:rPr>
      </w:pPr>
      <w:r w:rsidRPr="0033211B">
        <w:rPr>
          <w:rFonts w:ascii="Times New Roman" w:hAnsi="Times New Roman" w:cs="Times New Roman"/>
          <w:b/>
          <w:sz w:val="24"/>
          <w:szCs w:val="24"/>
          <w:u w:val="single"/>
          <w:lang w:val="es-PE"/>
        </w:rPr>
        <w:t>Primero</w:t>
      </w:r>
      <w:r w:rsidRPr="0033211B">
        <w:rPr>
          <w:rFonts w:ascii="Times New Roman" w:hAnsi="Times New Roman" w:cs="Times New Roman"/>
          <w:b/>
          <w:sz w:val="24"/>
          <w:szCs w:val="24"/>
          <w:lang w:val="es-PE"/>
        </w:rPr>
        <w:t>:</w:t>
      </w:r>
      <w:r w:rsidRPr="0033211B">
        <w:rPr>
          <w:rFonts w:ascii="Times New Roman" w:hAnsi="Times New Roman" w:cs="Times New Roman"/>
          <w:sz w:val="24"/>
          <w:szCs w:val="24"/>
          <w:lang w:val="es-PE"/>
        </w:rPr>
        <w:t xml:space="preserve"> El Reglamento de la DEFASEG </w:t>
      </w:r>
      <w:r w:rsidRPr="0033211B">
        <w:rPr>
          <w:rFonts w:ascii="Times New Roman" w:eastAsia="Arial Unicode MS" w:hAnsi="Times New Roman" w:cs="Times New Roman"/>
          <w:sz w:val="24"/>
          <w:szCs w:val="24"/>
          <w:lang w:val="es-PE"/>
        </w:rPr>
        <w:t xml:space="preserve">(http://www.defaseg.com.pe/reglamento), en su artículo 10, </w:t>
      </w:r>
      <w:r w:rsidRPr="0033211B">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33211B">
        <w:rPr>
          <w:rFonts w:ascii="Times New Roman" w:hAnsi="Times New Roman" w:cs="Times New Roman"/>
          <w:sz w:val="24"/>
          <w:szCs w:val="24"/>
          <w:lang w:val="es-ES"/>
        </w:rPr>
        <w:t>usuario de seguro recurre en forma voluntaria a la Defensoría, siendo que la presentación de una reclamación n</w:t>
      </w:r>
      <w:r w:rsidRPr="0033211B">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14:paraId="41E26A59" w14:textId="77777777" w:rsidR="0033211B" w:rsidRPr="0033211B" w:rsidRDefault="0033211B" w:rsidP="0033211B">
      <w:pPr>
        <w:spacing w:after="0" w:line="240" w:lineRule="auto"/>
        <w:jc w:val="both"/>
        <w:rPr>
          <w:rFonts w:ascii="Times New Roman" w:hAnsi="Times New Roman" w:cs="Times New Roman"/>
          <w:sz w:val="24"/>
          <w:szCs w:val="24"/>
          <w:lang w:val="es-PE"/>
        </w:rPr>
      </w:pPr>
    </w:p>
    <w:p w14:paraId="2616BD26" w14:textId="549E1D50" w:rsidR="0033211B" w:rsidRPr="0033211B" w:rsidRDefault="0033211B" w:rsidP="0033211B">
      <w:pPr>
        <w:tabs>
          <w:tab w:val="left" w:pos="0"/>
          <w:tab w:val="left" w:pos="2160"/>
        </w:tabs>
        <w:spacing w:after="0" w:line="240" w:lineRule="auto"/>
        <w:jc w:val="both"/>
        <w:rPr>
          <w:rFonts w:ascii="Times New Roman" w:hAnsi="Times New Roman" w:cs="Times New Roman"/>
          <w:sz w:val="24"/>
          <w:szCs w:val="24"/>
          <w:lang w:val="es-PE"/>
        </w:rPr>
      </w:pPr>
      <w:r w:rsidRPr="0033211B">
        <w:rPr>
          <w:rFonts w:ascii="Times New Roman" w:hAnsi="Times New Roman" w:cs="Times New Roman"/>
          <w:b/>
          <w:sz w:val="24"/>
          <w:szCs w:val="24"/>
          <w:u w:val="single"/>
          <w:lang w:val="es-PE"/>
        </w:rPr>
        <w:t>Segundo</w:t>
      </w:r>
      <w:r w:rsidRPr="0033211B">
        <w:rPr>
          <w:rFonts w:ascii="Times New Roman" w:hAnsi="Times New Roman" w:cs="Times New Roman"/>
          <w:b/>
          <w:sz w:val="24"/>
          <w:szCs w:val="24"/>
          <w:lang w:val="es-PE"/>
        </w:rPr>
        <w:t>:</w:t>
      </w:r>
      <w:r w:rsidRPr="0033211B">
        <w:rPr>
          <w:rFonts w:ascii="Times New Roman" w:hAnsi="Times New Roman" w:cs="Times New Roman"/>
          <w:sz w:val="24"/>
          <w:szCs w:val="24"/>
          <w:lang w:val="es-PE"/>
        </w:rPr>
        <w:t xml:space="preserve"> Que, en vía de impugnación, </w:t>
      </w:r>
      <w:r w:rsidR="00773C3E" w:rsidRPr="00B32523">
        <w:rPr>
          <w:rFonts w:ascii="Arial" w:hAnsi="Arial" w:cs="Arial"/>
          <w:lang w:val="es-PE"/>
        </w:rPr>
        <w:t>...................</w:t>
      </w:r>
      <w:r w:rsidR="00773C3E">
        <w:rPr>
          <w:rFonts w:ascii="Arial" w:hAnsi="Arial" w:cs="Arial"/>
          <w:lang w:val="es-PE"/>
        </w:rPr>
        <w:t xml:space="preserve"> </w:t>
      </w:r>
      <w:r w:rsidRPr="0033211B">
        <w:rPr>
          <w:rFonts w:ascii="Times New Roman" w:hAnsi="Times New Roman" w:cs="Times New Roman"/>
          <w:sz w:val="24"/>
          <w:szCs w:val="24"/>
          <w:lang w:val="es-PE"/>
        </w:rPr>
        <w:t xml:space="preserve">sostiene que la invocación de la reticencia como fundamento de la nulidad del contrato de seguro se realizó el 13 de diciembre de 2020, mediante comunicación electrónica, lo cual permite probar que dicha invocación fue oportuna y cierta.  </w:t>
      </w:r>
    </w:p>
    <w:p w14:paraId="516330AC" w14:textId="77777777" w:rsidR="0033211B" w:rsidRPr="0033211B" w:rsidRDefault="0033211B" w:rsidP="0033211B">
      <w:pPr>
        <w:tabs>
          <w:tab w:val="left" w:pos="0"/>
          <w:tab w:val="left" w:pos="2160"/>
        </w:tabs>
        <w:spacing w:after="0" w:line="240" w:lineRule="auto"/>
        <w:jc w:val="both"/>
        <w:rPr>
          <w:rFonts w:ascii="Times New Roman" w:hAnsi="Times New Roman" w:cs="Times New Roman"/>
          <w:sz w:val="24"/>
          <w:szCs w:val="24"/>
          <w:lang w:val="es-PE"/>
        </w:rPr>
      </w:pPr>
    </w:p>
    <w:p w14:paraId="654F1677" w14:textId="706A5F64" w:rsidR="0033211B" w:rsidRPr="0033211B" w:rsidRDefault="0033211B" w:rsidP="0033211B">
      <w:pPr>
        <w:tabs>
          <w:tab w:val="left" w:pos="0"/>
          <w:tab w:val="left" w:pos="2160"/>
        </w:tabs>
        <w:spacing w:after="0" w:line="240" w:lineRule="auto"/>
        <w:jc w:val="both"/>
        <w:rPr>
          <w:rFonts w:ascii="Times New Roman" w:hAnsi="Times New Roman" w:cs="Times New Roman"/>
          <w:sz w:val="24"/>
          <w:szCs w:val="24"/>
          <w:lang w:val="es-PE"/>
        </w:rPr>
      </w:pPr>
      <w:r w:rsidRPr="0033211B">
        <w:rPr>
          <w:rFonts w:ascii="Times New Roman" w:hAnsi="Times New Roman" w:cs="Times New Roman"/>
          <w:sz w:val="24"/>
          <w:szCs w:val="24"/>
          <w:lang w:val="es-PE"/>
        </w:rPr>
        <w:t xml:space="preserve">Al respecto, debe destacarse que, conforme se determinó por este colegiado en su oportunidad, no es controvertido que, en su oportunidad, el asegurado incurrió en reticencia dolosa en sentido lato (culpa inexcusable), afectando la buena fe bajo la cual </w:t>
      </w:r>
      <w:r w:rsidR="00773C3E" w:rsidRPr="00B32523">
        <w:rPr>
          <w:rFonts w:ascii="Arial" w:hAnsi="Arial" w:cs="Arial"/>
          <w:lang w:val="es-PE"/>
        </w:rPr>
        <w:t>...................</w:t>
      </w:r>
      <w:r w:rsidRPr="0033211B">
        <w:rPr>
          <w:rFonts w:ascii="Times New Roman" w:hAnsi="Times New Roman" w:cs="Times New Roman"/>
          <w:sz w:val="24"/>
          <w:szCs w:val="24"/>
          <w:lang w:val="es-PE"/>
        </w:rPr>
        <w:t xml:space="preserve">contrató y aceptó </w:t>
      </w:r>
      <w:r w:rsidRPr="0033211B">
        <w:rPr>
          <w:rFonts w:ascii="Times New Roman" w:hAnsi="Times New Roman" w:cs="Times New Roman"/>
          <w:sz w:val="24"/>
          <w:szCs w:val="24"/>
          <w:lang w:val="es-PE"/>
        </w:rPr>
        <w:lastRenderedPageBreak/>
        <w:t>determinados riesgos; empero, dicha nulidad por reticencia no habría sido invocada oportunamente.  En efecto, en el numeral 6.7 de la resolución recurrida, este colegiado expresó lo siguiente</w:t>
      </w:r>
    </w:p>
    <w:p w14:paraId="261DC739" w14:textId="77777777" w:rsidR="0033211B" w:rsidRPr="0033211B" w:rsidRDefault="0033211B" w:rsidP="0033211B">
      <w:pPr>
        <w:spacing w:after="0" w:line="240" w:lineRule="auto"/>
        <w:jc w:val="both"/>
        <w:rPr>
          <w:rFonts w:ascii="Times New Roman" w:hAnsi="Times New Roman" w:cs="Times New Roman"/>
          <w:bCs/>
          <w:sz w:val="24"/>
          <w:szCs w:val="24"/>
          <w:lang w:val="es-ES"/>
        </w:rPr>
      </w:pPr>
    </w:p>
    <w:p w14:paraId="5F709013" w14:textId="77777777"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r w:rsidRPr="0033211B">
        <w:rPr>
          <w:rFonts w:ascii="Times New Roman" w:hAnsi="Times New Roman" w:cs="Times New Roman"/>
          <w:bCs/>
          <w:i/>
          <w:iCs/>
          <w:sz w:val="24"/>
          <w:szCs w:val="24"/>
          <w:lang w:val="es-ES"/>
        </w:rPr>
        <w:t>6.7.</w:t>
      </w:r>
      <w:r w:rsidRPr="0033211B">
        <w:rPr>
          <w:rFonts w:ascii="Times New Roman" w:hAnsi="Times New Roman" w:cs="Times New Roman"/>
          <w:bCs/>
          <w:i/>
          <w:iCs/>
          <w:sz w:val="24"/>
          <w:szCs w:val="24"/>
          <w:lang w:val="es-ES"/>
        </w:rPr>
        <w:tab/>
        <w:t>Tratándose finalmente del cuarto requisito, debe considerarse</w:t>
      </w:r>
      <w:r w:rsidRPr="0033211B">
        <w:rPr>
          <w:rFonts w:ascii="Times New Roman" w:hAnsi="Times New Roman" w:cs="Times New Roman"/>
          <w:i/>
          <w:iCs/>
          <w:sz w:val="24"/>
          <w:szCs w:val="24"/>
          <w:lang w:val="es-ES"/>
        </w:rPr>
        <w:t xml:space="preserve"> que e</w:t>
      </w:r>
      <w:r w:rsidRPr="0033211B">
        <w:rPr>
          <w:rFonts w:ascii="Times New Roman" w:hAnsi="Times New Roman" w:cs="Times New Roman"/>
          <w:i/>
          <w:iCs/>
          <w:sz w:val="24"/>
          <w:szCs w:val="24"/>
          <w:lang w:val="es-PE"/>
        </w:rPr>
        <w:t>l artículo 9 de la Ley del Contrato de Seguro establece que la aseguradora dispone de treinta (30) días para invocar la respectiva nulidad, plazo que se computa desde que adquiere conocimiento de la reticencia y/o declaración inexacta, debiendo además (dentro de dicho plazo) notificar fehacientemente al contratante o asegurado.  Dicho plazo es de caducidad, según lo sancionado en el artículo 16 de la señalada ley.</w:t>
      </w:r>
    </w:p>
    <w:p w14:paraId="7C5415D8" w14:textId="77777777"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p>
    <w:p w14:paraId="40D703B8" w14:textId="1B8FBDDD" w:rsidR="0033211B" w:rsidRPr="0033211B" w:rsidRDefault="0033211B" w:rsidP="0033211B">
      <w:pPr>
        <w:spacing w:after="0" w:line="240" w:lineRule="auto"/>
        <w:ind w:left="705" w:hanging="705"/>
        <w:jc w:val="both"/>
        <w:rPr>
          <w:rFonts w:ascii="Times New Roman" w:hAnsi="Times New Roman" w:cs="Times New Roman"/>
          <w:bCs/>
          <w:i/>
          <w:iCs/>
          <w:sz w:val="24"/>
          <w:szCs w:val="24"/>
          <w:lang w:val="es-ES"/>
        </w:rPr>
      </w:pPr>
      <w:r w:rsidRPr="0033211B">
        <w:rPr>
          <w:rFonts w:ascii="Times New Roman" w:hAnsi="Times New Roman" w:cs="Times New Roman"/>
          <w:i/>
          <w:iCs/>
          <w:sz w:val="24"/>
          <w:szCs w:val="24"/>
          <w:lang w:val="es-PE"/>
        </w:rPr>
        <w:tab/>
      </w:r>
      <w:proofErr w:type="gramStart"/>
      <w:r w:rsidRPr="0033211B">
        <w:rPr>
          <w:rFonts w:ascii="Times New Roman" w:hAnsi="Times New Roman" w:cs="Times New Roman"/>
          <w:i/>
          <w:iCs/>
          <w:sz w:val="24"/>
          <w:szCs w:val="24"/>
          <w:lang w:val="es-PE"/>
        </w:rPr>
        <w:t>De acuerdo al</w:t>
      </w:r>
      <w:proofErr w:type="gramEnd"/>
      <w:r w:rsidRPr="0033211B">
        <w:rPr>
          <w:rFonts w:ascii="Times New Roman" w:hAnsi="Times New Roman" w:cs="Times New Roman"/>
          <w:i/>
          <w:iCs/>
          <w:sz w:val="24"/>
          <w:szCs w:val="24"/>
          <w:lang w:val="es-PE"/>
        </w:rPr>
        <w:t xml:space="preserve"> documento que obra en el expediente, si bien la carta de remisión de la historia clínica lleva como fecha el 14 de noviembre de 2020, habría sido entregada con fecha 16 de diciembre de 2020, según cargo firmado.  Siendo así, y habiéndose constituido </w:t>
      </w:r>
      <w:r w:rsidRPr="0033211B">
        <w:rPr>
          <w:rFonts w:ascii="Times New Roman" w:hAnsi="Times New Roman" w:cs="Times New Roman"/>
          <w:i/>
          <w:iCs/>
          <w:sz w:val="24"/>
          <w:szCs w:val="24"/>
          <w:lang w:val="es-ES"/>
        </w:rPr>
        <w:t xml:space="preserve">la </w:t>
      </w:r>
      <w:r w:rsidRPr="0033211B">
        <w:rPr>
          <w:rFonts w:ascii="Times New Roman" w:hAnsi="Times New Roman" w:cs="Times New Roman"/>
          <w:bCs/>
          <w:i/>
          <w:iCs/>
          <w:sz w:val="24"/>
          <w:szCs w:val="24"/>
          <w:lang w:val="es-ES"/>
        </w:rPr>
        <w:t xml:space="preserve">Caja Municipal de Ahorro y Crédito Sullana en el canal de comercialización de </w:t>
      </w:r>
      <w:r w:rsidR="00773C3E" w:rsidRPr="00B32523">
        <w:rPr>
          <w:rFonts w:ascii="Arial" w:hAnsi="Arial" w:cs="Arial"/>
          <w:lang w:val="es-PE"/>
        </w:rPr>
        <w:t>...................</w:t>
      </w:r>
      <w:r w:rsidRPr="0033211B">
        <w:rPr>
          <w:rFonts w:ascii="Times New Roman" w:hAnsi="Times New Roman" w:cs="Times New Roman"/>
          <w:bCs/>
          <w:i/>
          <w:iCs/>
          <w:sz w:val="24"/>
          <w:szCs w:val="24"/>
          <w:lang w:val="es-ES"/>
        </w:rPr>
        <w:t xml:space="preserve">, de conformidad con lo establecido en los artículos 4 y 16, literal a), del Reglamento de Comercialización de Productos de Seguros, aprobado mediante Resolución SBS Nro. 1121-2017, toda comunicación dirigida al comercializador sobre aspectos relativos al seguro contratado, tienen los mismos efectos que se hubiesen sido dirigidas directamente a la aseguradora, por lo que se asume que son recibidas en esa misma fecha por la aseguradora.  Sin perjuicio de ello, debe destacarse que el reclamante también informó directamente a la aseguradora sobre la presentación de la documentación requerida a la Caja Sullana, remitiéndole un cargo de la carta presentada a ésta.  Conforme a ello, </w:t>
      </w:r>
      <w:r w:rsidR="00773C3E" w:rsidRPr="00B32523">
        <w:rPr>
          <w:rFonts w:ascii="Arial" w:hAnsi="Arial" w:cs="Arial"/>
          <w:lang w:val="es-PE"/>
        </w:rPr>
        <w:t>...................</w:t>
      </w:r>
      <w:r w:rsidRPr="0033211B">
        <w:rPr>
          <w:rFonts w:ascii="Times New Roman" w:hAnsi="Times New Roman" w:cs="Times New Roman"/>
          <w:bCs/>
          <w:i/>
          <w:iCs/>
          <w:sz w:val="24"/>
          <w:szCs w:val="24"/>
          <w:lang w:val="es-ES"/>
        </w:rPr>
        <w:t>disponía de 30 días naturales o calendario, hasta el 16 de diciembre de 2020, para invocar u oponer la reticencia como justificantes del rechazo.</w:t>
      </w:r>
    </w:p>
    <w:p w14:paraId="13B67440" w14:textId="77777777"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p>
    <w:p w14:paraId="59967CE3" w14:textId="6E0DBC77"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r w:rsidRPr="0033211B">
        <w:rPr>
          <w:rFonts w:ascii="Times New Roman" w:hAnsi="Times New Roman" w:cs="Times New Roman"/>
          <w:i/>
          <w:iCs/>
          <w:sz w:val="24"/>
          <w:szCs w:val="24"/>
          <w:lang w:val="es-PE"/>
        </w:rPr>
        <w:tab/>
        <w:t xml:space="preserve">La carta de rechazo, identificada como SVDR-0647-2020, de fecha 9 de diciembre de 2020, fue entregada a la notaría Gálvez el 29 de diciembre de 2020 para fines que sea remitida al asegurado, siendo que éste afirma haberla recibido el 2 de enero de 2021, vencido largamente el plazo de caducidad legal.  Este colegiado destaca que </w:t>
      </w:r>
      <w:r w:rsidR="00773C3E" w:rsidRPr="00B32523">
        <w:rPr>
          <w:rFonts w:ascii="Arial" w:hAnsi="Arial" w:cs="Arial"/>
          <w:lang w:val="es-PE"/>
        </w:rPr>
        <w:t>...................</w:t>
      </w:r>
      <w:r w:rsidRPr="0033211B">
        <w:rPr>
          <w:rFonts w:ascii="Times New Roman" w:hAnsi="Times New Roman" w:cs="Times New Roman"/>
          <w:i/>
          <w:iCs/>
          <w:sz w:val="24"/>
          <w:szCs w:val="24"/>
          <w:lang w:val="es-PE"/>
        </w:rPr>
        <w:t>, en sus descargos, no ha cuestionado la fecha anteriormente señalada, ni con ocasión de la audiencia de vista.</w:t>
      </w:r>
    </w:p>
    <w:p w14:paraId="7D41EECC" w14:textId="77777777"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p>
    <w:p w14:paraId="6572FC3F" w14:textId="77777777" w:rsidR="0033211B" w:rsidRPr="0033211B" w:rsidRDefault="0033211B" w:rsidP="0033211B">
      <w:pPr>
        <w:spacing w:after="0" w:line="240" w:lineRule="auto"/>
        <w:ind w:left="705" w:firstLine="4"/>
        <w:jc w:val="both"/>
        <w:rPr>
          <w:rFonts w:ascii="Times New Roman" w:hAnsi="Times New Roman" w:cs="Times New Roman"/>
          <w:i/>
          <w:iCs/>
          <w:sz w:val="24"/>
          <w:szCs w:val="24"/>
          <w:lang w:val="es-PE"/>
        </w:rPr>
      </w:pPr>
      <w:r w:rsidRPr="0033211B">
        <w:rPr>
          <w:rFonts w:ascii="Times New Roman" w:hAnsi="Times New Roman" w:cs="Times New Roman"/>
          <w:i/>
          <w:iCs/>
          <w:sz w:val="24"/>
          <w:szCs w:val="24"/>
          <w:lang w:val="es-PE"/>
        </w:rPr>
        <w:t>Siendo que la carta de rechazo es una comunicación recepticia, sus efectos legales están condicionados a su efectiva entrega al destinatario; conforme a ello, resulta irrelevante que la carta de rechazo haya sido fechada dentro de los 30 días de haberse recibido la historia clínica, ya que lo relevante es que sea comunicada fehaciente y oportunamente, como es el caso de una carta notarial y dentro del indicado plazo, no extemporáneamente.</w:t>
      </w:r>
    </w:p>
    <w:p w14:paraId="0743EBB6" w14:textId="77777777" w:rsidR="0033211B" w:rsidRPr="0033211B" w:rsidRDefault="0033211B" w:rsidP="0033211B">
      <w:pPr>
        <w:spacing w:after="0" w:line="240" w:lineRule="auto"/>
        <w:jc w:val="both"/>
        <w:rPr>
          <w:rFonts w:ascii="Times New Roman" w:hAnsi="Times New Roman" w:cs="Times New Roman"/>
          <w:i/>
          <w:iCs/>
          <w:sz w:val="24"/>
          <w:szCs w:val="24"/>
          <w:lang w:val="es-PE"/>
        </w:rPr>
      </w:pPr>
    </w:p>
    <w:p w14:paraId="53B64B08" w14:textId="45E5CD3C" w:rsidR="0033211B" w:rsidRPr="0033211B" w:rsidRDefault="0033211B" w:rsidP="0033211B">
      <w:pPr>
        <w:spacing w:after="0" w:line="240" w:lineRule="auto"/>
        <w:ind w:left="705" w:hanging="705"/>
        <w:jc w:val="both"/>
        <w:rPr>
          <w:rFonts w:ascii="Times New Roman" w:hAnsi="Times New Roman" w:cs="Times New Roman"/>
          <w:i/>
          <w:iCs/>
          <w:sz w:val="24"/>
          <w:szCs w:val="24"/>
          <w:lang w:val="es-PE"/>
        </w:rPr>
      </w:pPr>
      <w:r w:rsidRPr="0033211B">
        <w:rPr>
          <w:rFonts w:ascii="Times New Roman" w:hAnsi="Times New Roman" w:cs="Times New Roman"/>
          <w:i/>
          <w:iCs/>
          <w:sz w:val="24"/>
          <w:szCs w:val="24"/>
          <w:lang w:val="es-PE"/>
        </w:rPr>
        <w:tab/>
        <w:t xml:space="preserve">En consecuencia, </w:t>
      </w:r>
      <w:r w:rsidR="00773C3E" w:rsidRPr="00B32523">
        <w:rPr>
          <w:rFonts w:ascii="Arial" w:hAnsi="Arial" w:cs="Arial"/>
          <w:lang w:val="es-PE"/>
        </w:rPr>
        <w:t>...................</w:t>
      </w:r>
      <w:r w:rsidRPr="0033211B">
        <w:rPr>
          <w:rFonts w:ascii="Times New Roman" w:hAnsi="Times New Roman" w:cs="Times New Roman"/>
          <w:i/>
          <w:iCs/>
          <w:sz w:val="24"/>
          <w:szCs w:val="24"/>
          <w:lang w:val="es-PE"/>
        </w:rPr>
        <w:t>no ha probado que haya cuidado de invocar la reticencia dentro del plazo legal máximo correspondiente, por lo que al no haberse cumplirse con este cuarto (y último) aspecto relativo a la oponibilidad de la reticencia, debe concluirse que el rechazo resulta ilegítimo, no habiendo operado la nulidad del seguro por causa de reticencia dolosa.</w:t>
      </w:r>
    </w:p>
    <w:p w14:paraId="1369484D" w14:textId="77777777" w:rsidR="0033211B" w:rsidRPr="0033211B" w:rsidRDefault="0033211B" w:rsidP="0033211B">
      <w:pPr>
        <w:tabs>
          <w:tab w:val="left" w:pos="0"/>
          <w:tab w:val="left" w:pos="2160"/>
        </w:tabs>
        <w:spacing w:after="0" w:line="240" w:lineRule="auto"/>
        <w:jc w:val="both"/>
        <w:rPr>
          <w:rFonts w:ascii="Times New Roman" w:hAnsi="Times New Roman" w:cs="Times New Roman"/>
          <w:sz w:val="24"/>
          <w:szCs w:val="24"/>
          <w:lang w:val="es-PE"/>
        </w:rPr>
      </w:pPr>
    </w:p>
    <w:p w14:paraId="49077602" w14:textId="241044B5" w:rsidR="0033211B" w:rsidRPr="0033211B" w:rsidRDefault="0033211B" w:rsidP="0033211B">
      <w:pPr>
        <w:tabs>
          <w:tab w:val="left" w:pos="0"/>
          <w:tab w:val="left" w:pos="2160"/>
        </w:tabs>
        <w:spacing w:after="0" w:line="240" w:lineRule="auto"/>
        <w:jc w:val="both"/>
        <w:rPr>
          <w:rFonts w:ascii="Times New Roman" w:hAnsi="Times New Roman" w:cs="Times New Roman"/>
          <w:sz w:val="24"/>
          <w:szCs w:val="24"/>
          <w:lang w:val="es-PE"/>
        </w:rPr>
      </w:pPr>
      <w:r w:rsidRPr="0033211B">
        <w:rPr>
          <w:rFonts w:ascii="Times New Roman" w:hAnsi="Times New Roman" w:cs="Times New Roman"/>
          <w:sz w:val="24"/>
          <w:szCs w:val="24"/>
          <w:lang w:val="es-PE"/>
        </w:rPr>
        <w:lastRenderedPageBreak/>
        <w:t xml:space="preserve">Siendo que el plazo legal se extendía hasta el 16 de diciembre de 2020 para invocar la reticencia (ya que el 16 de noviembre de 2020 el asegurado presentó la documentación requerida), </w:t>
      </w:r>
      <w:proofErr w:type="gramStart"/>
      <w:r w:rsidRPr="0033211B">
        <w:rPr>
          <w:rFonts w:ascii="Times New Roman" w:hAnsi="Times New Roman" w:cs="Times New Roman"/>
          <w:sz w:val="24"/>
          <w:szCs w:val="24"/>
          <w:lang w:val="es-PE"/>
        </w:rPr>
        <w:t>de acuerdo a</w:t>
      </w:r>
      <w:proofErr w:type="gramEnd"/>
      <w:r w:rsidRPr="0033211B">
        <w:rPr>
          <w:rFonts w:ascii="Times New Roman" w:hAnsi="Times New Roman" w:cs="Times New Roman"/>
          <w:sz w:val="24"/>
          <w:szCs w:val="24"/>
          <w:lang w:val="es-PE"/>
        </w:rPr>
        <w:t xml:space="preserve"> los medios de prueba aportados y sobre la base de los cuales este colegiado resolvió en su oportunidad, </w:t>
      </w:r>
      <w:r w:rsidR="00773C3E" w:rsidRPr="00B32523">
        <w:rPr>
          <w:rFonts w:ascii="Arial" w:hAnsi="Arial" w:cs="Arial"/>
          <w:lang w:val="es-PE"/>
        </w:rPr>
        <w:t>...................</w:t>
      </w:r>
      <w:r w:rsidRPr="0033211B">
        <w:rPr>
          <w:rFonts w:ascii="Times New Roman" w:hAnsi="Times New Roman" w:cs="Times New Roman"/>
          <w:sz w:val="24"/>
          <w:szCs w:val="24"/>
          <w:lang w:val="es-PE"/>
        </w:rPr>
        <w:t xml:space="preserve">habría comunicado extemporáneamente la nulidad por reticencia, según carta notarial que habría sido entregada el 2 de enero de 2021.  Sin embargo, </w:t>
      </w:r>
      <w:proofErr w:type="gramStart"/>
      <w:r w:rsidRPr="0033211B">
        <w:rPr>
          <w:rFonts w:ascii="Times New Roman" w:hAnsi="Times New Roman" w:cs="Times New Roman"/>
          <w:sz w:val="24"/>
          <w:szCs w:val="24"/>
          <w:lang w:val="es-PE"/>
        </w:rPr>
        <w:t>de acuerdo al</w:t>
      </w:r>
      <w:proofErr w:type="gramEnd"/>
      <w:r w:rsidRPr="0033211B">
        <w:rPr>
          <w:rFonts w:ascii="Times New Roman" w:hAnsi="Times New Roman" w:cs="Times New Roman"/>
          <w:sz w:val="24"/>
          <w:szCs w:val="24"/>
          <w:lang w:val="es-PE"/>
        </w:rPr>
        <w:t xml:space="preserve"> medio probatorio invocado con la impugnación, al margen de la oportunidad de remisión de la referida carta notarial, </w:t>
      </w:r>
      <w:r w:rsidR="00773C3E" w:rsidRPr="00B32523">
        <w:rPr>
          <w:rFonts w:ascii="Arial" w:hAnsi="Arial" w:cs="Arial"/>
          <w:lang w:val="es-PE"/>
        </w:rPr>
        <w:t>...................</w:t>
      </w:r>
      <w:r w:rsidRPr="0033211B">
        <w:rPr>
          <w:rFonts w:ascii="Times New Roman" w:hAnsi="Times New Roman" w:cs="Times New Roman"/>
          <w:sz w:val="24"/>
          <w:szCs w:val="24"/>
          <w:lang w:val="es-PE"/>
        </w:rPr>
        <w:t>destaca y acredita finalmente que sí cuidó de remitir oportuna y ciertamente el rechazo de cobertura sustentado en nulidad por reticencia, dado que lo comunicó mediante correo electrónico del 13 de diciembre de 2020, hecho y entrega que no ha sido cuestionado ni impugnado por el reclamante.</w:t>
      </w:r>
    </w:p>
    <w:p w14:paraId="3E4701DE" w14:textId="77777777" w:rsidR="0033211B" w:rsidRPr="0033211B" w:rsidRDefault="0033211B" w:rsidP="0033211B">
      <w:pPr>
        <w:tabs>
          <w:tab w:val="left" w:pos="2160"/>
        </w:tabs>
        <w:spacing w:after="0" w:line="240" w:lineRule="auto"/>
        <w:jc w:val="both"/>
        <w:rPr>
          <w:rFonts w:ascii="Times New Roman" w:hAnsi="Times New Roman" w:cs="Times New Roman"/>
          <w:sz w:val="24"/>
          <w:szCs w:val="24"/>
          <w:lang w:val="es-PE"/>
        </w:rPr>
      </w:pPr>
    </w:p>
    <w:p w14:paraId="451F8501" w14:textId="77777777" w:rsidR="0033211B" w:rsidRPr="0033211B" w:rsidRDefault="0033211B" w:rsidP="0033211B">
      <w:pPr>
        <w:tabs>
          <w:tab w:val="left" w:pos="2160"/>
        </w:tabs>
        <w:spacing w:after="0" w:line="240" w:lineRule="auto"/>
        <w:jc w:val="both"/>
        <w:rPr>
          <w:rFonts w:ascii="Times New Roman" w:hAnsi="Times New Roman" w:cs="Times New Roman"/>
          <w:sz w:val="24"/>
          <w:szCs w:val="24"/>
          <w:lang w:val="es-ES"/>
        </w:rPr>
      </w:pPr>
      <w:r w:rsidRPr="0033211B">
        <w:rPr>
          <w:rFonts w:ascii="Times New Roman" w:hAnsi="Times New Roman" w:cs="Times New Roman"/>
          <w:sz w:val="24"/>
          <w:szCs w:val="24"/>
          <w:lang w:val="es-ES"/>
        </w:rPr>
        <w:t>En atención a la consideración precedente, sustentada en el medio probatorio invocado y que no fue referido en su oportunidad por la aseguradora, este colegiado aprecia que existe mérito y razón objetiva para revocar la resolución recurrida y, atendiendo a las conclusiones ya contenidas en su sexto considerando</w:t>
      </w:r>
      <w:r w:rsidRPr="0033211B">
        <w:rPr>
          <w:rFonts w:ascii="Times New Roman" w:eastAsia="Times New Roman" w:hAnsi="Times New Roman" w:cs="Times New Roman"/>
          <w:sz w:val="24"/>
          <w:szCs w:val="24"/>
          <w:lang w:val="es-ES" w:eastAsia="ar-SA"/>
        </w:rPr>
        <w:t xml:space="preserve"> de la Resolución Nro. 017/21,</w:t>
      </w:r>
      <w:r w:rsidRPr="0033211B">
        <w:rPr>
          <w:rFonts w:ascii="Times New Roman" w:hAnsi="Times New Roman" w:cs="Times New Roman"/>
          <w:sz w:val="24"/>
          <w:szCs w:val="24"/>
          <w:lang w:val="es-ES"/>
        </w:rPr>
        <w:t xml:space="preserve"> declarar finalmente infundada la reclamación.</w:t>
      </w:r>
    </w:p>
    <w:p w14:paraId="653E4BA8" w14:textId="77777777" w:rsidR="0033211B" w:rsidRPr="0033211B" w:rsidRDefault="0033211B" w:rsidP="0033211B">
      <w:pPr>
        <w:tabs>
          <w:tab w:val="left" w:pos="2160"/>
        </w:tabs>
        <w:spacing w:after="0" w:line="240" w:lineRule="auto"/>
        <w:jc w:val="both"/>
        <w:rPr>
          <w:rFonts w:ascii="Times New Roman" w:hAnsi="Times New Roman" w:cs="Times New Roman"/>
          <w:sz w:val="24"/>
          <w:szCs w:val="24"/>
          <w:lang w:val="es-ES"/>
        </w:rPr>
      </w:pPr>
    </w:p>
    <w:p w14:paraId="21E95322" w14:textId="6D46BDC1" w:rsidR="0033211B" w:rsidRPr="0033211B" w:rsidRDefault="0033211B" w:rsidP="0033211B">
      <w:pPr>
        <w:spacing w:after="0" w:line="240" w:lineRule="auto"/>
        <w:jc w:val="both"/>
        <w:rPr>
          <w:rFonts w:ascii="Times New Roman" w:hAnsi="Times New Roman" w:cs="Times New Roman"/>
          <w:sz w:val="24"/>
          <w:szCs w:val="24"/>
          <w:lang w:val="es-PE"/>
        </w:rPr>
      </w:pPr>
      <w:r w:rsidRPr="0033211B">
        <w:rPr>
          <w:rFonts w:ascii="Times New Roman" w:hAnsi="Times New Roman" w:cs="Times New Roman"/>
          <w:b/>
          <w:sz w:val="24"/>
          <w:szCs w:val="24"/>
          <w:u w:val="single"/>
          <w:lang w:val="es-ES"/>
        </w:rPr>
        <w:t>Tercer</w:t>
      </w:r>
      <w:r w:rsidRPr="0033211B">
        <w:rPr>
          <w:rFonts w:ascii="Times New Roman" w:hAnsi="Times New Roman" w:cs="Times New Roman"/>
          <w:b/>
          <w:sz w:val="24"/>
          <w:szCs w:val="24"/>
          <w:u w:val="single"/>
          <w:lang w:val="es-PE"/>
        </w:rPr>
        <w:t>o</w:t>
      </w:r>
      <w:r w:rsidRPr="0033211B">
        <w:rPr>
          <w:rFonts w:ascii="Times New Roman" w:hAnsi="Times New Roman" w:cs="Times New Roman"/>
          <w:b/>
          <w:sz w:val="24"/>
          <w:szCs w:val="24"/>
          <w:lang w:val="es-PE"/>
        </w:rPr>
        <w:t>:</w:t>
      </w:r>
      <w:r w:rsidRPr="0033211B">
        <w:rPr>
          <w:rFonts w:ascii="Times New Roman" w:hAnsi="Times New Roman" w:cs="Times New Roman"/>
          <w:sz w:val="24"/>
          <w:szCs w:val="24"/>
          <w:lang w:val="es-PE"/>
        </w:rPr>
        <w:t xml:space="preserve"> Que, atendiendo a los alcances de la presente resolución, esta Defensoría exhorta a </w:t>
      </w:r>
      <w:r w:rsidR="00773C3E" w:rsidRPr="00B32523">
        <w:rPr>
          <w:rFonts w:ascii="Arial" w:hAnsi="Arial" w:cs="Arial"/>
          <w:lang w:val="es-PE"/>
        </w:rPr>
        <w:t>...................</w:t>
      </w:r>
      <w:r w:rsidR="00773C3E">
        <w:rPr>
          <w:rFonts w:ascii="Arial" w:hAnsi="Arial" w:cs="Arial"/>
          <w:lang w:val="es-PE"/>
        </w:rPr>
        <w:t xml:space="preserve"> </w:t>
      </w:r>
      <w:r w:rsidRPr="0033211B">
        <w:rPr>
          <w:rFonts w:ascii="Times New Roman" w:hAnsi="Times New Roman" w:cs="Times New Roman"/>
          <w:sz w:val="24"/>
          <w:szCs w:val="24"/>
          <w:lang w:val="es-PE"/>
        </w:rPr>
        <w:t>para que cumpla, conforme a lo que le es requerido en su oportunidad, con presentar el expediente completo del rechazo, evitando entregas parciales y sucesivas, atendiendo a que los respectivos documentos se encuentran bajo su dominio y control.  Ello contribuirá a brindar una respuesta más eficiente a las reclamaciones sometidas al conocimiento y decisión de este colegiado.</w:t>
      </w:r>
    </w:p>
    <w:p w14:paraId="0F2716CC" w14:textId="77777777" w:rsidR="0033211B" w:rsidRPr="0033211B" w:rsidRDefault="0033211B" w:rsidP="0033211B">
      <w:pPr>
        <w:spacing w:after="0" w:line="240" w:lineRule="auto"/>
        <w:jc w:val="both"/>
        <w:rPr>
          <w:rFonts w:ascii="Times New Roman" w:hAnsi="Times New Roman" w:cs="Times New Roman"/>
          <w:sz w:val="24"/>
          <w:szCs w:val="24"/>
          <w:lang w:val="es-PE"/>
        </w:rPr>
      </w:pPr>
    </w:p>
    <w:p w14:paraId="69A2429C" w14:textId="77777777" w:rsidR="0033211B" w:rsidRPr="0033211B" w:rsidRDefault="0033211B" w:rsidP="0033211B">
      <w:pPr>
        <w:spacing w:after="0" w:line="240" w:lineRule="auto"/>
        <w:jc w:val="both"/>
        <w:rPr>
          <w:rFonts w:ascii="Times New Roman" w:hAnsi="Times New Roman" w:cs="Times New Roman"/>
          <w:b/>
          <w:sz w:val="24"/>
          <w:szCs w:val="24"/>
          <w:lang w:val="es-PE"/>
        </w:rPr>
      </w:pPr>
      <w:r w:rsidRPr="0033211B">
        <w:rPr>
          <w:rFonts w:ascii="Times New Roman" w:hAnsi="Times New Roman" w:cs="Times New Roman"/>
          <w:b/>
          <w:sz w:val="24"/>
          <w:szCs w:val="24"/>
          <w:lang w:val="es-PE"/>
        </w:rPr>
        <w:t>Atendiendo a lo expresado, conforme a su reglamento, este colegiado resuelve:</w:t>
      </w:r>
    </w:p>
    <w:p w14:paraId="10E244D9" w14:textId="77777777" w:rsidR="0033211B" w:rsidRPr="0033211B" w:rsidRDefault="0033211B" w:rsidP="0033211B">
      <w:pPr>
        <w:spacing w:after="0" w:line="240" w:lineRule="auto"/>
        <w:jc w:val="both"/>
        <w:rPr>
          <w:rFonts w:ascii="Times New Roman" w:eastAsia="Arial Unicode MS" w:hAnsi="Times New Roman" w:cs="Times New Roman"/>
          <w:b/>
          <w:sz w:val="24"/>
          <w:szCs w:val="24"/>
          <w:lang w:val="es-PE"/>
        </w:rPr>
      </w:pPr>
    </w:p>
    <w:p w14:paraId="5377FB11" w14:textId="29C79ED4" w:rsidR="0033211B" w:rsidRPr="0033211B" w:rsidRDefault="0033211B" w:rsidP="0033211B">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eastAsia="Times New Roman" w:hAnsi="Times New Roman" w:cs="Times New Roman"/>
          <w:sz w:val="24"/>
          <w:szCs w:val="24"/>
          <w:lang w:val="es-PE" w:eastAsia="es-ES"/>
        </w:rPr>
      </w:pPr>
      <w:r w:rsidRPr="0033211B">
        <w:rPr>
          <w:rFonts w:ascii="Times New Roman" w:eastAsia="Arial Unicode MS" w:hAnsi="Times New Roman" w:cs="Times New Roman"/>
          <w:b/>
          <w:sz w:val="24"/>
          <w:szCs w:val="24"/>
          <w:lang w:val="es-PE"/>
        </w:rPr>
        <w:t xml:space="preserve">Declarar FUNDADO el recurso impugnativo </w:t>
      </w:r>
      <w:r w:rsidRPr="0033211B">
        <w:rPr>
          <w:rFonts w:ascii="Times New Roman" w:eastAsia="Arial Unicode MS" w:hAnsi="Times New Roman" w:cs="Times New Roman"/>
          <w:sz w:val="24"/>
          <w:szCs w:val="24"/>
          <w:lang w:val="es-PE"/>
        </w:rPr>
        <w:t xml:space="preserve">interpuesto por </w:t>
      </w:r>
      <w:r w:rsidR="00773C3E" w:rsidRPr="00B32523">
        <w:rPr>
          <w:rFonts w:ascii="Arial" w:hAnsi="Arial" w:cs="Arial"/>
          <w:lang w:val="es-PE"/>
        </w:rPr>
        <w:t>...................</w:t>
      </w:r>
      <w:r w:rsidR="00773C3E">
        <w:rPr>
          <w:rFonts w:ascii="Arial" w:hAnsi="Arial" w:cs="Arial"/>
          <w:lang w:val="es-PE"/>
        </w:rPr>
        <w:t xml:space="preserve"> </w:t>
      </w:r>
      <w:r w:rsidRPr="0033211B">
        <w:rPr>
          <w:rFonts w:ascii="Times New Roman" w:hAnsi="Times New Roman" w:cs="Times New Roman"/>
          <w:sz w:val="24"/>
          <w:szCs w:val="24"/>
          <w:lang w:val="es-ES"/>
        </w:rPr>
        <w:t>y, por consiguiente,</w:t>
      </w:r>
      <w:r w:rsidRPr="0033211B">
        <w:rPr>
          <w:rFonts w:ascii="Times New Roman" w:hAnsi="Times New Roman" w:cs="Times New Roman"/>
          <w:sz w:val="24"/>
          <w:szCs w:val="24"/>
          <w:lang w:val="es-PE"/>
        </w:rPr>
        <w:t xml:space="preserve"> revocar la</w:t>
      </w:r>
      <w:r w:rsidRPr="0033211B">
        <w:rPr>
          <w:rFonts w:ascii="Times New Roman" w:eastAsia="Times New Roman" w:hAnsi="Times New Roman" w:cs="Times New Roman"/>
          <w:sz w:val="24"/>
          <w:szCs w:val="24"/>
          <w:lang w:val="es-ES" w:eastAsia="ar-SA"/>
        </w:rPr>
        <w:t xml:space="preserve"> Resolución Nro. 017/21, del 16 de febrero de 2020 en cuanto declaró fundada la reclamación, declarándola INFUNDADA</w:t>
      </w:r>
      <w:r w:rsidRPr="0033211B">
        <w:rPr>
          <w:rFonts w:ascii="Times New Roman" w:eastAsia="Times New Roman" w:hAnsi="Times New Roman" w:cs="Times New Roman"/>
          <w:sz w:val="24"/>
          <w:szCs w:val="24"/>
          <w:lang w:val="es-PE" w:eastAsia="es-ES"/>
        </w:rPr>
        <w:t>, dejándose a salvo el derecho</w:t>
      </w:r>
      <w:r w:rsidRPr="0033211B">
        <w:rPr>
          <w:rFonts w:ascii="Times New Roman" w:eastAsia="Times New Roman" w:hAnsi="Times New Roman" w:cs="Times New Roman"/>
          <w:sz w:val="24"/>
          <w:szCs w:val="24"/>
          <w:lang w:val="es-ES" w:eastAsia="ar-SA"/>
        </w:rPr>
        <w:t xml:space="preserve"> de don</w:t>
      </w:r>
      <w:r w:rsidRPr="0033211B">
        <w:rPr>
          <w:rFonts w:ascii="Times New Roman" w:hAnsi="Times New Roman" w:cs="Times New Roman"/>
          <w:sz w:val="24"/>
          <w:szCs w:val="24"/>
          <w:lang w:val="es-ES"/>
        </w:rPr>
        <w:t xml:space="preserve"> </w:t>
      </w:r>
      <w:r w:rsidR="00773C3E" w:rsidRPr="00B32523">
        <w:rPr>
          <w:rFonts w:ascii="Arial" w:hAnsi="Arial" w:cs="Arial"/>
          <w:lang w:val="es-PE"/>
        </w:rPr>
        <w:t>...................</w:t>
      </w:r>
      <w:r w:rsidR="00773C3E">
        <w:rPr>
          <w:rFonts w:ascii="Arial" w:hAnsi="Arial" w:cs="Arial"/>
          <w:lang w:val="es-PE"/>
        </w:rPr>
        <w:t xml:space="preserve"> </w:t>
      </w:r>
      <w:r w:rsidRPr="0033211B">
        <w:rPr>
          <w:rFonts w:ascii="Times New Roman" w:eastAsia="Times New Roman" w:hAnsi="Times New Roman" w:cs="Times New Roman"/>
          <w:sz w:val="24"/>
          <w:szCs w:val="24"/>
          <w:lang w:val="es-PE" w:eastAsia="es-ES"/>
        </w:rPr>
        <w:t>para recurrir a las instancias que considere pertinentes.</w:t>
      </w:r>
    </w:p>
    <w:p w14:paraId="5B721050" w14:textId="247DF6C9" w:rsidR="006F2F97" w:rsidRPr="005A4C4E" w:rsidRDefault="006F2F97" w:rsidP="006F2F97">
      <w:pPr>
        <w:spacing w:after="0" w:line="240" w:lineRule="auto"/>
        <w:jc w:val="both"/>
        <w:rPr>
          <w:rFonts w:ascii="Times New Roman" w:hAnsi="Times New Roman" w:cs="Times New Roman"/>
          <w:b/>
          <w:sz w:val="24"/>
          <w:szCs w:val="24"/>
          <w:lang w:val="es-PE"/>
        </w:rPr>
      </w:pPr>
    </w:p>
    <w:p w14:paraId="78A39B5B" w14:textId="2302941F" w:rsidR="00077B6F" w:rsidRPr="005A4C4E"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33211B">
        <w:rPr>
          <w:rFonts w:ascii="Times New Roman" w:eastAsia="Arial Unicode MS" w:hAnsi="Times New Roman" w:cs="Times New Roman"/>
          <w:sz w:val="24"/>
          <w:szCs w:val="24"/>
          <w:lang w:val="es-PE" w:eastAsia="ar-SA"/>
        </w:rPr>
        <w:t>15</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486C3F46" w14:textId="3443E457" w:rsidR="00C671F5" w:rsidRPr="005A4C4E"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75850" w14:textId="77777777" w:rsidR="00901A47" w:rsidRDefault="00901A47" w:rsidP="00784355">
      <w:pPr>
        <w:spacing w:after="0" w:line="240" w:lineRule="auto"/>
      </w:pPr>
      <w:r>
        <w:separator/>
      </w:r>
    </w:p>
  </w:endnote>
  <w:endnote w:type="continuationSeparator" w:id="0">
    <w:p w14:paraId="680364A0" w14:textId="77777777" w:rsidR="00901A47" w:rsidRDefault="00901A4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AA8D4" w14:textId="77777777" w:rsidR="00901A47" w:rsidRDefault="00901A47" w:rsidP="00784355">
      <w:pPr>
        <w:spacing w:after="0" w:line="240" w:lineRule="auto"/>
      </w:pPr>
      <w:r>
        <w:separator/>
      </w:r>
    </w:p>
  </w:footnote>
  <w:footnote w:type="continuationSeparator" w:id="0">
    <w:p w14:paraId="33DF6FAE" w14:textId="77777777" w:rsidR="00901A47" w:rsidRDefault="00901A4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1E3218"/>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2A54"/>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73C3E"/>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01A47"/>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270"/>
    <w:rsid w:val="00A077D2"/>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26E0"/>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17152"/>
    <w:rsid w:val="00D2092C"/>
    <w:rsid w:val="00D22AA1"/>
    <w:rsid w:val="00D22DC3"/>
    <w:rsid w:val="00D25683"/>
    <w:rsid w:val="00D2704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6928EE2-CA05-488B-8301-1640B4FD915D}"/>
</file>

<file path=customXml/itemProps3.xml><?xml version="1.0" encoding="utf-8"?>
<ds:datastoreItem xmlns:ds="http://schemas.openxmlformats.org/officeDocument/2006/customXml" ds:itemID="{3C355276-F428-4AE0-A0B1-4AF6A665C4EE}"/>
</file>

<file path=customXml/itemProps4.xml><?xml version="1.0" encoding="utf-8"?>
<ds:datastoreItem xmlns:ds="http://schemas.openxmlformats.org/officeDocument/2006/customXml" ds:itemID="{80B62400-3AF1-40F4-BFD5-AC96D545300B}"/>
</file>

<file path=docProps/app.xml><?xml version="1.0" encoding="utf-8"?>
<Properties xmlns="http://schemas.openxmlformats.org/officeDocument/2006/extended-properties" xmlns:vt="http://schemas.openxmlformats.org/officeDocument/2006/docPropsVTypes">
  <Template>Normal</Template>
  <TotalTime>170</TotalTime>
  <Pages>3</Pages>
  <Words>1361</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40</cp:revision>
  <cp:lastPrinted>2021-03-16T16:32:00Z</cp:lastPrinted>
  <dcterms:created xsi:type="dcterms:W3CDTF">2020-12-18T20:17:00Z</dcterms:created>
  <dcterms:modified xsi:type="dcterms:W3CDTF">2022-01-27T22:39:00Z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