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1CCAEA1A" w:rsidR="00707C99" w:rsidRPr="0083290A" w:rsidRDefault="00201C0D" w:rsidP="00072C60">
      <w:pPr>
        <w:spacing w:after="0" w:line="240" w:lineRule="auto"/>
        <w:jc w:val="center"/>
        <w:rPr>
          <w:rFonts w:ascii="Times New Roman" w:hAnsi="Times New Roman" w:cs="Times New Roman"/>
          <w:b/>
          <w:sz w:val="24"/>
          <w:szCs w:val="24"/>
          <w:lang w:val="es-PE" w:eastAsia="ar-SA"/>
        </w:rPr>
      </w:pPr>
      <w:r w:rsidRPr="0083290A">
        <w:rPr>
          <w:rFonts w:ascii="Times New Roman" w:hAnsi="Times New Roman" w:cs="Times New Roman"/>
          <w:b/>
          <w:sz w:val="24"/>
          <w:szCs w:val="24"/>
          <w:lang w:val="es-PE" w:eastAsia="ar-SA"/>
        </w:rPr>
        <w:t xml:space="preserve">RESOLUCIÓN DE RECURSO IMPUGNATIVO </w:t>
      </w:r>
      <w:proofErr w:type="spellStart"/>
      <w:r w:rsidR="00707C99" w:rsidRPr="0083290A">
        <w:rPr>
          <w:rFonts w:ascii="Times New Roman" w:hAnsi="Times New Roman" w:cs="Times New Roman"/>
          <w:b/>
          <w:sz w:val="24"/>
          <w:szCs w:val="24"/>
          <w:lang w:val="es-PE" w:eastAsia="ar-SA"/>
        </w:rPr>
        <w:t>N°</w:t>
      </w:r>
      <w:proofErr w:type="spellEnd"/>
      <w:r w:rsidR="00707C99" w:rsidRPr="0083290A">
        <w:rPr>
          <w:rFonts w:ascii="Times New Roman" w:hAnsi="Times New Roman" w:cs="Times New Roman"/>
          <w:b/>
          <w:sz w:val="24"/>
          <w:szCs w:val="24"/>
          <w:lang w:val="es-PE" w:eastAsia="ar-SA"/>
        </w:rPr>
        <w:t xml:space="preserve"> </w:t>
      </w:r>
      <w:r w:rsidR="00C671F5" w:rsidRPr="0083290A">
        <w:rPr>
          <w:rFonts w:ascii="Times New Roman" w:hAnsi="Times New Roman" w:cs="Times New Roman"/>
          <w:b/>
          <w:sz w:val="24"/>
          <w:szCs w:val="24"/>
          <w:lang w:val="es-PE" w:eastAsia="ar-SA"/>
        </w:rPr>
        <w:t>0</w:t>
      </w:r>
      <w:r w:rsidR="0033211B" w:rsidRPr="0083290A">
        <w:rPr>
          <w:rFonts w:ascii="Times New Roman" w:hAnsi="Times New Roman" w:cs="Times New Roman"/>
          <w:b/>
          <w:sz w:val="24"/>
          <w:szCs w:val="24"/>
          <w:lang w:val="es-PE" w:eastAsia="ar-SA"/>
        </w:rPr>
        <w:t>2</w:t>
      </w:r>
      <w:r w:rsidR="000E1B0F">
        <w:rPr>
          <w:rFonts w:ascii="Times New Roman" w:hAnsi="Times New Roman" w:cs="Times New Roman"/>
          <w:b/>
          <w:sz w:val="24"/>
          <w:szCs w:val="24"/>
          <w:lang w:val="es-PE" w:eastAsia="ar-SA"/>
        </w:rPr>
        <w:t>2</w:t>
      </w:r>
      <w:r w:rsidR="00C671F5" w:rsidRPr="0083290A">
        <w:rPr>
          <w:rFonts w:ascii="Times New Roman" w:hAnsi="Times New Roman" w:cs="Times New Roman"/>
          <w:b/>
          <w:sz w:val="24"/>
          <w:szCs w:val="24"/>
          <w:lang w:val="es-PE" w:eastAsia="ar-SA"/>
        </w:rPr>
        <w:t>/2</w:t>
      </w:r>
      <w:r w:rsidR="00231C58" w:rsidRPr="0083290A">
        <w:rPr>
          <w:rFonts w:ascii="Times New Roman" w:hAnsi="Times New Roman" w:cs="Times New Roman"/>
          <w:b/>
          <w:sz w:val="24"/>
          <w:szCs w:val="24"/>
          <w:lang w:val="es-PE" w:eastAsia="ar-SA"/>
        </w:rPr>
        <w:t>1</w:t>
      </w:r>
    </w:p>
    <w:p w14:paraId="428240E5" w14:textId="06F06948" w:rsidR="00707C99" w:rsidRPr="0083290A" w:rsidRDefault="00707C99"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1132310D" w14:textId="77777777" w:rsidR="00224CEE" w:rsidRPr="0083290A" w:rsidRDefault="00224CEE" w:rsidP="00224CEE">
      <w:pPr>
        <w:suppressAutoHyphens/>
        <w:spacing w:after="0" w:line="240" w:lineRule="auto"/>
        <w:jc w:val="center"/>
        <w:rPr>
          <w:rFonts w:ascii="Times New Roman" w:eastAsia="Times New Roman" w:hAnsi="Times New Roman" w:cs="Times New Roman"/>
          <w:b/>
          <w:bCs/>
          <w:sz w:val="24"/>
          <w:szCs w:val="24"/>
          <w:lang w:val="es-PE" w:eastAsia="ar-SA"/>
        </w:rPr>
      </w:pPr>
    </w:p>
    <w:p w14:paraId="0004CC1E" w14:textId="77777777" w:rsidR="003657C9" w:rsidRPr="00D324BA" w:rsidRDefault="003657C9" w:rsidP="003657C9">
      <w:pPr>
        <w:spacing w:after="0" w:line="240" w:lineRule="auto"/>
        <w:jc w:val="both"/>
        <w:rPr>
          <w:rFonts w:ascii="Times New Roman" w:hAnsi="Times New Roman" w:cs="Times New Roman"/>
          <w:sz w:val="24"/>
          <w:szCs w:val="24"/>
          <w:lang w:val="es-PE"/>
        </w:rPr>
      </w:pPr>
      <w:r w:rsidRPr="00D324BA">
        <w:rPr>
          <w:rFonts w:ascii="Times New Roman" w:hAnsi="Times New Roman" w:cs="Times New Roman"/>
          <w:b/>
          <w:sz w:val="24"/>
          <w:szCs w:val="24"/>
          <w:lang w:val="es-PE"/>
        </w:rPr>
        <w:t xml:space="preserve">Vistos: </w:t>
      </w:r>
    </w:p>
    <w:p w14:paraId="531742D6" w14:textId="77777777" w:rsidR="003657C9" w:rsidRPr="00D324BA" w:rsidRDefault="003657C9" w:rsidP="003657C9">
      <w:pPr>
        <w:spacing w:after="0" w:line="240" w:lineRule="auto"/>
        <w:jc w:val="both"/>
        <w:rPr>
          <w:rFonts w:ascii="Times New Roman" w:hAnsi="Times New Roman" w:cs="Times New Roman"/>
          <w:sz w:val="24"/>
          <w:szCs w:val="24"/>
          <w:lang w:val="es-PE"/>
        </w:rPr>
      </w:pPr>
    </w:p>
    <w:p w14:paraId="3E6BDE77" w14:textId="313E61CB"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El Recurso Impugnativo presentado el 09 de febrero de 2021 por </w:t>
      </w:r>
      <w:r w:rsidR="00D324BA" w:rsidRPr="00D324BA">
        <w:rPr>
          <w:rFonts w:ascii="Arial" w:hAnsi="Arial" w:cs="Arial"/>
          <w:lang w:val="es-PE"/>
        </w:rPr>
        <w:t>...................</w:t>
      </w:r>
      <w:r w:rsidRPr="00C35DA4">
        <w:rPr>
          <w:rFonts w:ascii="Times New Roman" w:hAnsi="Times New Roman" w:cs="Times New Roman"/>
          <w:sz w:val="24"/>
          <w:szCs w:val="24"/>
          <w:lang w:val="es-PE"/>
        </w:rPr>
        <w:t xml:space="preserve">, respecto de la Resolución </w:t>
      </w:r>
      <w:proofErr w:type="spellStart"/>
      <w:r w:rsidRPr="00C35DA4">
        <w:rPr>
          <w:rFonts w:ascii="Times New Roman" w:hAnsi="Times New Roman" w:cs="Times New Roman"/>
          <w:sz w:val="24"/>
          <w:szCs w:val="24"/>
          <w:lang w:val="es-PE"/>
        </w:rPr>
        <w:t>N°</w:t>
      </w:r>
      <w:proofErr w:type="spellEnd"/>
      <w:r w:rsidRPr="00C35DA4">
        <w:rPr>
          <w:rFonts w:ascii="Times New Roman" w:hAnsi="Times New Roman" w:cs="Times New Roman"/>
          <w:sz w:val="24"/>
          <w:szCs w:val="24"/>
          <w:lang w:val="es-PE"/>
        </w:rPr>
        <w:t xml:space="preserve"> 011/21 emitida el 04 de febrero de 2021 por esta Defensoría del Asegurado (DEFASEG) que declaró IMPROCEDENTE la reclamación interpuesta por </w:t>
      </w:r>
      <w:r w:rsidR="00D324BA" w:rsidRPr="00D324BA">
        <w:rPr>
          <w:rFonts w:ascii="Arial" w:hAnsi="Arial" w:cs="Arial"/>
          <w:lang w:val="es-PE"/>
        </w:rPr>
        <w:t>...................</w:t>
      </w:r>
      <w:r w:rsidRPr="00C35DA4">
        <w:rPr>
          <w:rFonts w:ascii="Times New Roman" w:hAnsi="Times New Roman" w:cs="Times New Roman"/>
          <w:sz w:val="24"/>
          <w:szCs w:val="24"/>
          <w:lang w:val="es-PE"/>
        </w:rPr>
        <w:t>, sobre otorgamiento de cobertura al siniestro ocurrido bajo la Póliza de Seguro de Vehículos contratada.</w:t>
      </w:r>
    </w:p>
    <w:p w14:paraId="4B4250F3"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Que el señalado Recurso Impugnativo se fundamenta resumidamente en lo siguiente: 1) Que, con fecha 04 de febrero de 2021, la Defensoría del Asegurado emitió la Resolución </w:t>
      </w:r>
      <w:proofErr w:type="spellStart"/>
      <w:r w:rsidRPr="00C35DA4">
        <w:rPr>
          <w:rFonts w:ascii="Times New Roman" w:hAnsi="Times New Roman" w:cs="Times New Roman"/>
          <w:sz w:val="24"/>
          <w:szCs w:val="24"/>
          <w:lang w:val="es-PE"/>
        </w:rPr>
        <w:t>N°</w:t>
      </w:r>
      <w:proofErr w:type="spellEnd"/>
      <w:r w:rsidRPr="00C35DA4">
        <w:rPr>
          <w:rFonts w:ascii="Times New Roman" w:hAnsi="Times New Roman" w:cs="Times New Roman"/>
          <w:sz w:val="24"/>
          <w:szCs w:val="24"/>
          <w:lang w:val="es-PE"/>
        </w:rPr>
        <w:t xml:space="preserve"> 011/21, resolviendo en su Considerando Sexto que decide abstenerse de decidir los hechos y se ser el caso archivará definitivamente el caso, por no haber acreditado el asegurado, haber desistido de su reclamo ante INDECOPI. 2) Que, si bien es cierto, con escrito de fecha 25 de enero del 2021 se comunicó a la Defensoría del Asegurado que se solicitó a INDECOPI suspenda el procedimiento de la denuncia; sin embargo, al no adecuarse esta figura a la excepción del Reglamento de la DEFASEG, se solicitó ante INDECOPI la conclusión del procedimiento administrativo mediante la declaración de desistimiento voluntario del procedimiento administrativo. 3) Que, con fecha 03 de febrero de 2021 se solicitó a INDECOPI la finalización del procedimiento administrativo mediante documento la declaración de desistimiento voluntario del procedimiento administrativo contenido en el Expediente </w:t>
      </w:r>
      <w:proofErr w:type="spellStart"/>
      <w:r w:rsidRPr="00C35DA4">
        <w:rPr>
          <w:rFonts w:ascii="Times New Roman" w:hAnsi="Times New Roman" w:cs="Times New Roman"/>
          <w:sz w:val="24"/>
          <w:szCs w:val="24"/>
          <w:lang w:val="es-PE"/>
        </w:rPr>
        <w:t>N°</w:t>
      </w:r>
      <w:proofErr w:type="spellEnd"/>
      <w:r w:rsidRPr="00C35DA4">
        <w:rPr>
          <w:rFonts w:ascii="Times New Roman" w:hAnsi="Times New Roman" w:cs="Times New Roman"/>
          <w:sz w:val="24"/>
          <w:szCs w:val="24"/>
          <w:lang w:val="es-PE"/>
        </w:rPr>
        <w:t xml:space="preserve"> 0668-2020/PSO-INDECOPI-PIU-DENUNCIA. Que, con escrito de fecha 06 de febrero de 2021, se reiteró ante INDECOPI, en mérito al impulso procesal, emita documento de la declaración de desistimiento voluntario del procedimiento administrativo contenido en el expediente mencionado. 4) Que, se debe tener en cuenta que de acuerdo con el principio de presunción de veracidad en la Ley 27444-Ley de Procedimiento Administrativo General, se presume que los documentos y declaraciones formuladas por los administrados, responden a la verdad de los hechos que ellos afirman. 4) Que, como medio de prueba se adjuntan los escritos de fecha 03 y 06 de febrero de 2021, documentos que se deben valorar para considerar la Resolución impugnada.</w:t>
      </w:r>
    </w:p>
    <w:p w14:paraId="4A284C53" w14:textId="55E9D0EF"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Que, </w:t>
      </w:r>
      <w:r w:rsidR="00402D2B" w:rsidRPr="00402D2B">
        <w:rPr>
          <w:rFonts w:ascii="Arial" w:hAnsi="Arial" w:cs="Arial"/>
          <w:lang w:val="es-PE"/>
        </w:rPr>
        <w:t>...................</w:t>
      </w:r>
      <w:r w:rsidR="00402D2B" w:rsidRPr="00402D2B">
        <w:rPr>
          <w:rFonts w:ascii="Arial" w:hAnsi="Arial" w:cs="Arial"/>
          <w:lang w:val="es-PE"/>
        </w:rPr>
        <w:t xml:space="preserve"> </w:t>
      </w:r>
      <w:r w:rsidRPr="00C35DA4">
        <w:rPr>
          <w:rFonts w:ascii="Times New Roman" w:hAnsi="Times New Roman" w:cs="Times New Roman"/>
          <w:sz w:val="24"/>
          <w:szCs w:val="24"/>
          <w:lang w:val="es-PE"/>
        </w:rPr>
        <w:t xml:space="preserve">en respuesta al escrito enviado por el reclamante, expresa lo siguiente: 1) Que, de la revisión  del escrito presentado por el  señor </w:t>
      </w:r>
      <w:r w:rsidR="00D324BA" w:rsidRPr="00D324BA">
        <w:rPr>
          <w:rFonts w:ascii="Arial" w:hAnsi="Arial" w:cs="Arial"/>
          <w:lang w:val="es-PE"/>
        </w:rPr>
        <w:t>...................</w:t>
      </w:r>
      <w:r w:rsidRPr="00C35DA4">
        <w:rPr>
          <w:rFonts w:ascii="Times New Roman" w:hAnsi="Times New Roman" w:cs="Times New Roman"/>
          <w:sz w:val="24"/>
          <w:szCs w:val="24"/>
          <w:lang w:val="es-PE"/>
        </w:rPr>
        <w:t xml:space="preserve">, no se  advierte ninguna Resolución Final de INDECOPI, o una Resolución admitiendo o denegando el pedido señalado en el escrito de desistimiento de denuncia iniciado en el Órgano Resolutivo de Procedimientos Sumarísimos de Protección al Consumidor de la Oficina Regional de INDECOPI de Piura, Maxime que para que se concluya una denuncia en INDECOPI, (Procedimiento Administrativo paralelo al reclamo en la Defensoría) no es suficiente que el denunciante solicite únicamente el desistimiento, sino que exista una Resolución de aceptación del requerimiento del denunciante y, salvo en caso haya sido admitida la denuncia, recién se resolverá dicho pedido al momento de Resolver el caso sin analizar el fondo de la controversia debiendo emitirse una Resolución final, donde se señale los motivos de la conclusión anticipada del procedimiento o el rechazo a la solicitud que presente una de las partes. 2) Que, en ese sentido, el señor </w:t>
      </w:r>
      <w:r w:rsidR="00D324BA" w:rsidRPr="00D324BA">
        <w:rPr>
          <w:rFonts w:ascii="Arial" w:hAnsi="Arial" w:cs="Arial"/>
          <w:lang w:val="es-PE"/>
        </w:rPr>
        <w:t>...................</w:t>
      </w:r>
      <w:r w:rsidRPr="00C35DA4">
        <w:rPr>
          <w:rFonts w:ascii="Times New Roman" w:hAnsi="Times New Roman" w:cs="Times New Roman"/>
          <w:sz w:val="24"/>
          <w:szCs w:val="24"/>
          <w:lang w:val="es-PE"/>
        </w:rPr>
        <w:t xml:space="preserve"> debió acreditar con la Resolución respectiva de INDECOPI la conclusión (fin) del procedimiento administrativo sancionador y no únicamente la solicitud de desistimiento, puesto que ello indicaba un doble proceso y, como señala la aseguradora en su escrito, la DEFASEG debería emitir el archivo definitivo del reclamo, en la medida que aún existe una denuncia </w:t>
      </w:r>
      <w:r w:rsidRPr="00C35DA4">
        <w:rPr>
          <w:rFonts w:ascii="Times New Roman" w:hAnsi="Times New Roman" w:cs="Times New Roman"/>
          <w:sz w:val="24"/>
          <w:szCs w:val="24"/>
          <w:lang w:val="es-PE"/>
        </w:rPr>
        <w:lastRenderedPageBreak/>
        <w:t>administrativa en trámite ante INDECOPI, la misma que no ha concluido con una Resolución final  de primera instancia .</w:t>
      </w:r>
    </w:p>
    <w:p w14:paraId="0704E206"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Que, con fecha 19 de febrero de 2021, INDECOPI (Órgano Resolutivo de Procedimientos Sumarísimos de Protección al Consumidor – Sede Piura) ha emitido el documento siguiente:</w:t>
      </w:r>
    </w:p>
    <w:p w14:paraId="615FB9CC" w14:textId="2A201E8B"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Expediente </w:t>
      </w:r>
      <w:proofErr w:type="spellStart"/>
      <w:r w:rsidRPr="00C35DA4">
        <w:rPr>
          <w:rFonts w:ascii="Times New Roman" w:hAnsi="Times New Roman" w:cs="Times New Roman"/>
          <w:sz w:val="24"/>
          <w:szCs w:val="24"/>
          <w:lang w:val="es-PE"/>
        </w:rPr>
        <w:t>N°</w:t>
      </w:r>
      <w:proofErr w:type="spellEnd"/>
      <w:r w:rsidRPr="00C35DA4">
        <w:rPr>
          <w:rFonts w:ascii="Times New Roman" w:hAnsi="Times New Roman" w:cs="Times New Roman"/>
          <w:sz w:val="24"/>
          <w:szCs w:val="24"/>
          <w:lang w:val="es-PE"/>
        </w:rPr>
        <w:t xml:space="preserve">: </w:t>
      </w:r>
      <w:r w:rsidR="00D324BA">
        <w:rPr>
          <w:rFonts w:ascii="Arial" w:hAnsi="Arial" w:cs="Arial"/>
        </w:rPr>
        <w:t>...................</w:t>
      </w:r>
    </w:p>
    <w:p w14:paraId="3067BB1A" w14:textId="02F94D6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Denunciante: </w:t>
      </w:r>
      <w:r w:rsidR="00D324BA">
        <w:rPr>
          <w:rFonts w:ascii="Arial" w:hAnsi="Arial" w:cs="Arial"/>
        </w:rPr>
        <w:t>...................</w:t>
      </w:r>
    </w:p>
    <w:p w14:paraId="16818ED1" w14:textId="7AACDA25"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Denunciado: </w:t>
      </w:r>
      <w:r w:rsidR="00D324BA">
        <w:rPr>
          <w:rFonts w:ascii="Arial" w:hAnsi="Arial" w:cs="Arial"/>
        </w:rPr>
        <w:t>...................</w:t>
      </w:r>
    </w:p>
    <w:p w14:paraId="0350AE83"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Resolución </w:t>
      </w:r>
      <w:proofErr w:type="spellStart"/>
      <w:r w:rsidRPr="00C35DA4">
        <w:rPr>
          <w:rFonts w:ascii="Times New Roman" w:hAnsi="Times New Roman" w:cs="Times New Roman"/>
          <w:sz w:val="24"/>
          <w:szCs w:val="24"/>
          <w:lang w:val="es-PE"/>
        </w:rPr>
        <w:t>N°</w:t>
      </w:r>
      <w:proofErr w:type="spellEnd"/>
      <w:r w:rsidRPr="00C35DA4">
        <w:rPr>
          <w:rFonts w:ascii="Times New Roman" w:hAnsi="Times New Roman" w:cs="Times New Roman"/>
          <w:sz w:val="24"/>
          <w:szCs w:val="24"/>
          <w:lang w:val="es-PE"/>
        </w:rPr>
        <w:t xml:space="preserve"> 1</w:t>
      </w:r>
    </w:p>
    <w:p w14:paraId="49438F1D"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Visto: El escrito de denuncia del 11 de diciembre de 2020, el escrito de solicitud de suspensión temporal del 18 de enero de 2021, el escrito de desistimiento del 04 de febrero de 2021 y el escrito de reiteración de desistimiento presentado el 08 de febrero de 2021.</w:t>
      </w:r>
    </w:p>
    <w:p w14:paraId="3FD615DE"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CONSIDERANDO:</w:t>
      </w:r>
    </w:p>
    <w:p w14:paraId="1311B753" w14:textId="77777777" w:rsidR="003657C9" w:rsidRPr="00C35DA4" w:rsidRDefault="003657C9" w:rsidP="003657C9">
      <w:pPr>
        <w:pStyle w:val="Prrafodelista"/>
        <w:numPr>
          <w:ilvl w:val="0"/>
          <w:numId w:val="7"/>
        </w:numPr>
        <w:spacing w:after="200"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Que, el numeral 4.3 de la Directiva </w:t>
      </w:r>
      <w:proofErr w:type="spellStart"/>
      <w:r w:rsidRPr="00C35DA4">
        <w:rPr>
          <w:rFonts w:ascii="Times New Roman" w:hAnsi="Times New Roman" w:cs="Times New Roman"/>
          <w:sz w:val="24"/>
          <w:szCs w:val="24"/>
          <w:lang w:val="es-PE"/>
        </w:rPr>
        <w:t>N°</w:t>
      </w:r>
      <w:proofErr w:type="spellEnd"/>
      <w:r w:rsidRPr="00C35DA4">
        <w:rPr>
          <w:rFonts w:ascii="Times New Roman" w:hAnsi="Times New Roman" w:cs="Times New Roman"/>
          <w:sz w:val="24"/>
          <w:szCs w:val="24"/>
          <w:lang w:val="es-PE"/>
        </w:rPr>
        <w:t xml:space="preserve"> 005-2017/DIR-COD-INDECOPI, en concordancia con lo establecido en el artículo 136.4 del Texto Único Ordenado de la Ley de Procedimiento Administrativo General, dispone que la falta de cumplimiento de los requisitos de la denuncia dentro del plazo otorgado para la subsanación respectiva dará lugar a la declaración de su inadmisibilidad.</w:t>
      </w:r>
    </w:p>
    <w:p w14:paraId="29B29E2E" w14:textId="0FEC6110" w:rsidR="003657C9" w:rsidRPr="00C35DA4" w:rsidRDefault="003657C9" w:rsidP="003657C9">
      <w:pPr>
        <w:pStyle w:val="Prrafodelista"/>
        <w:numPr>
          <w:ilvl w:val="0"/>
          <w:numId w:val="7"/>
        </w:numPr>
        <w:spacing w:after="200"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En el presente caso, en la medida que el señor </w:t>
      </w:r>
      <w:r w:rsidR="00D324BA" w:rsidRPr="00D324BA">
        <w:rPr>
          <w:rFonts w:ascii="Arial" w:hAnsi="Arial" w:cs="Arial"/>
          <w:lang w:val="es-PE"/>
        </w:rPr>
        <w:t>...................</w:t>
      </w:r>
      <w:r w:rsidRPr="00C35DA4">
        <w:rPr>
          <w:rFonts w:ascii="Times New Roman" w:hAnsi="Times New Roman" w:cs="Times New Roman"/>
          <w:sz w:val="24"/>
          <w:szCs w:val="24"/>
          <w:lang w:val="es-PE"/>
        </w:rPr>
        <w:t xml:space="preserve"> ha manifestado expresamente su voluntad de desistirse del procedimiento contra </w:t>
      </w:r>
      <w:r w:rsidR="00366A40" w:rsidRPr="00366A40">
        <w:rPr>
          <w:rFonts w:ascii="Arial" w:hAnsi="Arial" w:cs="Arial"/>
          <w:lang w:val="es-PE"/>
        </w:rPr>
        <w:t>...................</w:t>
      </w:r>
      <w:r w:rsidRPr="00C35DA4">
        <w:rPr>
          <w:rFonts w:ascii="Times New Roman" w:hAnsi="Times New Roman" w:cs="Times New Roman"/>
          <w:sz w:val="24"/>
          <w:szCs w:val="24"/>
          <w:lang w:val="es-PE"/>
        </w:rPr>
        <w:t>, antes del inicio del procedimiento administrativo sancionador, este Órgano Resolutivo considera que corresponde declarar inadmisible la denuncia, al no contar con uno de los requisitos para su inicio, como es el interés del denunciante.</w:t>
      </w:r>
    </w:p>
    <w:p w14:paraId="446B18F0"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SE HA RESUELTO:</w:t>
      </w:r>
    </w:p>
    <w:p w14:paraId="5BA87AF0" w14:textId="0B9BFA16"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Primero: Declarar inadmisible la denuncia presentada por el señor </w:t>
      </w:r>
      <w:r w:rsidR="00402D2B" w:rsidRPr="00402D2B">
        <w:rPr>
          <w:rFonts w:ascii="Arial" w:hAnsi="Arial" w:cs="Arial"/>
          <w:lang w:val="es-PE"/>
        </w:rPr>
        <w:t>...................</w:t>
      </w:r>
      <w:r w:rsidRPr="00C35DA4">
        <w:rPr>
          <w:rFonts w:ascii="Times New Roman" w:hAnsi="Times New Roman" w:cs="Times New Roman"/>
          <w:sz w:val="24"/>
          <w:szCs w:val="24"/>
          <w:lang w:val="es-PE"/>
        </w:rPr>
        <w:t xml:space="preserve">contra </w:t>
      </w:r>
      <w:r w:rsidR="00402D2B" w:rsidRPr="00402D2B">
        <w:rPr>
          <w:rFonts w:ascii="Arial" w:hAnsi="Arial" w:cs="Arial"/>
          <w:lang w:val="es-PE"/>
        </w:rPr>
        <w:t>...................</w:t>
      </w:r>
      <w:r w:rsidRPr="00C35DA4">
        <w:rPr>
          <w:rFonts w:ascii="Times New Roman" w:hAnsi="Times New Roman" w:cs="Times New Roman"/>
          <w:sz w:val="24"/>
          <w:szCs w:val="24"/>
          <w:lang w:val="es-PE"/>
        </w:rPr>
        <w:t>, por presentar infracción al Código de Protección y Defensa del Consumidor.</w:t>
      </w:r>
    </w:p>
    <w:p w14:paraId="69813B87"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Segundo: Sobre la presente disposición, no procede recurso impugnativo de apelación, de conformidad con lo establecido por el artículo 217.2 del Texto Único Ordenado de la Ley del Procedimiento Administrativo General y el numeral 5.2 de la Directiva </w:t>
      </w:r>
      <w:proofErr w:type="spellStart"/>
      <w:r w:rsidRPr="00C35DA4">
        <w:rPr>
          <w:rFonts w:ascii="Times New Roman" w:hAnsi="Times New Roman" w:cs="Times New Roman"/>
          <w:sz w:val="24"/>
          <w:szCs w:val="24"/>
          <w:lang w:val="es-PE"/>
        </w:rPr>
        <w:t>N°</w:t>
      </w:r>
      <w:proofErr w:type="spellEnd"/>
      <w:r w:rsidRPr="00C35DA4">
        <w:rPr>
          <w:rFonts w:ascii="Times New Roman" w:hAnsi="Times New Roman" w:cs="Times New Roman"/>
          <w:sz w:val="24"/>
          <w:szCs w:val="24"/>
          <w:lang w:val="es-PE"/>
        </w:rPr>
        <w:t xml:space="preserve"> 005-217/DIR-COD-INDECOPI</w:t>
      </w:r>
    </w:p>
    <w:p w14:paraId="1DD58AED"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Tercero: (…) </w:t>
      </w:r>
    </w:p>
    <w:p w14:paraId="243F7A9E" w14:textId="77777777" w:rsidR="003657C9" w:rsidRPr="00C35DA4" w:rsidRDefault="003657C9" w:rsidP="003657C9">
      <w:pPr>
        <w:spacing w:line="240" w:lineRule="auto"/>
        <w:jc w:val="both"/>
        <w:rPr>
          <w:rFonts w:ascii="Times New Roman" w:hAnsi="Times New Roman" w:cs="Times New Roman"/>
          <w:i/>
          <w:sz w:val="24"/>
          <w:szCs w:val="24"/>
          <w:lang w:val="es-PE"/>
        </w:rPr>
      </w:pPr>
      <w:r w:rsidRPr="00C35DA4">
        <w:rPr>
          <w:rFonts w:ascii="Times New Roman" w:hAnsi="Times New Roman" w:cs="Times New Roman"/>
          <w:sz w:val="24"/>
          <w:szCs w:val="24"/>
          <w:lang w:val="es-PE"/>
        </w:rPr>
        <w:t>Que, atendiendo a lo expuesto, esta Defensoría resuelve finalmente lo siguiente:</w:t>
      </w:r>
    </w:p>
    <w:p w14:paraId="324FD50B" w14:textId="33A5133D"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b/>
          <w:sz w:val="24"/>
          <w:szCs w:val="24"/>
          <w:lang w:val="es-PE"/>
        </w:rPr>
        <w:t>PRIMERO:</w:t>
      </w:r>
      <w:r w:rsidRPr="00C35DA4">
        <w:rPr>
          <w:rFonts w:ascii="Times New Roman" w:hAnsi="Times New Roman" w:cs="Times New Roman"/>
          <w:sz w:val="24"/>
          <w:szCs w:val="24"/>
          <w:lang w:val="es-PE"/>
        </w:rPr>
        <w:t xml:space="preserve"> Que el artículo 10 (Procedimiento) del Reglamento de la DEFASEG (</w:t>
      </w:r>
      <w:hyperlink r:id="rId8" w:history="1">
        <w:r w:rsidRPr="00C35DA4">
          <w:rPr>
            <w:rStyle w:val="Hipervnculo"/>
            <w:rFonts w:ascii="Times New Roman" w:hAnsi="Times New Roman" w:cs="Times New Roman"/>
            <w:sz w:val="24"/>
            <w:szCs w:val="24"/>
            <w:lang w:val="es-PE"/>
          </w:rPr>
          <w:t>http://www.defaseg.com.pe/reglamento</w:t>
        </w:r>
      </w:hyperlink>
      <w:r w:rsidRPr="00C35DA4">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00402D2B" w:rsidRPr="00402D2B">
        <w:rPr>
          <w:rFonts w:ascii="Arial" w:hAnsi="Arial" w:cs="Arial"/>
          <w:lang w:val="es-PE"/>
        </w:rPr>
        <w:t>...................</w:t>
      </w:r>
      <w:r w:rsidRPr="00C35DA4">
        <w:rPr>
          <w:rFonts w:ascii="Times New Roman" w:hAnsi="Times New Roman" w:cs="Times New Roman"/>
          <w:sz w:val="24"/>
          <w:szCs w:val="24"/>
          <w:lang w:val="es-PE"/>
        </w:rPr>
        <w:t xml:space="preserve">, al interponer el Recurso Impugnativo, ha ejercido formalmente su derecho a contradecir lo resuelto por la Defensoría, adjuntando la Resolución </w:t>
      </w:r>
      <w:proofErr w:type="spellStart"/>
      <w:r w:rsidRPr="00C35DA4">
        <w:rPr>
          <w:rFonts w:ascii="Times New Roman" w:hAnsi="Times New Roman" w:cs="Times New Roman"/>
          <w:sz w:val="24"/>
          <w:szCs w:val="24"/>
          <w:lang w:val="es-PE"/>
        </w:rPr>
        <w:t>N°</w:t>
      </w:r>
      <w:proofErr w:type="spellEnd"/>
      <w:r w:rsidRPr="00C35DA4">
        <w:rPr>
          <w:rFonts w:ascii="Times New Roman" w:hAnsi="Times New Roman" w:cs="Times New Roman"/>
          <w:sz w:val="24"/>
          <w:szCs w:val="24"/>
          <w:lang w:val="es-PE"/>
        </w:rPr>
        <w:t xml:space="preserve"> 1 de INDECOPI que declara inadmisible la denuncia presentada por el señor </w:t>
      </w:r>
      <w:r w:rsidR="00402D2B" w:rsidRPr="00402D2B">
        <w:rPr>
          <w:rFonts w:ascii="Arial" w:hAnsi="Arial" w:cs="Arial"/>
          <w:lang w:val="es-PE"/>
        </w:rPr>
        <w:t>...................</w:t>
      </w:r>
      <w:r w:rsidRPr="00C35DA4">
        <w:rPr>
          <w:rFonts w:ascii="Times New Roman" w:hAnsi="Times New Roman" w:cs="Times New Roman"/>
          <w:sz w:val="24"/>
          <w:szCs w:val="24"/>
          <w:lang w:val="es-PE"/>
        </w:rPr>
        <w:t xml:space="preserve"> contra </w:t>
      </w:r>
      <w:r w:rsidR="00402D2B" w:rsidRPr="00402D2B">
        <w:rPr>
          <w:rFonts w:ascii="Arial" w:hAnsi="Arial" w:cs="Arial"/>
          <w:lang w:val="es-PE"/>
        </w:rPr>
        <w:t>...................</w:t>
      </w:r>
      <w:r w:rsidRPr="00C35DA4">
        <w:rPr>
          <w:rFonts w:ascii="Times New Roman" w:hAnsi="Times New Roman" w:cs="Times New Roman"/>
          <w:sz w:val="24"/>
          <w:szCs w:val="24"/>
          <w:lang w:val="es-PE"/>
        </w:rPr>
        <w:t xml:space="preserve">, por presunta infracción al Código de Protección y Defensa del Consumidor. Que, ante este hecho, habiendo desaparecido la razón por la cual se declaró INPROCEDENTE la </w:t>
      </w:r>
      <w:r w:rsidRPr="00C35DA4">
        <w:rPr>
          <w:rFonts w:ascii="Times New Roman" w:hAnsi="Times New Roman" w:cs="Times New Roman"/>
          <w:sz w:val="24"/>
          <w:szCs w:val="24"/>
          <w:lang w:val="es-PE"/>
        </w:rPr>
        <w:lastRenderedPageBreak/>
        <w:t xml:space="preserve">Resolución de Primera Instancia, este colegiado procederá a analizar si el rechazo del siniestro ocurrido al vehículo del asegurado se encuentra sustentado </w:t>
      </w:r>
      <w:proofErr w:type="gramStart"/>
      <w:r w:rsidRPr="00C35DA4">
        <w:rPr>
          <w:rFonts w:ascii="Times New Roman" w:hAnsi="Times New Roman" w:cs="Times New Roman"/>
          <w:sz w:val="24"/>
          <w:szCs w:val="24"/>
          <w:lang w:val="es-PE"/>
        </w:rPr>
        <w:t>de acuerdo a</w:t>
      </w:r>
      <w:proofErr w:type="gramEnd"/>
      <w:r w:rsidRPr="00C35DA4">
        <w:rPr>
          <w:rFonts w:ascii="Times New Roman" w:hAnsi="Times New Roman" w:cs="Times New Roman"/>
          <w:sz w:val="24"/>
          <w:szCs w:val="24"/>
          <w:lang w:val="es-PE"/>
        </w:rPr>
        <w:t xml:space="preserve"> las Condiciones Generales y Particulares de la Póliza contratada y a la Ley 29946, Ley de Contrato de Seguro.</w:t>
      </w:r>
    </w:p>
    <w:p w14:paraId="3BACD213" w14:textId="43C79DAD"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b/>
          <w:sz w:val="24"/>
          <w:szCs w:val="24"/>
          <w:lang w:val="es-PE"/>
        </w:rPr>
        <w:t>SEGUNDO:</w:t>
      </w:r>
      <w:r w:rsidRPr="00C35DA4">
        <w:rPr>
          <w:rFonts w:ascii="Times New Roman" w:hAnsi="Times New Roman" w:cs="Times New Roman"/>
          <w:sz w:val="24"/>
          <w:szCs w:val="24"/>
          <w:lang w:val="es-PE"/>
        </w:rPr>
        <w:t xml:space="preserve"> Que, el rechazo de la cobertura del siniestro ocurrido al vehículo </w:t>
      </w:r>
      <w:proofErr w:type="gramStart"/>
      <w:r w:rsidRPr="00C35DA4">
        <w:rPr>
          <w:rFonts w:ascii="Times New Roman" w:hAnsi="Times New Roman" w:cs="Times New Roman"/>
          <w:sz w:val="24"/>
          <w:szCs w:val="24"/>
          <w:lang w:val="es-PE"/>
        </w:rPr>
        <w:t>asegurado,</w:t>
      </w:r>
      <w:proofErr w:type="gramEnd"/>
      <w:r w:rsidRPr="00C35DA4">
        <w:rPr>
          <w:rFonts w:ascii="Times New Roman" w:hAnsi="Times New Roman" w:cs="Times New Roman"/>
          <w:sz w:val="24"/>
          <w:szCs w:val="24"/>
          <w:lang w:val="es-PE"/>
        </w:rPr>
        <w:t xml:space="preserve"> es sustentado por </w:t>
      </w:r>
      <w:r w:rsidR="00402D2B" w:rsidRPr="00402D2B">
        <w:rPr>
          <w:rFonts w:ascii="Arial" w:hAnsi="Arial" w:cs="Arial"/>
          <w:lang w:val="es-PE"/>
        </w:rPr>
        <w:t>...................</w:t>
      </w:r>
      <w:r w:rsidR="00402D2B">
        <w:rPr>
          <w:rFonts w:ascii="Arial" w:hAnsi="Arial" w:cs="Arial"/>
          <w:lang w:val="es-PE"/>
        </w:rPr>
        <w:t xml:space="preserve"> </w:t>
      </w:r>
      <w:proofErr w:type="gramStart"/>
      <w:r w:rsidRPr="00C35DA4">
        <w:rPr>
          <w:rFonts w:ascii="Times New Roman" w:hAnsi="Times New Roman" w:cs="Times New Roman"/>
          <w:sz w:val="24"/>
          <w:szCs w:val="24"/>
          <w:lang w:val="es-PE"/>
        </w:rPr>
        <w:t>en razón de</w:t>
      </w:r>
      <w:proofErr w:type="gramEnd"/>
      <w:r w:rsidRPr="00C35DA4">
        <w:rPr>
          <w:rFonts w:ascii="Times New Roman" w:hAnsi="Times New Roman" w:cs="Times New Roman"/>
          <w:sz w:val="24"/>
          <w:szCs w:val="24"/>
          <w:lang w:val="es-PE"/>
        </w:rPr>
        <w:t xml:space="preserve"> que el día de ocurrido el evento, se encontraba inmerso en el Capítulo 15.19 del Condicionado General de la Póliza de Vehículos</w:t>
      </w:r>
    </w:p>
    <w:p w14:paraId="7003FCE3"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Que, lo indicado obedece a que, al momento de la ocurrencia del siniestro, y </w:t>
      </w:r>
      <w:proofErr w:type="gramStart"/>
      <w:r w:rsidRPr="00C35DA4">
        <w:rPr>
          <w:rFonts w:ascii="Times New Roman" w:hAnsi="Times New Roman" w:cs="Times New Roman"/>
          <w:sz w:val="24"/>
          <w:szCs w:val="24"/>
          <w:lang w:val="es-PE"/>
        </w:rPr>
        <w:t>de acuerdo a</w:t>
      </w:r>
      <w:proofErr w:type="gramEnd"/>
      <w:r w:rsidRPr="00C35DA4">
        <w:rPr>
          <w:rFonts w:ascii="Times New Roman" w:hAnsi="Times New Roman" w:cs="Times New Roman"/>
          <w:sz w:val="24"/>
          <w:szCs w:val="24"/>
          <w:lang w:val="es-PE"/>
        </w:rPr>
        <w:t xml:space="preserve"> lo indicado en la denuncia policial, el siniestro ocurrió durante el horario de inmovilización obligatoria. Así mismo, tampoco contaba con permiso para transitar, de conformidad a lo señalado en el Decreto Supremo </w:t>
      </w:r>
      <w:proofErr w:type="spellStart"/>
      <w:r w:rsidRPr="00C35DA4">
        <w:rPr>
          <w:rFonts w:ascii="Times New Roman" w:hAnsi="Times New Roman" w:cs="Times New Roman"/>
          <w:sz w:val="24"/>
          <w:szCs w:val="24"/>
          <w:lang w:val="es-PE"/>
        </w:rPr>
        <w:t>N°</w:t>
      </w:r>
      <w:proofErr w:type="spellEnd"/>
      <w:r w:rsidRPr="00C35DA4">
        <w:rPr>
          <w:rFonts w:ascii="Times New Roman" w:hAnsi="Times New Roman" w:cs="Times New Roman"/>
          <w:sz w:val="24"/>
          <w:szCs w:val="24"/>
          <w:lang w:val="es-PE"/>
        </w:rPr>
        <w:t xml:space="preserve"> 044-2020-PCM, emitido desde el 15 de marzo 2020 y el cual </w:t>
      </w:r>
      <w:proofErr w:type="gramStart"/>
      <w:r w:rsidRPr="00C35DA4">
        <w:rPr>
          <w:rFonts w:ascii="Times New Roman" w:hAnsi="Times New Roman" w:cs="Times New Roman"/>
          <w:sz w:val="24"/>
          <w:szCs w:val="24"/>
          <w:lang w:val="es-PE"/>
        </w:rPr>
        <w:t>entró en vigencia</w:t>
      </w:r>
      <w:proofErr w:type="gramEnd"/>
      <w:r w:rsidRPr="00C35DA4">
        <w:rPr>
          <w:rFonts w:ascii="Times New Roman" w:hAnsi="Times New Roman" w:cs="Times New Roman"/>
          <w:sz w:val="24"/>
          <w:szCs w:val="24"/>
          <w:lang w:val="es-PE"/>
        </w:rPr>
        <w:t xml:space="preserve"> desde el 16 de marzo de 2020 a las 00.00 horas, modificado con el Decreto Supremo 046-020-PCM, el mismo que restringe la limitación de horario de circulación, tal como se indica en el artículo 4, ítem 4.2 que a la letra dice:</w:t>
      </w:r>
    </w:p>
    <w:p w14:paraId="6409966F"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Artículo 4.- Limitación del ejercicio a la libertad de tránsito de las personas</w:t>
      </w:r>
    </w:p>
    <w:p w14:paraId="5EDD17D5"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w:t>
      </w:r>
    </w:p>
    <w:p w14:paraId="62E83BB7"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4.2 Se dispone la inmovilización social obligatoria de todas las personas en su domicilio, desde las 23.00 horas hasta las 04.00 horas del día siguiente, excepto del personal estrictamente necesario que participa en la prestación de los servicios de abastecimiento de alimentos, salud, medicinas, la continuidad de los servicios de agua (…). También se permite el desplazamiento de aquellas que requieren de una atención médica urgente o de emergencia, por encontrarse en grave riesgo su salud.</w:t>
      </w:r>
    </w:p>
    <w:p w14:paraId="0247C68F"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b/>
          <w:bCs/>
          <w:sz w:val="24"/>
          <w:szCs w:val="24"/>
          <w:lang w:val="es-PE"/>
        </w:rPr>
        <w:t>TERCERO</w:t>
      </w:r>
      <w:r w:rsidRPr="00C35DA4">
        <w:rPr>
          <w:rFonts w:ascii="Times New Roman" w:hAnsi="Times New Roman" w:cs="Times New Roman"/>
          <w:sz w:val="24"/>
          <w:szCs w:val="24"/>
          <w:lang w:val="es-PE"/>
        </w:rPr>
        <w:t>: Que, como se podrá apreciar, el rechazo del siniestro se ha debido a que, el vehículo asegurado se encontraba inmerso en el Capítulo 15.19 del Condicionado General de la Póliza de Vehículos que señala a la letra lo siguiente:</w:t>
      </w:r>
    </w:p>
    <w:p w14:paraId="1698FEB8"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   </w:t>
      </w:r>
    </w:p>
    <w:p w14:paraId="0670971E"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b/>
          <w:bCs/>
          <w:sz w:val="24"/>
          <w:szCs w:val="24"/>
          <w:lang w:val="es-PE"/>
        </w:rPr>
        <w:t>CAPITULO 15.- EXCLUSIONES</w:t>
      </w:r>
      <w:r w:rsidRPr="00C35DA4">
        <w:rPr>
          <w:rFonts w:ascii="Times New Roman" w:hAnsi="Times New Roman" w:cs="Times New Roman"/>
          <w:sz w:val="24"/>
          <w:szCs w:val="24"/>
          <w:lang w:val="es-PE"/>
        </w:rPr>
        <w:t>.</w:t>
      </w:r>
    </w:p>
    <w:p w14:paraId="2861FBD8"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w:t>
      </w:r>
    </w:p>
    <w:p w14:paraId="52074BCF" w14:textId="77777777" w:rsidR="003657C9" w:rsidRPr="00C35DA4" w:rsidRDefault="003657C9" w:rsidP="003657C9">
      <w:pPr>
        <w:spacing w:line="240" w:lineRule="auto"/>
        <w:jc w:val="both"/>
        <w:rPr>
          <w:rFonts w:ascii="Times New Roman" w:hAnsi="Times New Roman" w:cs="Times New Roman"/>
          <w:b/>
          <w:bCs/>
          <w:sz w:val="24"/>
          <w:szCs w:val="24"/>
          <w:lang w:val="es-PE"/>
        </w:rPr>
      </w:pPr>
      <w:r w:rsidRPr="00C35DA4">
        <w:rPr>
          <w:rFonts w:ascii="Times New Roman" w:hAnsi="Times New Roman" w:cs="Times New Roman"/>
          <w:b/>
          <w:bCs/>
          <w:sz w:val="24"/>
          <w:szCs w:val="24"/>
          <w:lang w:val="es-PE"/>
        </w:rPr>
        <w:t>15.19 Infracción muy grave</w:t>
      </w:r>
    </w:p>
    <w:p w14:paraId="7CF422D5"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i/>
          <w:iCs/>
          <w:sz w:val="24"/>
          <w:szCs w:val="24"/>
          <w:lang w:val="es-PE"/>
        </w:rPr>
        <w:t>Esta Póliza no cubre los daños o pérdidas que sufra el vehículo asegurado, así como la responsabilidad civil y demás coberturas, que sean consecuencia de una infracción del conductor de dicho vehículo asegurado, calificada como “muy grave” por el Código de Tránsito</w:t>
      </w:r>
      <w:r w:rsidRPr="00C35DA4">
        <w:rPr>
          <w:rFonts w:ascii="Times New Roman" w:hAnsi="Times New Roman" w:cs="Times New Roman"/>
          <w:sz w:val="24"/>
          <w:szCs w:val="24"/>
          <w:lang w:val="es-PE"/>
        </w:rPr>
        <w:t>”.</w:t>
      </w:r>
    </w:p>
    <w:p w14:paraId="3CE92F07"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Que, la mencionada infracción se refiere a que el vehículo asegurado al momento del siniestro se encontraba circulando pese a la inmovilización obligatoria y además no contaba con el permiso correspondiente para circular.</w:t>
      </w:r>
    </w:p>
    <w:p w14:paraId="58BDFDE0"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b/>
          <w:bCs/>
          <w:sz w:val="24"/>
          <w:szCs w:val="24"/>
          <w:lang w:val="es-PE"/>
        </w:rPr>
        <w:t>CUARTO</w:t>
      </w:r>
      <w:r w:rsidRPr="00C35DA4">
        <w:rPr>
          <w:rFonts w:ascii="Times New Roman" w:hAnsi="Times New Roman" w:cs="Times New Roman"/>
          <w:sz w:val="24"/>
          <w:szCs w:val="24"/>
          <w:lang w:val="es-PE"/>
        </w:rPr>
        <w:t>: Que, en el presente caso, el rechazo de la cobertura se ha sustentado en el incumplimiento de la inmovilización obligatoria, lo cual no constituye un delito, ni tampoco ha sido probado por la aseguradora que tal hecho haya sido la causa del siniestro.</w:t>
      </w:r>
    </w:p>
    <w:p w14:paraId="0BC16E84" w14:textId="77777777" w:rsidR="003657C9" w:rsidRPr="00C35DA4" w:rsidRDefault="003657C9" w:rsidP="003657C9">
      <w:pPr>
        <w:spacing w:line="240" w:lineRule="auto"/>
        <w:jc w:val="both"/>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Que, en atención a las consideraciones precedentes, este colegiado aprecia que existe mérito y razón objetiva para revocar la resolución recurrida </w:t>
      </w:r>
      <w:proofErr w:type="gramStart"/>
      <w:r w:rsidRPr="00C35DA4">
        <w:rPr>
          <w:rFonts w:ascii="Times New Roman" w:hAnsi="Times New Roman" w:cs="Times New Roman"/>
          <w:sz w:val="24"/>
          <w:szCs w:val="24"/>
          <w:lang w:val="es-PE"/>
        </w:rPr>
        <w:t>y</w:t>
      </w:r>
      <w:proofErr w:type="gramEnd"/>
      <w:r w:rsidRPr="00C35DA4">
        <w:rPr>
          <w:rFonts w:ascii="Times New Roman" w:hAnsi="Times New Roman" w:cs="Times New Roman"/>
          <w:sz w:val="24"/>
          <w:szCs w:val="24"/>
          <w:lang w:val="es-PE"/>
        </w:rPr>
        <w:t xml:space="preserve"> por lo tanto</w:t>
      </w:r>
    </w:p>
    <w:p w14:paraId="16B98643" w14:textId="77777777" w:rsidR="003657C9" w:rsidRPr="00D324BA" w:rsidRDefault="003657C9" w:rsidP="003657C9">
      <w:pPr>
        <w:spacing w:line="240" w:lineRule="auto"/>
        <w:jc w:val="both"/>
        <w:rPr>
          <w:rFonts w:ascii="Times New Roman" w:hAnsi="Times New Roman" w:cs="Times New Roman"/>
          <w:b/>
          <w:sz w:val="24"/>
          <w:szCs w:val="24"/>
          <w:lang w:val="es-PE"/>
        </w:rPr>
      </w:pPr>
      <w:r w:rsidRPr="00D324BA">
        <w:rPr>
          <w:rFonts w:ascii="Times New Roman" w:hAnsi="Times New Roman" w:cs="Times New Roman"/>
          <w:b/>
          <w:sz w:val="24"/>
          <w:szCs w:val="24"/>
          <w:lang w:val="es-PE"/>
        </w:rPr>
        <w:lastRenderedPageBreak/>
        <w:t xml:space="preserve">RESUELVE: </w:t>
      </w:r>
    </w:p>
    <w:p w14:paraId="18D5A2B1" w14:textId="6B06EFFD" w:rsidR="003657C9" w:rsidRPr="00C35DA4" w:rsidRDefault="003657C9" w:rsidP="00C35DA4">
      <w:pPr>
        <w:suppressAutoHyphens/>
        <w:spacing w:after="0" w:line="240" w:lineRule="auto"/>
        <w:jc w:val="both"/>
        <w:outlineLvl w:val="0"/>
        <w:rPr>
          <w:rFonts w:ascii="Times New Roman" w:hAnsi="Times New Roman" w:cs="Times New Roman"/>
          <w:sz w:val="24"/>
          <w:szCs w:val="24"/>
          <w:lang w:val="es-PE"/>
        </w:rPr>
      </w:pPr>
      <w:r w:rsidRPr="00C35DA4">
        <w:rPr>
          <w:rFonts w:ascii="Times New Roman" w:hAnsi="Times New Roman" w:cs="Times New Roman"/>
          <w:sz w:val="24"/>
          <w:szCs w:val="24"/>
          <w:lang w:val="es-PE"/>
        </w:rPr>
        <w:t xml:space="preserve">Declarar </w:t>
      </w:r>
      <w:r w:rsidRPr="00C35DA4">
        <w:rPr>
          <w:rFonts w:ascii="Times New Roman" w:hAnsi="Times New Roman" w:cs="Times New Roman"/>
          <w:b/>
          <w:sz w:val="24"/>
          <w:szCs w:val="24"/>
          <w:lang w:val="es-PE"/>
        </w:rPr>
        <w:t>FUNDADO</w:t>
      </w:r>
      <w:r w:rsidRPr="00C35DA4">
        <w:rPr>
          <w:rFonts w:ascii="Times New Roman" w:hAnsi="Times New Roman" w:cs="Times New Roman"/>
          <w:sz w:val="24"/>
          <w:szCs w:val="24"/>
          <w:lang w:val="es-PE"/>
        </w:rPr>
        <w:t xml:space="preserve"> el Recurso Impugnativo interpuesto y, por consiguiente, REVOCAR la Resolución que declaró IMPROCEDENTE la reclamación interpuesta por </w:t>
      </w:r>
      <w:r w:rsidR="00402D2B" w:rsidRPr="00402D2B">
        <w:rPr>
          <w:rFonts w:ascii="Arial" w:hAnsi="Arial" w:cs="Arial"/>
          <w:lang w:val="es-PE"/>
        </w:rPr>
        <w:t>...................</w:t>
      </w:r>
      <w:r w:rsidRPr="00C35DA4">
        <w:rPr>
          <w:rFonts w:ascii="Times New Roman" w:hAnsi="Times New Roman" w:cs="Times New Roman"/>
          <w:sz w:val="24"/>
          <w:szCs w:val="24"/>
          <w:lang w:val="es-PE"/>
        </w:rPr>
        <w:t xml:space="preserve">contra </w:t>
      </w:r>
      <w:r w:rsidR="00402D2B" w:rsidRPr="00402D2B">
        <w:rPr>
          <w:rFonts w:ascii="Arial" w:hAnsi="Arial" w:cs="Arial"/>
          <w:lang w:val="es-PE"/>
        </w:rPr>
        <w:t>...................</w:t>
      </w:r>
      <w:r w:rsidRPr="00C35DA4">
        <w:rPr>
          <w:rFonts w:ascii="Times New Roman" w:hAnsi="Times New Roman" w:cs="Times New Roman"/>
          <w:sz w:val="24"/>
          <w:szCs w:val="24"/>
          <w:lang w:val="es-PE"/>
        </w:rPr>
        <w:t>, la cual se declara FUNDADA.</w:t>
      </w:r>
    </w:p>
    <w:p w14:paraId="64C8A1D6" w14:textId="77777777" w:rsidR="003657C9" w:rsidRPr="00D324BA" w:rsidRDefault="003657C9" w:rsidP="003657C9">
      <w:pPr>
        <w:suppressAutoHyphens/>
        <w:spacing w:after="0" w:line="240" w:lineRule="auto"/>
        <w:jc w:val="right"/>
        <w:outlineLvl w:val="0"/>
        <w:rPr>
          <w:rFonts w:ascii="Times New Roman" w:hAnsi="Times New Roman" w:cs="Times New Roman"/>
          <w:sz w:val="24"/>
          <w:szCs w:val="24"/>
          <w:lang w:val="es-PE"/>
        </w:rPr>
      </w:pPr>
    </w:p>
    <w:p w14:paraId="78A39B5B" w14:textId="6E96EAC1" w:rsidR="00077B6F" w:rsidRPr="005A4C4E" w:rsidRDefault="0091528B" w:rsidP="003657C9">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33211B">
        <w:rPr>
          <w:rFonts w:ascii="Times New Roman" w:eastAsia="Arial Unicode MS" w:hAnsi="Times New Roman" w:cs="Times New Roman"/>
          <w:sz w:val="24"/>
          <w:szCs w:val="24"/>
          <w:lang w:val="es-PE" w:eastAsia="ar-SA"/>
        </w:rPr>
        <w:t>1</w:t>
      </w:r>
      <w:r w:rsidR="00C35DA4">
        <w:rPr>
          <w:rFonts w:ascii="Times New Roman" w:eastAsia="Arial Unicode MS" w:hAnsi="Times New Roman" w:cs="Times New Roman"/>
          <w:sz w:val="24"/>
          <w:szCs w:val="24"/>
          <w:lang w:val="es-PE" w:eastAsia="ar-SA"/>
        </w:rPr>
        <w:t>9</w:t>
      </w:r>
      <w:r w:rsidR="00707C99" w:rsidRPr="005A4C4E">
        <w:rPr>
          <w:rFonts w:ascii="Times New Roman" w:eastAsia="Arial Unicode MS" w:hAnsi="Times New Roman" w:cs="Times New Roman"/>
          <w:sz w:val="24"/>
          <w:szCs w:val="24"/>
          <w:lang w:val="es-PE" w:eastAsia="ar-SA"/>
        </w:rPr>
        <w:t xml:space="preserve"> de </w:t>
      </w:r>
      <w:r w:rsidR="00BF5A34" w:rsidRPr="005A4C4E">
        <w:rPr>
          <w:rFonts w:ascii="Times New Roman" w:eastAsia="Arial Unicode MS" w:hAnsi="Times New Roman" w:cs="Times New Roman"/>
          <w:sz w:val="24"/>
          <w:szCs w:val="24"/>
          <w:lang w:val="es-PE" w:eastAsia="ar-SA"/>
        </w:rPr>
        <w:t>marzo</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486C3F46" w14:textId="3443E457" w:rsidR="00C671F5" w:rsidRPr="005A4C4E"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5A4C4E"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C671F5">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5A4C4E" w:rsidRDefault="00231C58"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xml:space="preserve">– </w:t>
      </w:r>
      <w:proofErr w:type="gramStart"/>
      <w:r w:rsidR="00C671F5" w:rsidRPr="005A4C4E">
        <w:rPr>
          <w:rFonts w:ascii="Times New Roman" w:hAnsi="Times New Roman" w:cs="Times New Roman"/>
          <w:b/>
          <w:bCs/>
          <w:sz w:val="24"/>
          <w:szCs w:val="24"/>
          <w:lang w:val="es-PE"/>
        </w:rPr>
        <w:t>Presidente</w:t>
      </w:r>
      <w:proofErr w:type="gramEnd"/>
    </w:p>
    <w:p w14:paraId="55E7D9D7" w14:textId="724A8615" w:rsidR="00C671F5" w:rsidRPr="005A4C4E" w:rsidRDefault="00C671F5"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292018">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14:paraId="3A9CFE9F" w14:textId="4DFF4426" w:rsidR="00C671F5" w:rsidRPr="005A4C4E" w:rsidRDefault="00C671F5" w:rsidP="00C671F5">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C671F5">
      <w:pPr>
        <w:suppressAutoHyphens/>
        <w:spacing w:after="0" w:line="36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C671F5">
      <w:pPr>
        <w:rPr>
          <w:rFonts w:ascii="Times New Roman" w:eastAsia="Arial Unicode MS" w:hAnsi="Times New Roman" w:cs="Times New Roman"/>
          <w:sz w:val="24"/>
          <w:szCs w:val="24"/>
          <w:lang w:val="es-PE" w:eastAsia="ar-SA"/>
        </w:rPr>
      </w:pPr>
    </w:p>
    <w:sectPr w:rsidR="00C671F5" w:rsidRPr="005A4C4E" w:rsidSect="00077B6F">
      <w:headerReference w:type="default" r:id="rId9"/>
      <w:footerReference w:type="default" r:id="rId10"/>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41500" w14:textId="77777777" w:rsidR="00393BBA" w:rsidRDefault="00393BBA" w:rsidP="00784355">
      <w:pPr>
        <w:spacing w:after="0" w:line="240" w:lineRule="auto"/>
      </w:pPr>
      <w:r>
        <w:separator/>
      </w:r>
    </w:p>
  </w:endnote>
  <w:endnote w:type="continuationSeparator" w:id="0">
    <w:p w14:paraId="62F38749" w14:textId="77777777" w:rsidR="00393BBA" w:rsidRDefault="00393BBA"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AF0F7" w14:textId="77777777" w:rsidR="00393BBA" w:rsidRDefault="00393BBA" w:rsidP="00784355">
      <w:pPr>
        <w:spacing w:after="0" w:line="240" w:lineRule="auto"/>
      </w:pPr>
      <w:r>
        <w:separator/>
      </w:r>
    </w:p>
  </w:footnote>
  <w:footnote w:type="continuationSeparator" w:id="0">
    <w:p w14:paraId="630F4F9B" w14:textId="77777777" w:rsidR="00393BBA" w:rsidRDefault="00393BBA"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3"/>
  </w:num>
  <w:num w:numId="5">
    <w:abstractNumId w:val="5"/>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3045E3"/>
    <w:rsid w:val="00310DD6"/>
    <w:rsid w:val="00313D12"/>
    <w:rsid w:val="0032132E"/>
    <w:rsid w:val="0033211B"/>
    <w:rsid w:val="00340E4B"/>
    <w:rsid w:val="00345DF0"/>
    <w:rsid w:val="00345F7F"/>
    <w:rsid w:val="00347D7E"/>
    <w:rsid w:val="00353092"/>
    <w:rsid w:val="003544B1"/>
    <w:rsid w:val="00357D70"/>
    <w:rsid w:val="00362449"/>
    <w:rsid w:val="00364E0F"/>
    <w:rsid w:val="003657C9"/>
    <w:rsid w:val="00366842"/>
    <w:rsid w:val="00366A40"/>
    <w:rsid w:val="00367746"/>
    <w:rsid w:val="00377D5A"/>
    <w:rsid w:val="0038290F"/>
    <w:rsid w:val="00387D06"/>
    <w:rsid w:val="00391F72"/>
    <w:rsid w:val="00392259"/>
    <w:rsid w:val="00393BBA"/>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D2B"/>
    <w:rsid w:val="00403814"/>
    <w:rsid w:val="004049B9"/>
    <w:rsid w:val="00414F05"/>
    <w:rsid w:val="0041626C"/>
    <w:rsid w:val="00417E23"/>
    <w:rsid w:val="00425F75"/>
    <w:rsid w:val="00440BC2"/>
    <w:rsid w:val="00444232"/>
    <w:rsid w:val="00460C30"/>
    <w:rsid w:val="00465FB9"/>
    <w:rsid w:val="00466302"/>
    <w:rsid w:val="0047370C"/>
    <w:rsid w:val="0047522D"/>
    <w:rsid w:val="00476BA1"/>
    <w:rsid w:val="00482259"/>
    <w:rsid w:val="00496A1A"/>
    <w:rsid w:val="004A3E25"/>
    <w:rsid w:val="004B51ED"/>
    <w:rsid w:val="004C51EC"/>
    <w:rsid w:val="004C6983"/>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6942"/>
    <w:rsid w:val="00A17A72"/>
    <w:rsid w:val="00A23996"/>
    <w:rsid w:val="00A25F51"/>
    <w:rsid w:val="00A30393"/>
    <w:rsid w:val="00A32246"/>
    <w:rsid w:val="00A328C0"/>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324BA"/>
    <w:rsid w:val="00D35EC2"/>
    <w:rsid w:val="00D4253A"/>
    <w:rsid w:val="00D50B42"/>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97744E9-42E6-4FE9-AA30-585ACFC85326}"/>
</file>

<file path=customXml/itemProps3.xml><?xml version="1.0" encoding="utf-8"?>
<ds:datastoreItem xmlns:ds="http://schemas.openxmlformats.org/officeDocument/2006/customXml" ds:itemID="{F25582EE-BFBE-4418-8EE7-9DDD2843BAC1}"/>
</file>

<file path=customXml/itemProps4.xml><?xml version="1.0" encoding="utf-8"?>
<ds:datastoreItem xmlns:ds="http://schemas.openxmlformats.org/officeDocument/2006/customXml" ds:itemID="{6AB7F84D-4211-4A3B-AED9-5C92A23A035B}"/>
</file>

<file path=docProps/app.xml><?xml version="1.0" encoding="utf-8"?>
<Properties xmlns="http://schemas.openxmlformats.org/officeDocument/2006/extended-properties" xmlns:vt="http://schemas.openxmlformats.org/officeDocument/2006/docPropsVTypes">
  <Template>Normal</Template>
  <TotalTime>181</TotalTime>
  <Pages>4</Pages>
  <Words>1558</Words>
  <Characters>8574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47</cp:revision>
  <cp:lastPrinted>2021-03-22T13:59:00Z</cp:lastPrinted>
  <dcterms:created xsi:type="dcterms:W3CDTF">2020-12-18T20:17:00Z</dcterms:created>
  <dcterms:modified xsi:type="dcterms:W3CDTF">2022-01-27T21:43:00Z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