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393F3AE2" w:rsidR="00707C99" w:rsidRPr="0083290A" w:rsidRDefault="00201C0D" w:rsidP="00072C60">
      <w:pPr>
        <w:spacing w:after="0" w:line="240" w:lineRule="auto"/>
        <w:jc w:val="center"/>
        <w:rPr>
          <w:rFonts w:ascii="Times New Roman" w:hAnsi="Times New Roman" w:cs="Times New Roman"/>
          <w:b/>
          <w:sz w:val="24"/>
          <w:szCs w:val="24"/>
          <w:lang w:val="es-PE" w:eastAsia="ar-SA"/>
        </w:rPr>
      </w:pPr>
      <w:r w:rsidRPr="0083290A">
        <w:rPr>
          <w:rFonts w:ascii="Times New Roman" w:hAnsi="Times New Roman" w:cs="Times New Roman"/>
          <w:b/>
          <w:sz w:val="24"/>
          <w:szCs w:val="24"/>
          <w:lang w:val="es-PE" w:eastAsia="ar-SA"/>
        </w:rPr>
        <w:t xml:space="preserve">RESOLUCIÓN DE RECURSO IMPUGNATIVO </w:t>
      </w:r>
      <w:proofErr w:type="spellStart"/>
      <w:r w:rsidR="00707C99" w:rsidRPr="0083290A">
        <w:rPr>
          <w:rFonts w:ascii="Times New Roman" w:hAnsi="Times New Roman" w:cs="Times New Roman"/>
          <w:b/>
          <w:sz w:val="24"/>
          <w:szCs w:val="24"/>
          <w:lang w:val="es-PE" w:eastAsia="ar-SA"/>
        </w:rPr>
        <w:t>N°</w:t>
      </w:r>
      <w:proofErr w:type="spellEnd"/>
      <w:r w:rsidR="00707C99" w:rsidRPr="0083290A">
        <w:rPr>
          <w:rFonts w:ascii="Times New Roman" w:hAnsi="Times New Roman" w:cs="Times New Roman"/>
          <w:b/>
          <w:sz w:val="24"/>
          <w:szCs w:val="24"/>
          <w:lang w:val="es-PE" w:eastAsia="ar-SA"/>
        </w:rPr>
        <w:t xml:space="preserve"> </w:t>
      </w:r>
      <w:r w:rsidR="00C671F5" w:rsidRPr="0083290A">
        <w:rPr>
          <w:rFonts w:ascii="Times New Roman" w:hAnsi="Times New Roman" w:cs="Times New Roman"/>
          <w:b/>
          <w:sz w:val="24"/>
          <w:szCs w:val="24"/>
          <w:lang w:val="es-PE" w:eastAsia="ar-SA"/>
        </w:rPr>
        <w:t>0</w:t>
      </w:r>
      <w:r w:rsidR="0033211B" w:rsidRPr="0083290A">
        <w:rPr>
          <w:rFonts w:ascii="Times New Roman" w:hAnsi="Times New Roman" w:cs="Times New Roman"/>
          <w:b/>
          <w:sz w:val="24"/>
          <w:szCs w:val="24"/>
          <w:lang w:val="es-PE" w:eastAsia="ar-SA"/>
        </w:rPr>
        <w:t>2</w:t>
      </w:r>
      <w:r w:rsidR="00680C36">
        <w:rPr>
          <w:rFonts w:ascii="Times New Roman" w:hAnsi="Times New Roman" w:cs="Times New Roman"/>
          <w:b/>
          <w:sz w:val="24"/>
          <w:szCs w:val="24"/>
          <w:lang w:val="es-PE" w:eastAsia="ar-SA"/>
        </w:rPr>
        <w:t>3</w:t>
      </w:r>
      <w:r w:rsidR="00C671F5" w:rsidRPr="0083290A">
        <w:rPr>
          <w:rFonts w:ascii="Times New Roman" w:hAnsi="Times New Roman" w:cs="Times New Roman"/>
          <w:b/>
          <w:sz w:val="24"/>
          <w:szCs w:val="24"/>
          <w:lang w:val="es-PE" w:eastAsia="ar-SA"/>
        </w:rPr>
        <w:t>/2</w:t>
      </w:r>
      <w:r w:rsidR="00231C58" w:rsidRPr="0083290A">
        <w:rPr>
          <w:rFonts w:ascii="Times New Roman" w:hAnsi="Times New Roman" w:cs="Times New Roman"/>
          <w:b/>
          <w:sz w:val="24"/>
          <w:szCs w:val="24"/>
          <w:lang w:val="es-PE" w:eastAsia="ar-SA"/>
        </w:rPr>
        <w:t>1</w:t>
      </w:r>
    </w:p>
    <w:p w14:paraId="428240E5" w14:textId="06F06948" w:rsidR="00707C99" w:rsidRPr="0083290A"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1132310D" w14:textId="77777777" w:rsidR="00224CEE" w:rsidRPr="00680C36" w:rsidRDefault="00224CEE" w:rsidP="00224CEE">
      <w:pPr>
        <w:suppressAutoHyphens/>
        <w:spacing w:after="0" w:line="240" w:lineRule="auto"/>
        <w:jc w:val="center"/>
        <w:rPr>
          <w:rFonts w:ascii="Times New Roman" w:eastAsia="Times New Roman" w:hAnsi="Times New Roman" w:cs="Times New Roman"/>
          <w:b/>
          <w:bCs/>
          <w:sz w:val="24"/>
          <w:szCs w:val="24"/>
          <w:lang w:val="es-PE" w:eastAsia="ar-SA"/>
        </w:rPr>
      </w:pPr>
    </w:p>
    <w:p w14:paraId="49A5DAA3" w14:textId="77777777" w:rsidR="00680C36" w:rsidRPr="00680C36" w:rsidRDefault="00680C36" w:rsidP="00680C36">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680C36">
        <w:rPr>
          <w:rFonts w:ascii="Times New Roman" w:eastAsia="Times New Roman" w:hAnsi="Times New Roman" w:cs="Times New Roman"/>
          <w:b/>
          <w:bCs/>
          <w:sz w:val="24"/>
          <w:szCs w:val="24"/>
          <w:lang w:val="es-MX" w:eastAsia="ar-SA"/>
        </w:rPr>
        <w:t>Vistos:</w:t>
      </w:r>
    </w:p>
    <w:p w14:paraId="7AC17FF2" w14:textId="77777777" w:rsidR="00680C36" w:rsidRPr="00680C36" w:rsidRDefault="00680C36" w:rsidP="00680C36">
      <w:pPr>
        <w:suppressAutoHyphens/>
        <w:spacing w:after="0" w:line="240" w:lineRule="auto"/>
        <w:jc w:val="both"/>
        <w:rPr>
          <w:rFonts w:ascii="Times New Roman" w:eastAsia="Times New Roman" w:hAnsi="Times New Roman" w:cs="Times New Roman"/>
          <w:b/>
          <w:bCs/>
          <w:sz w:val="24"/>
          <w:szCs w:val="24"/>
          <w:lang w:val="es-MX" w:eastAsia="ar-SA"/>
        </w:rPr>
      </w:pPr>
      <w:r w:rsidRPr="00680C36">
        <w:rPr>
          <w:rFonts w:ascii="Times New Roman" w:eastAsia="Times New Roman" w:hAnsi="Times New Roman" w:cs="Times New Roman"/>
          <w:b/>
          <w:bCs/>
          <w:sz w:val="24"/>
          <w:szCs w:val="24"/>
          <w:lang w:val="es-MX" w:eastAsia="ar-SA"/>
        </w:rPr>
        <w:t xml:space="preserve">   </w:t>
      </w:r>
    </w:p>
    <w:p w14:paraId="6C5653DC" w14:textId="0E627FB8" w:rsidR="00680C36" w:rsidRPr="008E3D70" w:rsidRDefault="00680C36" w:rsidP="008E3D70">
      <w:pPr>
        <w:tabs>
          <w:tab w:val="left" w:pos="708"/>
          <w:tab w:val="left" w:pos="2160"/>
        </w:tabs>
        <w:jc w:val="both"/>
        <w:rPr>
          <w:bCs/>
          <w:lang w:val="es-PE"/>
        </w:rPr>
      </w:pPr>
      <w:r w:rsidRPr="00680C36">
        <w:rPr>
          <w:rFonts w:ascii="Times New Roman" w:eastAsia="Times New Roman" w:hAnsi="Times New Roman" w:cs="Times New Roman"/>
          <w:sz w:val="24"/>
          <w:szCs w:val="24"/>
          <w:lang w:val="es-ES" w:eastAsia="ar-SA"/>
        </w:rPr>
        <w:t>El recurso de impugnación presentado el 1 de marzo de 2021 por d</w:t>
      </w:r>
      <w:r w:rsidRPr="00680C36">
        <w:rPr>
          <w:rFonts w:ascii="Times New Roman" w:hAnsi="Times New Roman" w:cs="Times New Roman"/>
          <w:sz w:val="24"/>
          <w:szCs w:val="24"/>
          <w:lang w:val="es-ES"/>
        </w:rPr>
        <w:t>on</w:t>
      </w:r>
      <w:r w:rsidRPr="00680C36">
        <w:rPr>
          <w:rFonts w:ascii="Times New Roman" w:hAnsi="Times New Roman" w:cs="Times New Roman"/>
          <w:bCs/>
          <w:sz w:val="24"/>
          <w:szCs w:val="24"/>
          <w:lang w:val="es-ES"/>
        </w:rPr>
        <w:t xml:space="preserve"> </w:t>
      </w:r>
      <w:r w:rsidR="008E3D70">
        <w:rPr>
          <w:rFonts w:ascii="Arial" w:hAnsi="Arial" w:cs="Arial"/>
          <w:lang w:val="es-PE"/>
        </w:rPr>
        <w:t>..................</w:t>
      </w:r>
      <w:r w:rsidRPr="00680C36">
        <w:rPr>
          <w:rFonts w:ascii="Times New Roman" w:hAnsi="Times New Roman" w:cs="Times New Roman"/>
          <w:bCs/>
          <w:sz w:val="24"/>
          <w:szCs w:val="24"/>
          <w:lang w:val="es-ES"/>
        </w:rPr>
        <w:t xml:space="preserve">, representado por doña </w:t>
      </w:r>
      <w:r w:rsidR="008E3D70">
        <w:rPr>
          <w:rFonts w:ascii="Arial" w:hAnsi="Arial" w:cs="Arial"/>
          <w:lang w:val="es-PE"/>
        </w:rPr>
        <w:t>..................</w:t>
      </w:r>
      <w:r w:rsidR="008E3D70">
        <w:rPr>
          <w:rFonts w:ascii="Arial" w:hAnsi="Arial" w:cs="Arial"/>
          <w:lang w:val="es-PE"/>
        </w:rPr>
        <w:t xml:space="preserve"> </w:t>
      </w:r>
      <w:r w:rsidRPr="00680C36">
        <w:rPr>
          <w:rFonts w:ascii="Times New Roman" w:eastAsia="Times New Roman" w:hAnsi="Times New Roman" w:cs="Times New Roman"/>
          <w:sz w:val="24"/>
          <w:szCs w:val="24"/>
          <w:lang w:val="es-ES" w:eastAsia="ar-SA"/>
        </w:rPr>
        <w:t>respecto de la Resolución Nro. 021/21, del 19 de febrero de 2021, emitida por esta Defensoría del Asegurado (DEFASEG), que declaró IMPROCEDENTE</w:t>
      </w:r>
      <w:r w:rsidRPr="00680C36">
        <w:rPr>
          <w:rFonts w:ascii="Times New Roman" w:hAnsi="Times New Roman" w:cs="Times New Roman"/>
          <w:sz w:val="24"/>
          <w:szCs w:val="24"/>
          <w:lang w:val="es-PE"/>
        </w:rPr>
        <w:t xml:space="preserve"> </w:t>
      </w:r>
      <w:r w:rsidRPr="00680C36">
        <w:rPr>
          <w:rFonts w:ascii="Times New Roman" w:eastAsia="Arial Unicode MS" w:hAnsi="Times New Roman" w:cs="Times New Roman"/>
          <w:sz w:val="24"/>
          <w:szCs w:val="24"/>
          <w:lang w:val="es-PE"/>
        </w:rPr>
        <w:t xml:space="preserve">su reclamación interpuesta contra </w:t>
      </w:r>
      <w:r w:rsidR="008E3D70">
        <w:rPr>
          <w:rFonts w:ascii="Arial" w:hAnsi="Arial" w:cs="Arial"/>
          <w:lang w:val="es-PE"/>
        </w:rPr>
        <w:t>..................</w:t>
      </w:r>
      <w:r w:rsidRPr="00680C36">
        <w:rPr>
          <w:rFonts w:ascii="Times New Roman" w:hAnsi="Times New Roman" w:cs="Times New Roman"/>
          <w:bCs/>
          <w:sz w:val="24"/>
          <w:szCs w:val="24"/>
          <w:lang w:val="es-ES"/>
        </w:rPr>
        <w:t>, sobre</w:t>
      </w:r>
      <w:r w:rsidRPr="00680C36">
        <w:rPr>
          <w:rFonts w:ascii="Times New Roman" w:eastAsia="Times New Roman" w:hAnsi="Times New Roman" w:cs="Times New Roman"/>
          <w:sz w:val="24"/>
          <w:szCs w:val="24"/>
          <w:lang w:val="es-PE" w:eastAsia="es-ES"/>
        </w:rPr>
        <w:t xml:space="preserve"> otorgamiento de cobertura por </w:t>
      </w:r>
      <w:bookmarkStart w:id="0" w:name="OLE_LINK2"/>
      <w:r w:rsidRPr="00680C36">
        <w:rPr>
          <w:rFonts w:ascii="Times New Roman" w:eastAsia="Times New Roman" w:hAnsi="Times New Roman" w:cs="Times New Roman"/>
          <w:sz w:val="24"/>
          <w:szCs w:val="24"/>
          <w:lang w:val="es-PE" w:eastAsia="es-ES"/>
        </w:rPr>
        <w:t xml:space="preserve">desamparo familiar como consecuencia del fallecimiento del asegurado, don </w:t>
      </w:r>
      <w:r w:rsidR="008E3D70">
        <w:rPr>
          <w:rFonts w:ascii="Arial" w:hAnsi="Arial" w:cs="Arial"/>
          <w:lang w:val="es-PE"/>
        </w:rPr>
        <w:t>..................</w:t>
      </w:r>
      <w:r w:rsidRPr="00680C36">
        <w:rPr>
          <w:rFonts w:ascii="Times New Roman" w:hAnsi="Times New Roman" w:cs="Times New Roman"/>
          <w:sz w:val="24"/>
          <w:szCs w:val="24"/>
          <w:lang w:val="es-ES" w:eastAsia="es-ES"/>
        </w:rPr>
        <w:t xml:space="preserve">, conforme a los términos y condiciones del Seguro </w:t>
      </w:r>
      <w:r w:rsidRPr="00680C36">
        <w:rPr>
          <w:rFonts w:ascii="Times New Roman" w:hAnsi="Times New Roman" w:cs="Times New Roman"/>
          <w:sz w:val="24"/>
          <w:szCs w:val="24"/>
          <w:lang w:val="es-ES"/>
        </w:rPr>
        <w:t xml:space="preserve">de Vida – Marina de Guerra del Perú – Póliza Nro. </w:t>
      </w:r>
      <w:r w:rsidR="008E3D70">
        <w:rPr>
          <w:rFonts w:ascii="Arial" w:hAnsi="Arial" w:cs="Arial"/>
          <w:lang w:val="es-PE"/>
        </w:rPr>
        <w:t>..................</w:t>
      </w:r>
      <w:r w:rsidRPr="00680C36">
        <w:rPr>
          <w:rFonts w:ascii="Times New Roman" w:eastAsia="Times New Roman" w:hAnsi="Times New Roman" w:cs="Times New Roman"/>
          <w:sz w:val="24"/>
          <w:szCs w:val="24"/>
          <w:lang w:val="es-PE" w:eastAsia="es-ES"/>
        </w:rPr>
        <w:t>;</w:t>
      </w:r>
    </w:p>
    <w:bookmarkEnd w:id="0"/>
    <w:p w14:paraId="00841B59" w14:textId="2B3EC12F" w:rsidR="00680C36" w:rsidRPr="00680C36" w:rsidRDefault="00680C36" w:rsidP="00680C36">
      <w:pPr>
        <w:suppressAutoHyphens/>
        <w:spacing w:after="0" w:line="240" w:lineRule="auto"/>
        <w:jc w:val="both"/>
        <w:rPr>
          <w:rFonts w:ascii="Times New Roman" w:hAnsi="Times New Roman" w:cs="Times New Roman"/>
          <w:sz w:val="24"/>
          <w:szCs w:val="24"/>
          <w:lang w:val="es-ES"/>
        </w:rPr>
      </w:pPr>
      <w:r w:rsidRPr="00680C36">
        <w:rPr>
          <w:rFonts w:ascii="Times New Roman" w:eastAsia="Times New Roman" w:hAnsi="Times New Roman" w:cs="Times New Roman"/>
          <w:bCs/>
          <w:sz w:val="24"/>
          <w:szCs w:val="24"/>
          <w:lang w:val="es-MX" w:eastAsia="ar-SA"/>
        </w:rPr>
        <w:t xml:space="preserve">Que, a través del señalado recurso, invocando el derecho de impugnación previsto en la Ley Nro. 27444 – Ley del Procedimiento Administrativo General, se interpone recurso de apelación contra lo resuelto por la DEFASEG en primera instancia, sobre la base de los argumentos siguientes:  Primero, la DEFASEG ha asumido que la propia póliza define la cobertura “desamparo familiar”, lo cual no es así; en efecto, en el formato de solicitud de seguro se indica entre las coberturas del producto, la de “desamparo familiar”, siendo que no existe definición alguna de la misma, siendo que la pretendida definición está contenida en una cláusula adicional que no es una condición general, particular o especial; segundo, </w:t>
      </w:r>
      <w:r w:rsidR="008E3D70">
        <w:rPr>
          <w:rFonts w:ascii="Arial" w:hAnsi="Arial" w:cs="Arial"/>
          <w:lang w:val="es-PE"/>
        </w:rPr>
        <w:t>..................</w:t>
      </w:r>
      <w:r w:rsidRPr="00680C36">
        <w:rPr>
          <w:rFonts w:ascii="Times New Roman" w:eastAsia="Times New Roman" w:hAnsi="Times New Roman" w:cs="Times New Roman"/>
          <w:bCs/>
          <w:sz w:val="24"/>
          <w:szCs w:val="24"/>
          <w:lang w:val="es-MX" w:eastAsia="ar-SA"/>
        </w:rPr>
        <w:t xml:space="preserve">sostiene que la definición que opone formaba parte de la póliza contratada, cuando la misma proviene de una posterior modificación a la póliza contratada, la cual fue objeto de la Resolución SBS Nro. 3783-2016, de fecha 11 de julio de 2016, siendo que a partir de ello la cobertura de “desampara familiar” pasa a denominarse de “desamparo familiar súbito”, siendo que la nueva versión de la póliza, que se pretende oponer, no fue puesta en conocimiento del asegurado; tercero, </w:t>
      </w:r>
      <w:r w:rsidR="008E3D70">
        <w:rPr>
          <w:rFonts w:ascii="Arial" w:hAnsi="Arial" w:cs="Arial"/>
          <w:lang w:val="es-PE"/>
        </w:rPr>
        <w:t>..................</w:t>
      </w:r>
      <w:r w:rsidR="008E3D70">
        <w:rPr>
          <w:rFonts w:ascii="Arial" w:hAnsi="Arial" w:cs="Arial"/>
          <w:lang w:val="es-PE"/>
        </w:rPr>
        <w:t xml:space="preserve"> </w:t>
      </w:r>
      <w:r w:rsidRPr="00680C36">
        <w:rPr>
          <w:rFonts w:ascii="Times New Roman" w:eastAsia="Times New Roman" w:hAnsi="Times New Roman" w:cs="Times New Roman"/>
          <w:bCs/>
          <w:sz w:val="24"/>
          <w:szCs w:val="24"/>
          <w:lang w:val="es-MX" w:eastAsia="ar-SA"/>
        </w:rPr>
        <w:t xml:space="preserve">invoca una definición de la cobertura “desamparo familiar” usando una póliza distinta a la contratada, en la que se define la cobertura de “desamparo familiar súbito”, para lo cual recurre al formato suscrito en su oportunidad que en el rubro “seguro principal y cláusulas adicionales” hace mención a la cobertura “desamparo familiar” y no a la de ·desamparo familiar súbito”; cuarto, el rechazo comunicado por </w:t>
      </w:r>
      <w:r w:rsidR="008E3D70">
        <w:rPr>
          <w:rFonts w:ascii="Arial" w:hAnsi="Arial" w:cs="Arial"/>
          <w:lang w:val="es-PE"/>
        </w:rPr>
        <w:t>..................</w:t>
      </w:r>
      <w:r w:rsidR="008E3D70">
        <w:rPr>
          <w:rFonts w:ascii="Arial" w:hAnsi="Arial" w:cs="Arial"/>
          <w:lang w:val="es-PE"/>
        </w:rPr>
        <w:t xml:space="preserve"> </w:t>
      </w:r>
      <w:r w:rsidRPr="00680C36">
        <w:rPr>
          <w:rFonts w:ascii="Times New Roman" w:eastAsia="Times New Roman" w:hAnsi="Times New Roman" w:cs="Times New Roman"/>
          <w:bCs/>
          <w:sz w:val="24"/>
          <w:szCs w:val="24"/>
          <w:lang w:val="es-MX" w:eastAsia="ar-SA"/>
        </w:rPr>
        <w:t>se sustenta en cláusulas contractuales contradictorias, ya que en la cláusula adicional invocada para el rechazo se expresa que el fallecimiento del titular asegurado y de su cónyuge debe darse dentro de las 48 horas del accidente, mientras que en la cláusula invocada en sus descargos, el plazo es de 72 horas, todo ello sin perjuicio que dicha definición no fue en momento alguno comunicada al asegurado; y quinto, el rechazo se sustenta en una póliza distinta a la contratada, siendo que en la carta</w:t>
      </w:r>
      <w:r w:rsidRPr="00680C36">
        <w:rPr>
          <w:rFonts w:ascii="Times New Roman" w:hAnsi="Times New Roman" w:cs="Times New Roman"/>
          <w:bCs/>
          <w:sz w:val="24"/>
          <w:szCs w:val="24"/>
          <w:lang w:val="es-ES"/>
        </w:rPr>
        <w:t xml:space="preserve"> SVDR 0023-2020 del 22 de enero de 2020, </w:t>
      </w:r>
      <w:r w:rsidR="008E3D70">
        <w:rPr>
          <w:rFonts w:ascii="Arial" w:hAnsi="Arial" w:cs="Arial"/>
          <w:lang w:val="es-PE"/>
        </w:rPr>
        <w:t>..................</w:t>
      </w:r>
      <w:r w:rsidR="008E3D70">
        <w:rPr>
          <w:rFonts w:ascii="Arial" w:hAnsi="Arial" w:cs="Arial"/>
          <w:lang w:val="es-PE"/>
        </w:rPr>
        <w:t xml:space="preserve"> </w:t>
      </w:r>
      <w:r w:rsidRPr="00680C36">
        <w:rPr>
          <w:rFonts w:ascii="Times New Roman" w:hAnsi="Times New Roman" w:cs="Times New Roman"/>
          <w:bCs/>
          <w:sz w:val="24"/>
          <w:szCs w:val="24"/>
          <w:lang w:val="es-ES"/>
        </w:rPr>
        <w:t xml:space="preserve">refiere a la póliza Nro. </w:t>
      </w:r>
      <w:r w:rsidR="00725C97">
        <w:rPr>
          <w:rFonts w:ascii="Arial" w:hAnsi="Arial" w:cs="Arial"/>
          <w:lang w:val="es-PE"/>
        </w:rPr>
        <w:t>..................</w:t>
      </w:r>
      <w:r w:rsidRPr="00680C36">
        <w:rPr>
          <w:rFonts w:ascii="Times New Roman" w:hAnsi="Times New Roman" w:cs="Times New Roman"/>
          <w:bCs/>
          <w:sz w:val="24"/>
          <w:szCs w:val="24"/>
          <w:lang w:val="es-ES"/>
        </w:rPr>
        <w:t>3, cuando</w:t>
      </w:r>
      <w:r w:rsidRPr="00680C36">
        <w:rPr>
          <w:rFonts w:ascii="Times New Roman" w:eastAsia="Times New Roman" w:hAnsi="Times New Roman" w:cs="Times New Roman"/>
          <w:bCs/>
          <w:sz w:val="24"/>
          <w:szCs w:val="24"/>
          <w:lang w:val="es-MX" w:eastAsia="ar-SA"/>
        </w:rPr>
        <w:t xml:space="preserve"> la p</w:t>
      </w:r>
      <w:proofErr w:type="spellStart"/>
      <w:r w:rsidRPr="00680C36">
        <w:rPr>
          <w:rFonts w:ascii="Times New Roman" w:hAnsi="Times New Roman" w:cs="Times New Roman"/>
          <w:sz w:val="24"/>
          <w:szCs w:val="24"/>
          <w:lang w:val="es-ES"/>
        </w:rPr>
        <w:t>óliza</w:t>
      </w:r>
      <w:proofErr w:type="spellEnd"/>
      <w:r w:rsidRPr="00680C36">
        <w:rPr>
          <w:rFonts w:ascii="Times New Roman" w:hAnsi="Times New Roman" w:cs="Times New Roman"/>
          <w:sz w:val="24"/>
          <w:szCs w:val="24"/>
          <w:lang w:val="es-ES"/>
        </w:rPr>
        <w:t xml:space="preserve"> grupal contratada en su oportunidad está identificada bajo el Nro. </w:t>
      </w:r>
      <w:r w:rsidR="00725C97">
        <w:rPr>
          <w:rFonts w:ascii="Arial" w:hAnsi="Arial" w:cs="Arial"/>
          <w:lang w:val="es-PE"/>
        </w:rPr>
        <w:t>..................</w:t>
      </w:r>
      <w:r w:rsidRPr="00680C36">
        <w:rPr>
          <w:rFonts w:ascii="Times New Roman" w:hAnsi="Times New Roman" w:cs="Times New Roman"/>
          <w:sz w:val="24"/>
          <w:szCs w:val="24"/>
          <w:lang w:val="es-ES"/>
        </w:rPr>
        <w:t>;  por último, se invoca la aplicación del artículo 1361 del Código Civil y de la Ley Nro. 29946 – Ley del Contrato de Seguro;</w:t>
      </w:r>
    </w:p>
    <w:p w14:paraId="6719DEBA" w14:textId="77777777" w:rsidR="00680C36" w:rsidRPr="00680C36" w:rsidRDefault="00680C36" w:rsidP="00680C36">
      <w:pPr>
        <w:suppressAutoHyphens/>
        <w:spacing w:after="0" w:line="240" w:lineRule="auto"/>
        <w:jc w:val="both"/>
        <w:rPr>
          <w:rFonts w:ascii="Times New Roman" w:eastAsia="Times New Roman" w:hAnsi="Times New Roman" w:cs="Times New Roman"/>
          <w:bCs/>
          <w:sz w:val="24"/>
          <w:szCs w:val="24"/>
          <w:lang w:val="es-MX" w:eastAsia="ar-SA"/>
        </w:rPr>
      </w:pPr>
    </w:p>
    <w:p w14:paraId="668264A7" w14:textId="59132E09" w:rsidR="00680C36" w:rsidRPr="00680C36" w:rsidRDefault="00680C36" w:rsidP="00680C36">
      <w:pPr>
        <w:suppressAutoHyphens/>
        <w:spacing w:after="0" w:line="240" w:lineRule="auto"/>
        <w:jc w:val="both"/>
        <w:rPr>
          <w:rFonts w:ascii="Times New Roman" w:eastAsia="Times New Roman" w:hAnsi="Times New Roman" w:cs="Times New Roman"/>
          <w:bCs/>
          <w:sz w:val="24"/>
          <w:szCs w:val="24"/>
          <w:lang w:val="es-MX" w:eastAsia="ar-SA"/>
        </w:rPr>
      </w:pPr>
      <w:r w:rsidRPr="00680C36">
        <w:rPr>
          <w:rFonts w:ascii="Times New Roman" w:eastAsia="Times New Roman" w:hAnsi="Times New Roman" w:cs="Times New Roman"/>
          <w:bCs/>
          <w:sz w:val="24"/>
          <w:szCs w:val="24"/>
          <w:lang w:val="es-MX" w:eastAsia="ar-SA"/>
        </w:rPr>
        <w:t xml:space="preserve">Que, con fecha 2 de marzo de 2021 se corrió traslado a </w:t>
      </w:r>
      <w:r w:rsidR="008E3D70">
        <w:rPr>
          <w:rFonts w:ascii="Arial" w:hAnsi="Arial" w:cs="Arial"/>
          <w:lang w:val="es-PE"/>
        </w:rPr>
        <w:t>..................</w:t>
      </w:r>
      <w:r w:rsidR="008E3D70">
        <w:rPr>
          <w:rFonts w:ascii="Arial" w:hAnsi="Arial" w:cs="Arial"/>
          <w:lang w:val="es-PE"/>
        </w:rPr>
        <w:t xml:space="preserve"> </w:t>
      </w:r>
      <w:r w:rsidRPr="00680C36">
        <w:rPr>
          <w:rFonts w:ascii="Times New Roman" w:eastAsia="Times New Roman" w:hAnsi="Times New Roman" w:cs="Times New Roman"/>
          <w:bCs/>
          <w:sz w:val="24"/>
          <w:szCs w:val="24"/>
          <w:lang w:val="es-MX" w:eastAsia="ar-SA"/>
        </w:rPr>
        <w:t>de dicha impugnación para que, dentro del plazo reglamentario, pudiese expresar lo conveniente a su derecho; plazo que se encuentra vencido sin que se haya absuelto el indicado trámite;</w:t>
      </w:r>
    </w:p>
    <w:p w14:paraId="335C533B" w14:textId="77777777" w:rsidR="00680C36" w:rsidRPr="00680C36" w:rsidRDefault="00680C36" w:rsidP="00680C36">
      <w:pPr>
        <w:suppressAutoHyphens/>
        <w:spacing w:after="0" w:line="240" w:lineRule="auto"/>
        <w:jc w:val="both"/>
        <w:rPr>
          <w:rFonts w:ascii="Times New Roman" w:eastAsia="Times New Roman" w:hAnsi="Times New Roman" w:cs="Times New Roman"/>
          <w:bCs/>
          <w:sz w:val="24"/>
          <w:szCs w:val="24"/>
          <w:lang w:val="es-MX" w:eastAsia="ar-SA"/>
        </w:rPr>
      </w:pPr>
    </w:p>
    <w:p w14:paraId="77F1BBDF" w14:textId="77777777" w:rsidR="00680C36" w:rsidRPr="00680C36" w:rsidRDefault="00680C36" w:rsidP="00680C36">
      <w:pPr>
        <w:suppressAutoHyphens/>
        <w:spacing w:after="0" w:line="240" w:lineRule="auto"/>
        <w:jc w:val="both"/>
        <w:rPr>
          <w:rFonts w:ascii="Times New Roman" w:hAnsi="Times New Roman" w:cs="Times New Roman"/>
          <w:bCs/>
          <w:sz w:val="24"/>
          <w:szCs w:val="24"/>
          <w:lang w:val="es-ES"/>
        </w:rPr>
      </w:pPr>
      <w:r w:rsidRPr="00680C36">
        <w:rPr>
          <w:rFonts w:ascii="Times New Roman" w:hAnsi="Times New Roman" w:cs="Times New Roman"/>
          <w:bCs/>
          <w:sz w:val="24"/>
          <w:szCs w:val="24"/>
          <w:lang w:val="es-ES"/>
        </w:rPr>
        <w:t>Que, ambas partes han tenido la oportunidad para ejercer su derecho de defensa, siendo que este colegiado estima que está suficientemente informado para resolver de manera definitiva;</w:t>
      </w:r>
    </w:p>
    <w:p w14:paraId="0FC1581F" w14:textId="77777777" w:rsidR="00680C36" w:rsidRPr="00680C36" w:rsidRDefault="00680C36" w:rsidP="00680C36">
      <w:pPr>
        <w:suppressAutoHyphens/>
        <w:spacing w:after="0" w:line="240" w:lineRule="auto"/>
        <w:jc w:val="both"/>
        <w:rPr>
          <w:rFonts w:ascii="Times New Roman" w:eastAsia="Times New Roman" w:hAnsi="Times New Roman" w:cs="Times New Roman"/>
          <w:bCs/>
          <w:sz w:val="24"/>
          <w:szCs w:val="24"/>
          <w:lang w:val="es-MX" w:eastAsia="ar-SA"/>
        </w:rPr>
      </w:pPr>
    </w:p>
    <w:p w14:paraId="075E455A" w14:textId="77777777" w:rsidR="00680C36" w:rsidRPr="00680C36" w:rsidRDefault="00680C36" w:rsidP="00680C36">
      <w:pPr>
        <w:suppressAutoHyphens/>
        <w:spacing w:after="0" w:line="240" w:lineRule="auto"/>
        <w:jc w:val="both"/>
        <w:rPr>
          <w:rFonts w:ascii="Times New Roman" w:eastAsia="Times New Roman" w:hAnsi="Times New Roman" w:cs="Times New Roman"/>
          <w:bCs/>
          <w:sz w:val="24"/>
          <w:szCs w:val="24"/>
          <w:lang w:val="es-MX" w:eastAsia="ar-SA"/>
        </w:rPr>
      </w:pPr>
      <w:r w:rsidRPr="00680C36">
        <w:rPr>
          <w:rFonts w:ascii="Times New Roman" w:eastAsia="Times New Roman" w:hAnsi="Times New Roman" w:cs="Times New Roman"/>
          <w:b/>
          <w:bCs/>
          <w:sz w:val="24"/>
          <w:szCs w:val="24"/>
          <w:lang w:val="es-MX" w:eastAsia="ar-SA"/>
        </w:rPr>
        <w:lastRenderedPageBreak/>
        <w:t>Considerando:</w:t>
      </w:r>
    </w:p>
    <w:p w14:paraId="469747FD" w14:textId="77777777" w:rsidR="00680C36" w:rsidRPr="00680C36" w:rsidRDefault="00680C36" w:rsidP="00680C36">
      <w:pPr>
        <w:suppressAutoHyphens/>
        <w:spacing w:after="0" w:line="240" w:lineRule="auto"/>
        <w:jc w:val="both"/>
        <w:rPr>
          <w:rFonts w:ascii="Times New Roman" w:eastAsia="Times New Roman" w:hAnsi="Times New Roman" w:cs="Times New Roman"/>
          <w:sz w:val="24"/>
          <w:szCs w:val="24"/>
          <w:lang w:val="es-ES" w:eastAsia="ar-SA"/>
        </w:rPr>
      </w:pPr>
    </w:p>
    <w:p w14:paraId="34B19AE3" w14:textId="77777777" w:rsidR="00680C36" w:rsidRPr="00680C36" w:rsidRDefault="00680C36" w:rsidP="00680C36">
      <w:pPr>
        <w:spacing w:after="0" w:line="240" w:lineRule="auto"/>
        <w:jc w:val="both"/>
        <w:rPr>
          <w:rFonts w:ascii="Times New Roman" w:hAnsi="Times New Roman" w:cs="Times New Roman"/>
          <w:sz w:val="24"/>
          <w:szCs w:val="24"/>
          <w:lang w:val="es-PE"/>
        </w:rPr>
      </w:pPr>
      <w:r w:rsidRPr="00680C36">
        <w:rPr>
          <w:rFonts w:ascii="Times New Roman" w:hAnsi="Times New Roman" w:cs="Times New Roman"/>
          <w:b/>
          <w:sz w:val="24"/>
          <w:szCs w:val="24"/>
          <w:u w:val="single"/>
          <w:lang w:val="es-PE"/>
        </w:rPr>
        <w:t>Primero</w:t>
      </w:r>
      <w:r w:rsidRPr="00680C36">
        <w:rPr>
          <w:rFonts w:ascii="Times New Roman" w:hAnsi="Times New Roman" w:cs="Times New Roman"/>
          <w:b/>
          <w:sz w:val="24"/>
          <w:szCs w:val="24"/>
          <w:lang w:val="es-PE"/>
        </w:rPr>
        <w:t>:</w:t>
      </w:r>
      <w:r w:rsidRPr="00680C36">
        <w:rPr>
          <w:rFonts w:ascii="Times New Roman" w:hAnsi="Times New Roman" w:cs="Times New Roman"/>
          <w:sz w:val="24"/>
          <w:szCs w:val="24"/>
          <w:lang w:val="es-PE"/>
        </w:rPr>
        <w:t xml:space="preserve"> El Reglamento de la DEFASEG </w:t>
      </w:r>
      <w:r w:rsidRPr="00680C36">
        <w:rPr>
          <w:rFonts w:ascii="Times New Roman" w:eastAsia="Arial Unicode MS" w:hAnsi="Times New Roman" w:cs="Times New Roman"/>
          <w:sz w:val="24"/>
          <w:szCs w:val="24"/>
          <w:lang w:val="es-PE"/>
        </w:rPr>
        <w:t xml:space="preserve">(http://www.defaseg.com.pe/reglamento), en su artículo 10, </w:t>
      </w:r>
      <w:r w:rsidRPr="00680C36">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680C36">
        <w:rPr>
          <w:rFonts w:ascii="Times New Roman" w:hAnsi="Times New Roman" w:cs="Times New Roman"/>
          <w:sz w:val="24"/>
          <w:szCs w:val="24"/>
          <w:lang w:val="es-ES"/>
        </w:rPr>
        <w:t>usuario de seguro recurre en forma voluntaria a la Defensoría, siendo que la presentación de una reclamación n</w:t>
      </w:r>
      <w:r w:rsidRPr="00680C36">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14:paraId="1C8FD879" w14:textId="77777777" w:rsidR="00680C36" w:rsidRPr="00680C36" w:rsidRDefault="00680C36" w:rsidP="00680C36">
      <w:pPr>
        <w:spacing w:after="0" w:line="240" w:lineRule="auto"/>
        <w:jc w:val="both"/>
        <w:rPr>
          <w:rFonts w:ascii="Times New Roman" w:hAnsi="Times New Roman" w:cs="Times New Roman"/>
          <w:sz w:val="24"/>
          <w:szCs w:val="24"/>
          <w:lang w:val="es-PE"/>
        </w:rPr>
      </w:pPr>
    </w:p>
    <w:p w14:paraId="557063E9" w14:textId="77777777" w:rsidR="00680C36" w:rsidRPr="00680C36" w:rsidRDefault="00680C36" w:rsidP="00680C36">
      <w:pPr>
        <w:tabs>
          <w:tab w:val="left" w:pos="0"/>
          <w:tab w:val="left" w:pos="2160"/>
        </w:tabs>
        <w:spacing w:after="0" w:line="240" w:lineRule="auto"/>
        <w:jc w:val="both"/>
        <w:rPr>
          <w:rFonts w:ascii="Times New Roman" w:hAnsi="Times New Roman" w:cs="Times New Roman"/>
          <w:sz w:val="24"/>
          <w:szCs w:val="24"/>
          <w:lang w:val="es-PE"/>
        </w:rPr>
      </w:pPr>
      <w:r w:rsidRPr="00680C36">
        <w:rPr>
          <w:rFonts w:ascii="Times New Roman" w:hAnsi="Times New Roman" w:cs="Times New Roman"/>
          <w:b/>
          <w:sz w:val="24"/>
          <w:szCs w:val="24"/>
          <w:u w:val="single"/>
          <w:lang w:val="es-PE"/>
        </w:rPr>
        <w:t>Segundo</w:t>
      </w:r>
      <w:r w:rsidRPr="00680C36">
        <w:rPr>
          <w:rFonts w:ascii="Times New Roman" w:hAnsi="Times New Roman" w:cs="Times New Roman"/>
          <w:b/>
          <w:sz w:val="24"/>
          <w:szCs w:val="24"/>
          <w:lang w:val="es-PE"/>
        </w:rPr>
        <w:t>:</w:t>
      </w:r>
      <w:r w:rsidRPr="00680C36">
        <w:rPr>
          <w:rFonts w:ascii="Times New Roman" w:hAnsi="Times New Roman" w:cs="Times New Roman"/>
          <w:sz w:val="24"/>
          <w:szCs w:val="24"/>
          <w:lang w:val="es-PE"/>
        </w:rPr>
        <w:t xml:space="preserve"> De la lectura del recurso impugnativo interpuesto se aprecia que el señor padre del asegurado reitera, insiste, en lo ya expresado en la etapa </w:t>
      </w:r>
      <w:proofErr w:type="spellStart"/>
      <w:r w:rsidRPr="00680C36">
        <w:rPr>
          <w:rFonts w:ascii="Times New Roman" w:hAnsi="Times New Roman" w:cs="Times New Roman"/>
          <w:sz w:val="24"/>
          <w:szCs w:val="24"/>
          <w:lang w:val="es-PE"/>
        </w:rPr>
        <w:t>postulatoria</w:t>
      </w:r>
      <w:proofErr w:type="spellEnd"/>
      <w:r w:rsidRPr="00680C36">
        <w:rPr>
          <w:rFonts w:ascii="Times New Roman" w:hAnsi="Times New Roman" w:cs="Times New Roman"/>
          <w:sz w:val="24"/>
          <w:szCs w:val="24"/>
          <w:lang w:val="es-PE"/>
        </w:rPr>
        <w:t xml:space="preserve"> y en lo tratado en la audiencia de vista, en el sentido que la exclusión invocada por la aseguradora se sustenta en una definición de una cobertura que no corresponde a la contratada, en función del documento que en su momento se suscribió, documento que corresponde a la solicitud de incorporación al seguro, siendo que los argumentos de la impugnación constituyen un desarrollo recurrente de dicho planteamiento.  Al respecto, este colegiado estima que tales argumentos no desvirtúan lo que fue objeto de análisis en los numerales 6.3 y 6.4 de la resolución recurrida, conforme a los cuales:</w:t>
      </w:r>
    </w:p>
    <w:p w14:paraId="53B5C633" w14:textId="77777777" w:rsidR="00680C36" w:rsidRPr="00680C36" w:rsidRDefault="00680C36" w:rsidP="00680C36">
      <w:pPr>
        <w:tabs>
          <w:tab w:val="left" w:pos="0"/>
          <w:tab w:val="left" w:pos="2160"/>
        </w:tabs>
        <w:spacing w:after="0" w:line="240" w:lineRule="auto"/>
        <w:jc w:val="both"/>
        <w:rPr>
          <w:rFonts w:ascii="Times New Roman" w:hAnsi="Times New Roman" w:cs="Times New Roman"/>
          <w:i/>
          <w:iCs/>
          <w:sz w:val="24"/>
          <w:szCs w:val="24"/>
          <w:lang w:val="es-PE"/>
        </w:rPr>
      </w:pPr>
    </w:p>
    <w:p w14:paraId="7F816339"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6.3.</w:t>
      </w:r>
      <w:r w:rsidRPr="00680C36">
        <w:rPr>
          <w:rFonts w:ascii="Times New Roman" w:eastAsia="Times New Roman" w:hAnsi="Times New Roman" w:cs="Times New Roman"/>
          <w:i/>
          <w:iCs/>
          <w:sz w:val="24"/>
          <w:szCs w:val="24"/>
          <w:lang w:val="es-ES" w:eastAsia="es-ES"/>
        </w:rPr>
        <w:tab/>
        <w:t xml:space="preserve">El reclamante cuestiona que dicha cláusula adicional forme parte del contrato de seguro que consintió su hijo, porque en la solicitud de seguro que suscribió se hace referencia a una cobertura de “desamparo familiar” en general, sin definición alguna, mientras que en el documento transcrito se hace mención </w:t>
      </w:r>
      <w:proofErr w:type="gramStart"/>
      <w:r w:rsidRPr="00680C36">
        <w:rPr>
          <w:rFonts w:ascii="Times New Roman" w:eastAsia="Times New Roman" w:hAnsi="Times New Roman" w:cs="Times New Roman"/>
          <w:i/>
          <w:iCs/>
          <w:sz w:val="24"/>
          <w:szCs w:val="24"/>
          <w:lang w:val="es-ES" w:eastAsia="es-ES"/>
        </w:rPr>
        <w:t>a</w:t>
      </w:r>
      <w:proofErr w:type="gramEnd"/>
      <w:r w:rsidRPr="00680C36">
        <w:rPr>
          <w:rFonts w:ascii="Times New Roman" w:eastAsia="Times New Roman" w:hAnsi="Times New Roman" w:cs="Times New Roman"/>
          <w:i/>
          <w:iCs/>
          <w:sz w:val="24"/>
          <w:szCs w:val="24"/>
          <w:lang w:val="es-ES" w:eastAsia="es-ES"/>
        </w:rPr>
        <w:t xml:space="preserve"> un “desamparo familiar súbito”.</w:t>
      </w:r>
    </w:p>
    <w:p w14:paraId="21C8739A"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22079205"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ab/>
        <w:t>Así, conforme fue señalado en la audiencia de vista, se pretende hacer valer una modificación a los términos bajo los cuales se contrató en su oportunidad.</w:t>
      </w:r>
    </w:p>
    <w:p w14:paraId="177990B4"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2DB0F66D"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ab/>
        <w:t xml:space="preserve">Al respecto, no puede ni debe obviarse que una solicitud de seguro no es una póliza, sino que es un documento que se remite a la póliza, </w:t>
      </w:r>
      <w:proofErr w:type="gramStart"/>
      <w:r w:rsidRPr="00680C36">
        <w:rPr>
          <w:rFonts w:ascii="Times New Roman" w:eastAsia="Times New Roman" w:hAnsi="Times New Roman" w:cs="Times New Roman"/>
          <w:i/>
          <w:iCs/>
          <w:sz w:val="24"/>
          <w:szCs w:val="24"/>
          <w:lang w:val="es-ES" w:eastAsia="es-ES"/>
        </w:rPr>
        <w:t>en caso que</w:t>
      </w:r>
      <w:proofErr w:type="gramEnd"/>
      <w:r w:rsidRPr="00680C36">
        <w:rPr>
          <w:rFonts w:ascii="Times New Roman" w:eastAsia="Times New Roman" w:hAnsi="Times New Roman" w:cs="Times New Roman"/>
          <w:i/>
          <w:iCs/>
          <w:sz w:val="24"/>
          <w:szCs w:val="24"/>
          <w:lang w:val="es-ES" w:eastAsia="es-ES"/>
        </w:rPr>
        <w:t xml:space="preserve"> la solicitud sea finalmente aceptada, por lo que contiene enunciados amplios o generales, sin mayores detalles, siendo que estos últimos figuran más bien en los condicionados, siendo que, en el presente caso, el entonces solicitante declaró expresamente que había tomado conocimiento de los diversos condicionados.  </w:t>
      </w:r>
      <w:proofErr w:type="gramStart"/>
      <w:r w:rsidRPr="00680C36">
        <w:rPr>
          <w:rFonts w:ascii="Times New Roman" w:eastAsia="Times New Roman" w:hAnsi="Times New Roman" w:cs="Times New Roman"/>
          <w:i/>
          <w:iCs/>
          <w:sz w:val="24"/>
          <w:szCs w:val="24"/>
          <w:lang w:val="es-ES" w:eastAsia="es-ES"/>
        </w:rPr>
        <w:t>De acuerdo a</w:t>
      </w:r>
      <w:proofErr w:type="gramEnd"/>
      <w:r w:rsidRPr="00680C36">
        <w:rPr>
          <w:rFonts w:ascii="Times New Roman" w:eastAsia="Times New Roman" w:hAnsi="Times New Roman" w:cs="Times New Roman"/>
          <w:i/>
          <w:iCs/>
          <w:sz w:val="24"/>
          <w:szCs w:val="24"/>
          <w:lang w:val="es-ES" w:eastAsia="es-ES"/>
        </w:rPr>
        <w:t xml:space="preserve"> ley, lo declarado corresponde a la voluntad de quien lo declara; y en el supuesto negado que no hubiese sido así, es perfectamente razonable o esperable que no se hubiese suscrito dicha solicitud admitiendo algo que luego se pretende negar, o que se hubiese hecho bajo reserva, dejándose constancia que no ha sido informado o no ha tomado conocimiento de lo que se afirma.</w:t>
      </w:r>
    </w:p>
    <w:p w14:paraId="78EA6D70"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54756A95"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ab/>
        <w:t>En el presente caso, no se advierte nada de ello.</w:t>
      </w:r>
    </w:p>
    <w:p w14:paraId="3786AA93"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444A9814"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ab/>
        <w:t xml:space="preserve">Siendo que la solicitud se remite a los condicionados, es en éstos donde figuran los detalles de la cobertura contratada, siendo que la mención a un desamparo familiar </w:t>
      </w:r>
      <w:r w:rsidRPr="00680C36">
        <w:rPr>
          <w:rFonts w:ascii="Times New Roman" w:eastAsia="Times New Roman" w:hAnsi="Times New Roman" w:cs="Times New Roman"/>
          <w:i/>
          <w:iCs/>
          <w:sz w:val="24"/>
          <w:szCs w:val="24"/>
          <w:lang w:val="es-ES" w:eastAsia="es-ES"/>
        </w:rPr>
        <w:lastRenderedPageBreak/>
        <w:t>“súbito” es además consistente con la circunstancia que la exigibilidad de la cobertura está relacionada a que en un mismo accidente (hecho imprevisto, sorpresivo, súbito, por su naturaleza misma) fallezcan el asegurado y su cónyuge.  Es más, conforme a la propia solicitud (ver el recuadro correspondiente), la cobertura de desamparo familiar está adscrita a muerte accidental.</w:t>
      </w:r>
    </w:p>
    <w:p w14:paraId="7CB90676"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6139DCD8"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ab/>
        <w:t xml:space="preserve">Situación semejante se aprecia tratándose de la cobertura por accidente cerebro vascular, enunciada de manera general en la solicitud, aunque en el respectivo condicionado se establece todo lo relativo a su configuración como riesgo aceptado, entre </w:t>
      </w:r>
      <w:proofErr w:type="spellStart"/>
      <w:r w:rsidRPr="00680C36">
        <w:rPr>
          <w:rFonts w:ascii="Times New Roman" w:eastAsia="Times New Roman" w:hAnsi="Times New Roman" w:cs="Times New Roman"/>
          <w:i/>
          <w:iCs/>
          <w:sz w:val="24"/>
          <w:szCs w:val="24"/>
          <w:lang w:val="es-ES" w:eastAsia="es-ES"/>
        </w:rPr>
        <w:t>ello</w:t>
      </w:r>
      <w:proofErr w:type="spellEnd"/>
      <w:r w:rsidRPr="00680C36">
        <w:rPr>
          <w:rFonts w:ascii="Times New Roman" w:eastAsia="Times New Roman" w:hAnsi="Times New Roman" w:cs="Times New Roman"/>
          <w:i/>
          <w:iCs/>
          <w:sz w:val="24"/>
          <w:szCs w:val="24"/>
          <w:lang w:val="es-ES" w:eastAsia="es-ES"/>
        </w:rPr>
        <w:t>, que las consecuencias neurológicas deben ser superiores a 24 horas, las causas, y que las consecuencias neurológicas deben ser al menos por 3 meses.</w:t>
      </w:r>
    </w:p>
    <w:p w14:paraId="03DA2D9A"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64142C55"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ab/>
        <w:t>Conforme a lo anterior, no puede pretenderse seriamente que la expresión, rótulo o título colocado en un cuadro resumen de coberturas en una solicitud corresponda exacta, literal, absolutamente al contenido de las condiciones contractuales, ya que éstas se regulan precisamente en las condiciones particulares, conforme práctica uniforme de la industria aseguradora.</w:t>
      </w:r>
    </w:p>
    <w:p w14:paraId="74F5AC57"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0FE1824A"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ab/>
        <w:t xml:space="preserve">En síntesis, este colegiado no comparte la interpretación que el reclamante pretende dar a los alcances de la cobertura desamparo familiar en razón únicamente de un documento precontractual, como es la solicitud de seguro, menos cuando no toma en consideración que el propio solicitante afirmó que había sido informado de los condicionados de la póliza, por lo que conoció (y aceptó) los alcances de la cobertura bajo discusión, sin objetar.  </w:t>
      </w:r>
    </w:p>
    <w:p w14:paraId="59500DF3" w14:textId="77777777"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p>
    <w:p w14:paraId="6F33FE8A" w14:textId="52A11A8E" w:rsidR="00680C36" w:rsidRPr="00680C36" w:rsidRDefault="00680C36" w:rsidP="00680C36">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ES" w:eastAsia="es-ES"/>
        </w:rPr>
      </w:pPr>
      <w:r w:rsidRPr="00680C36">
        <w:rPr>
          <w:rFonts w:ascii="Times New Roman" w:eastAsia="Times New Roman" w:hAnsi="Times New Roman" w:cs="Times New Roman"/>
          <w:i/>
          <w:iCs/>
          <w:sz w:val="24"/>
          <w:szCs w:val="24"/>
          <w:lang w:val="es-ES" w:eastAsia="es-ES"/>
        </w:rPr>
        <w:t>6.4.</w:t>
      </w:r>
      <w:r w:rsidRPr="00680C36">
        <w:rPr>
          <w:rFonts w:ascii="Times New Roman" w:eastAsia="Times New Roman" w:hAnsi="Times New Roman" w:cs="Times New Roman"/>
          <w:i/>
          <w:iCs/>
          <w:sz w:val="24"/>
          <w:szCs w:val="24"/>
          <w:lang w:val="es-ES" w:eastAsia="es-ES"/>
        </w:rPr>
        <w:tab/>
        <w:t xml:space="preserve">Conforme a lo anterior, no siendo el reclamante hijo menor de edad del asegurado, ni habiéndose producido el fallecimiento del asegurado y de su cónyuge, no está incorporado como beneficiario de la cobertura contratada en su oportunidad, por lo que carece de legitimidad para reclamarla, existiendo ausencia o ajenidad de cobertura respecto a su persona, de manera independiente a sus circunstancias subjetivas, tales como que sea padre del asegurado fallecido, que sea persona afecta a vulnerabilidad, o que carezca de seguro o pensión, siendo que </w:t>
      </w:r>
      <w:r w:rsidR="008E3D70">
        <w:rPr>
          <w:rFonts w:ascii="Arial" w:hAnsi="Arial" w:cs="Arial"/>
          <w:lang w:val="es-PE"/>
        </w:rPr>
        <w:t>..................</w:t>
      </w:r>
      <w:r w:rsidR="008E3D70">
        <w:rPr>
          <w:rFonts w:ascii="Arial" w:hAnsi="Arial" w:cs="Arial"/>
          <w:lang w:val="es-PE"/>
        </w:rPr>
        <w:t xml:space="preserve"> </w:t>
      </w:r>
      <w:r w:rsidRPr="00680C36">
        <w:rPr>
          <w:rFonts w:ascii="Times New Roman" w:eastAsia="Times New Roman" w:hAnsi="Times New Roman" w:cs="Times New Roman"/>
          <w:i/>
          <w:iCs/>
          <w:sz w:val="24"/>
          <w:szCs w:val="24"/>
          <w:lang w:val="es-ES" w:eastAsia="es-ES"/>
        </w:rPr>
        <w:t>no está obligada a otorgar cobertura por riesgos no aceptados.</w:t>
      </w:r>
    </w:p>
    <w:p w14:paraId="38B8D71D" w14:textId="77777777" w:rsidR="00680C36" w:rsidRPr="00680C36" w:rsidRDefault="00680C36" w:rsidP="00680C36">
      <w:pPr>
        <w:tabs>
          <w:tab w:val="left" w:pos="0"/>
          <w:tab w:val="left" w:pos="2160"/>
        </w:tabs>
        <w:spacing w:after="0" w:line="240" w:lineRule="auto"/>
        <w:jc w:val="both"/>
        <w:rPr>
          <w:rFonts w:ascii="Times New Roman" w:hAnsi="Times New Roman" w:cs="Times New Roman"/>
          <w:sz w:val="24"/>
          <w:szCs w:val="24"/>
          <w:lang w:val="es-ES"/>
        </w:rPr>
      </w:pPr>
    </w:p>
    <w:p w14:paraId="26214B6E" w14:textId="77777777" w:rsidR="00680C36" w:rsidRPr="00680C36" w:rsidRDefault="00680C36" w:rsidP="00680C36">
      <w:pPr>
        <w:tabs>
          <w:tab w:val="left" w:pos="0"/>
          <w:tab w:val="left" w:pos="2160"/>
        </w:tabs>
        <w:spacing w:after="0" w:line="240" w:lineRule="auto"/>
        <w:jc w:val="both"/>
        <w:rPr>
          <w:rFonts w:ascii="Times New Roman" w:hAnsi="Times New Roman" w:cs="Times New Roman"/>
          <w:sz w:val="24"/>
          <w:szCs w:val="24"/>
          <w:lang w:val="es-PE"/>
        </w:rPr>
      </w:pPr>
      <w:r w:rsidRPr="00680C36">
        <w:rPr>
          <w:rFonts w:ascii="Times New Roman" w:hAnsi="Times New Roman" w:cs="Times New Roman"/>
          <w:sz w:val="24"/>
          <w:szCs w:val="24"/>
          <w:lang w:val="es-PE"/>
        </w:rPr>
        <w:t xml:space="preserve">El argumento relativo a que la definición de la cobertura no está contenida en una condición general, particular ni especial, sino en una cláusula adicional, no causa convicción a este colegiado, por cuanto el propio formato suscrito en su oportunidad por el asegurado hace expresa mención, al enunciar las coberturas, a un seguro principal y a cláusulas adicionales, entendiéndose como seguro principal al de vida, y que las demás coberturas constan en las respectivas cláusulas adicionales a dicha cobertura principal, lo cual corresponde a un régimen de condiciones especiales.  Tampoco genera convicción lo relativo a la numeración de la póliza, dado que la referencia contenida en el formato de la solicitud de seguro a las distintas pólizas </w:t>
      </w:r>
      <w:proofErr w:type="gramStart"/>
      <w:r w:rsidRPr="00680C36">
        <w:rPr>
          <w:rFonts w:ascii="Times New Roman" w:hAnsi="Times New Roman" w:cs="Times New Roman"/>
          <w:sz w:val="24"/>
          <w:szCs w:val="24"/>
          <w:lang w:val="es-PE"/>
        </w:rPr>
        <w:t>ofrecidas,</w:t>
      </w:r>
      <w:proofErr w:type="gramEnd"/>
      <w:r w:rsidRPr="00680C36">
        <w:rPr>
          <w:rFonts w:ascii="Times New Roman" w:hAnsi="Times New Roman" w:cs="Times New Roman"/>
          <w:sz w:val="24"/>
          <w:szCs w:val="24"/>
          <w:lang w:val="es-PE"/>
        </w:rPr>
        <w:t xml:space="preserve"> es independiente de la numeración asignada a la póliza en sí, siendo que bajo dicha numeración se han hecho efectivas otras coberturas contratadas, conforme a lo tratado en la audiencia de vista, aunque también, bajo dicha numeración, se ha rechazado lo relativo al desamparo familiar.  Menos genera convicción el argumento sobre una supuesta contradicción entre cláusulas, dado que un error material (e inclusive ortográfico) en la reproducción de un texto con ocasión del rechazo, no enerva el hecho de la fuerza vinculante de lo enunciado en la </w:t>
      </w:r>
      <w:r w:rsidRPr="00680C36">
        <w:rPr>
          <w:rFonts w:ascii="Times New Roman" w:hAnsi="Times New Roman" w:cs="Times New Roman"/>
          <w:sz w:val="24"/>
          <w:szCs w:val="24"/>
          <w:lang w:val="es-PE"/>
        </w:rPr>
        <w:lastRenderedPageBreak/>
        <w:t>cláusula adicional sobre desamparo familiar súbito o imprevisto por causa de accidente, siendo que el supuesto de hecho para la materialización del siniestro demanda del fallecimiento del titular asegurado y de su cónyuge, situación que no corresponde definitivamente a la solicitud de cobertura, de allí que se reitere la improcedencia de la reclamación.</w:t>
      </w:r>
    </w:p>
    <w:p w14:paraId="665770E8" w14:textId="77777777" w:rsidR="00680C36" w:rsidRPr="00680C36" w:rsidRDefault="00680C36" w:rsidP="00680C36">
      <w:pPr>
        <w:tabs>
          <w:tab w:val="left" w:pos="0"/>
          <w:tab w:val="left" w:pos="2160"/>
        </w:tabs>
        <w:spacing w:after="0" w:line="240" w:lineRule="auto"/>
        <w:jc w:val="both"/>
        <w:rPr>
          <w:rFonts w:ascii="Times New Roman" w:hAnsi="Times New Roman" w:cs="Times New Roman"/>
          <w:sz w:val="24"/>
          <w:szCs w:val="24"/>
          <w:lang w:val="es-PE"/>
        </w:rPr>
      </w:pPr>
    </w:p>
    <w:p w14:paraId="43936C17" w14:textId="77777777" w:rsidR="00680C36" w:rsidRPr="00680C36" w:rsidRDefault="00680C36" w:rsidP="00680C36">
      <w:pPr>
        <w:tabs>
          <w:tab w:val="left" w:pos="0"/>
          <w:tab w:val="left" w:pos="2160"/>
        </w:tabs>
        <w:spacing w:after="0" w:line="240" w:lineRule="auto"/>
        <w:jc w:val="both"/>
        <w:rPr>
          <w:rFonts w:ascii="Times New Roman" w:hAnsi="Times New Roman" w:cs="Times New Roman"/>
          <w:sz w:val="24"/>
          <w:szCs w:val="24"/>
          <w:lang w:val="es-PE"/>
        </w:rPr>
      </w:pPr>
      <w:r w:rsidRPr="00680C36">
        <w:rPr>
          <w:rFonts w:ascii="Times New Roman" w:hAnsi="Times New Roman" w:cs="Times New Roman"/>
          <w:b/>
          <w:sz w:val="24"/>
          <w:szCs w:val="24"/>
          <w:u w:val="single"/>
          <w:lang w:val="es-PE"/>
        </w:rPr>
        <w:t>Tercero</w:t>
      </w:r>
      <w:r w:rsidRPr="00680C36">
        <w:rPr>
          <w:rFonts w:ascii="Times New Roman" w:hAnsi="Times New Roman" w:cs="Times New Roman"/>
          <w:b/>
          <w:sz w:val="24"/>
          <w:szCs w:val="24"/>
          <w:lang w:val="es-PE"/>
        </w:rPr>
        <w:t>:</w:t>
      </w:r>
      <w:r w:rsidRPr="00680C36">
        <w:rPr>
          <w:rFonts w:ascii="Times New Roman" w:hAnsi="Times New Roman" w:cs="Times New Roman"/>
          <w:sz w:val="24"/>
          <w:szCs w:val="24"/>
          <w:lang w:val="es-PE"/>
        </w:rPr>
        <w:t xml:space="preserve"> No</w:t>
      </w:r>
      <w:r w:rsidRPr="00680C36">
        <w:rPr>
          <w:rFonts w:ascii="Times New Roman" w:hAnsi="Times New Roman" w:cs="Times New Roman"/>
          <w:bCs/>
          <w:sz w:val="24"/>
          <w:szCs w:val="24"/>
          <w:lang w:val="es-PE"/>
        </w:rPr>
        <w:t xml:space="preserve"> habiéndose acreditado argumento que desautorice lo resuelto, este colegiado estima que el </w:t>
      </w:r>
      <w:r w:rsidRPr="00680C36">
        <w:rPr>
          <w:rFonts w:ascii="Times New Roman" w:hAnsi="Times New Roman" w:cs="Times New Roman"/>
          <w:sz w:val="24"/>
          <w:szCs w:val="24"/>
          <w:lang w:val="es-ES"/>
        </w:rPr>
        <w:t>recurso impugnativo interpuesto puede ser categorizado, por su contenido mismo, como una solicitud de revisión general, sustentado en el muy respetable criterio del reclamante que este colegiado no comparte, sin aportar nuevo medio probatorio que permita apreciar objetivamente que este colegiado habría incurrido en un error o vicio al momento de resolver.   Por último, se deja expresa constancia que esta Defensoría es un organismo adscrito a una institución privada que es la Asociación Peruana de Empresas de Seguros – APESEG, por lo que no corresponde invocar la aplicabilidad de las normas legales que regulan a los procedimientos en sede administrativa, máxime cuando el Reglamento de la DEFASEG regula expresamente lo relativo a las impugnaciones de sus resoluciones.</w:t>
      </w:r>
    </w:p>
    <w:p w14:paraId="09A69935" w14:textId="77777777" w:rsidR="00680C36" w:rsidRPr="00680C36" w:rsidRDefault="00680C36" w:rsidP="00680C36">
      <w:pPr>
        <w:tabs>
          <w:tab w:val="left" w:pos="2160"/>
        </w:tabs>
        <w:spacing w:after="0" w:line="240" w:lineRule="auto"/>
        <w:jc w:val="both"/>
        <w:rPr>
          <w:rFonts w:ascii="Times New Roman" w:hAnsi="Times New Roman" w:cs="Times New Roman"/>
          <w:sz w:val="24"/>
          <w:szCs w:val="24"/>
          <w:lang w:val="es-PE"/>
        </w:rPr>
      </w:pPr>
    </w:p>
    <w:p w14:paraId="57503A7A" w14:textId="77777777" w:rsidR="00680C36" w:rsidRPr="00680C36" w:rsidRDefault="00680C36" w:rsidP="00680C36">
      <w:pPr>
        <w:tabs>
          <w:tab w:val="left" w:pos="2160"/>
        </w:tabs>
        <w:spacing w:after="0" w:line="240" w:lineRule="auto"/>
        <w:jc w:val="both"/>
        <w:rPr>
          <w:rFonts w:ascii="Times New Roman" w:hAnsi="Times New Roman" w:cs="Times New Roman"/>
          <w:sz w:val="24"/>
          <w:szCs w:val="24"/>
          <w:lang w:val="es-ES"/>
        </w:rPr>
      </w:pPr>
      <w:r w:rsidRPr="00680C36">
        <w:rPr>
          <w:rFonts w:ascii="Times New Roman" w:hAnsi="Times New Roman" w:cs="Times New Roman"/>
          <w:sz w:val="24"/>
          <w:szCs w:val="24"/>
          <w:lang w:val="es-ES"/>
        </w:rPr>
        <w:t>En atención a las consideraciones precedentes, esta Defensoría no aprecia mérito ni razón para revocar la resolución recurrida; por lo tanto,</w:t>
      </w:r>
    </w:p>
    <w:p w14:paraId="3BE04B50" w14:textId="77777777" w:rsidR="00680C36" w:rsidRPr="00680C36" w:rsidRDefault="00680C36" w:rsidP="00680C36">
      <w:pPr>
        <w:spacing w:after="0" w:line="240" w:lineRule="auto"/>
        <w:jc w:val="both"/>
        <w:rPr>
          <w:rFonts w:ascii="Times New Roman" w:hAnsi="Times New Roman" w:cs="Times New Roman"/>
          <w:sz w:val="24"/>
          <w:szCs w:val="24"/>
          <w:lang w:val="es-PE"/>
        </w:rPr>
      </w:pPr>
    </w:p>
    <w:p w14:paraId="26B6129B" w14:textId="77777777" w:rsidR="00680C36" w:rsidRPr="00680C36" w:rsidRDefault="00680C36" w:rsidP="00680C36">
      <w:pPr>
        <w:spacing w:after="0" w:line="240" w:lineRule="auto"/>
        <w:jc w:val="both"/>
        <w:rPr>
          <w:rFonts w:ascii="Times New Roman" w:hAnsi="Times New Roman" w:cs="Times New Roman"/>
          <w:b/>
          <w:sz w:val="24"/>
          <w:szCs w:val="24"/>
          <w:lang w:val="es-PE"/>
        </w:rPr>
      </w:pPr>
      <w:r w:rsidRPr="00680C36">
        <w:rPr>
          <w:rFonts w:ascii="Times New Roman" w:hAnsi="Times New Roman" w:cs="Times New Roman"/>
          <w:b/>
          <w:sz w:val="24"/>
          <w:szCs w:val="24"/>
          <w:lang w:val="es-PE"/>
        </w:rPr>
        <w:t>Atendiendo a lo expresado, conforme a su reglamento, este colegiado resuelve:</w:t>
      </w:r>
    </w:p>
    <w:p w14:paraId="31F49648" w14:textId="77777777" w:rsidR="00680C36" w:rsidRPr="00680C36" w:rsidRDefault="00680C36" w:rsidP="00680C36">
      <w:pPr>
        <w:spacing w:after="0" w:line="240" w:lineRule="auto"/>
        <w:jc w:val="both"/>
        <w:rPr>
          <w:rFonts w:ascii="Times New Roman" w:eastAsia="Arial Unicode MS" w:hAnsi="Times New Roman" w:cs="Times New Roman"/>
          <w:b/>
          <w:sz w:val="24"/>
          <w:szCs w:val="24"/>
          <w:lang w:val="es-PE"/>
        </w:rPr>
      </w:pPr>
    </w:p>
    <w:p w14:paraId="0F36170F" w14:textId="1A3E4A5B" w:rsidR="00680C36" w:rsidRPr="00680C36" w:rsidRDefault="00680C36" w:rsidP="00680C36">
      <w:pPr>
        <w:tabs>
          <w:tab w:val="left" w:pos="0"/>
          <w:tab w:val="left" w:pos="708"/>
          <w:tab w:val="left" w:pos="1416"/>
          <w:tab w:val="left" w:pos="2160"/>
          <w:tab w:val="left" w:pos="3540"/>
          <w:tab w:val="left" w:pos="4248"/>
          <w:tab w:val="left" w:pos="4956"/>
          <w:tab w:val="left" w:pos="5664"/>
          <w:tab w:val="left" w:pos="6372"/>
          <w:tab w:val="left" w:pos="7125"/>
        </w:tabs>
        <w:jc w:val="both"/>
        <w:rPr>
          <w:rFonts w:ascii="Times New Roman" w:eastAsia="Arial Unicode MS" w:hAnsi="Times New Roman" w:cs="Times New Roman"/>
          <w:sz w:val="24"/>
          <w:szCs w:val="24"/>
          <w:lang w:val="es-PE"/>
        </w:rPr>
      </w:pPr>
      <w:r w:rsidRPr="00680C36">
        <w:rPr>
          <w:rFonts w:ascii="Times New Roman" w:eastAsia="Arial Unicode MS" w:hAnsi="Times New Roman" w:cs="Times New Roman"/>
          <w:b/>
          <w:sz w:val="24"/>
          <w:szCs w:val="24"/>
          <w:lang w:val="es-PE"/>
        </w:rPr>
        <w:t xml:space="preserve">Declarar INFUNDADO el recurso impugnativo </w:t>
      </w:r>
      <w:r w:rsidRPr="00680C36">
        <w:rPr>
          <w:rFonts w:ascii="Times New Roman" w:eastAsia="Arial Unicode MS" w:hAnsi="Times New Roman" w:cs="Times New Roman"/>
          <w:sz w:val="24"/>
          <w:szCs w:val="24"/>
          <w:lang w:val="es-PE"/>
        </w:rPr>
        <w:t xml:space="preserve">interpuesto por </w:t>
      </w:r>
      <w:r w:rsidRPr="00680C36">
        <w:rPr>
          <w:rFonts w:ascii="Times New Roman" w:eastAsia="Times New Roman" w:hAnsi="Times New Roman" w:cs="Times New Roman"/>
          <w:sz w:val="24"/>
          <w:szCs w:val="24"/>
          <w:lang w:val="es-ES" w:eastAsia="ar-SA"/>
        </w:rPr>
        <w:t>d</w:t>
      </w:r>
      <w:r w:rsidRPr="00680C36">
        <w:rPr>
          <w:rFonts w:ascii="Times New Roman" w:hAnsi="Times New Roman" w:cs="Times New Roman"/>
          <w:sz w:val="24"/>
          <w:szCs w:val="24"/>
          <w:lang w:val="es-ES"/>
        </w:rPr>
        <w:t>on</w:t>
      </w:r>
      <w:r w:rsidRPr="00680C36">
        <w:rPr>
          <w:rFonts w:ascii="Times New Roman" w:hAnsi="Times New Roman" w:cs="Times New Roman"/>
          <w:bCs/>
          <w:sz w:val="24"/>
          <w:szCs w:val="24"/>
          <w:lang w:val="es-ES"/>
        </w:rPr>
        <w:t xml:space="preserve"> </w:t>
      </w:r>
      <w:r w:rsidR="00725C97">
        <w:rPr>
          <w:rFonts w:ascii="Arial" w:hAnsi="Arial" w:cs="Arial"/>
          <w:lang w:val="es-PE"/>
        </w:rPr>
        <w:t>..................</w:t>
      </w:r>
      <w:r w:rsidRPr="00680C36">
        <w:rPr>
          <w:rFonts w:ascii="Times New Roman" w:hAnsi="Times New Roman" w:cs="Times New Roman"/>
          <w:bCs/>
          <w:sz w:val="24"/>
          <w:szCs w:val="24"/>
          <w:lang w:val="es-ES"/>
        </w:rPr>
        <w:t xml:space="preserve"> </w:t>
      </w:r>
      <w:r w:rsidRPr="00680C36">
        <w:rPr>
          <w:rFonts w:ascii="Times New Roman" w:hAnsi="Times New Roman" w:cs="Times New Roman"/>
          <w:sz w:val="24"/>
          <w:szCs w:val="24"/>
          <w:lang w:val="es-ES"/>
        </w:rPr>
        <w:t>y, por consiguiente,</w:t>
      </w:r>
      <w:r w:rsidRPr="00680C36">
        <w:rPr>
          <w:rFonts w:ascii="Times New Roman" w:hAnsi="Times New Roman" w:cs="Times New Roman"/>
          <w:sz w:val="24"/>
          <w:szCs w:val="24"/>
          <w:lang w:val="es-PE"/>
        </w:rPr>
        <w:t xml:space="preserve"> ratificar la</w:t>
      </w:r>
      <w:r w:rsidRPr="00680C36">
        <w:rPr>
          <w:rFonts w:ascii="Times New Roman" w:eastAsia="Times New Roman" w:hAnsi="Times New Roman" w:cs="Times New Roman"/>
          <w:sz w:val="24"/>
          <w:szCs w:val="24"/>
          <w:lang w:val="es-ES" w:eastAsia="ar-SA"/>
        </w:rPr>
        <w:t xml:space="preserve"> Resolución Nro. 021/21, del 19 de febrero de 2021 que declaró improcedente la reclamación</w:t>
      </w:r>
      <w:r w:rsidRPr="00680C36">
        <w:rPr>
          <w:rFonts w:ascii="Times New Roman" w:eastAsia="Times New Roman" w:hAnsi="Times New Roman" w:cs="Times New Roman"/>
          <w:sz w:val="24"/>
          <w:szCs w:val="24"/>
          <w:lang w:val="es-PE" w:eastAsia="es-ES"/>
        </w:rPr>
        <w:t>.</w:t>
      </w:r>
    </w:p>
    <w:p w14:paraId="64C8A1D6" w14:textId="77777777" w:rsidR="003657C9" w:rsidRPr="008E3D70" w:rsidRDefault="003657C9" w:rsidP="003657C9">
      <w:pPr>
        <w:suppressAutoHyphens/>
        <w:spacing w:after="0" w:line="240" w:lineRule="auto"/>
        <w:jc w:val="right"/>
        <w:outlineLvl w:val="0"/>
        <w:rPr>
          <w:rFonts w:ascii="Times New Roman" w:hAnsi="Times New Roman" w:cs="Times New Roman"/>
          <w:sz w:val="24"/>
          <w:szCs w:val="24"/>
          <w:lang w:val="es-PE"/>
        </w:rPr>
      </w:pPr>
    </w:p>
    <w:p w14:paraId="78A39B5B" w14:textId="6E96EAC1" w:rsidR="00077B6F" w:rsidRPr="005A4C4E" w:rsidRDefault="0091528B" w:rsidP="003657C9">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33211B">
        <w:rPr>
          <w:rFonts w:ascii="Times New Roman" w:eastAsia="Arial Unicode MS" w:hAnsi="Times New Roman" w:cs="Times New Roman"/>
          <w:sz w:val="24"/>
          <w:szCs w:val="24"/>
          <w:lang w:val="es-PE" w:eastAsia="ar-SA"/>
        </w:rPr>
        <w:t>1</w:t>
      </w:r>
      <w:r w:rsidR="00C35DA4">
        <w:rPr>
          <w:rFonts w:ascii="Times New Roman" w:eastAsia="Arial Unicode MS" w:hAnsi="Times New Roman" w:cs="Times New Roman"/>
          <w:sz w:val="24"/>
          <w:szCs w:val="24"/>
          <w:lang w:val="es-PE" w:eastAsia="ar-SA"/>
        </w:rPr>
        <w:t>9</w:t>
      </w:r>
      <w:r w:rsidR="00707C99" w:rsidRPr="005A4C4E">
        <w:rPr>
          <w:rFonts w:ascii="Times New Roman" w:eastAsia="Arial Unicode MS" w:hAnsi="Times New Roman" w:cs="Times New Roman"/>
          <w:sz w:val="24"/>
          <w:szCs w:val="24"/>
          <w:lang w:val="es-PE" w:eastAsia="ar-SA"/>
        </w:rPr>
        <w:t xml:space="preserve"> de </w:t>
      </w:r>
      <w:r w:rsidR="00BF5A34" w:rsidRPr="005A4C4E">
        <w:rPr>
          <w:rFonts w:ascii="Times New Roman" w:eastAsia="Arial Unicode MS" w:hAnsi="Times New Roman" w:cs="Times New Roman"/>
          <w:sz w:val="24"/>
          <w:szCs w:val="24"/>
          <w:lang w:val="es-PE" w:eastAsia="ar-SA"/>
        </w:rPr>
        <w:t>marzo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486C3F46" w14:textId="3443E457" w:rsidR="00C671F5" w:rsidRPr="005A4C4E"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9C57E" w14:textId="77777777" w:rsidR="00421FE0" w:rsidRDefault="00421FE0" w:rsidP="00784355">
      <w:pPr>
        <w:spacing w:after="0" w:line="240" w:lineRule="auto"/>
      </w:pPr>
      <w:r>
        <w:separator/>
      </w:r>
    </w:p>
  </w:endnote>
  <w:endnote w:type="continuationSeparator" w:id="0">
    <w:p w14:paraId="17159FB4" w14:textId="77777777" w:rsidR="00421FE0" w:rsidRDefault="00421FE0"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59DB7" w14:textId="77777777" w:rsidR="00421FE0" w:rsidRDefault="00421FE0" w:rsidP="00784355">
      <w:pPr>
        <w:spacing w:after="0" w:line="240" w:lineRule="auto"/>
      </w:pPr>
      <w:r>
        <w:separator/>
      </w:r>
    </w:p>
  </w:footnote>
  <w:footnote w:type="continuationSeparator" w:id="0">
    <w:p w14:paraId="1C1E1903" w14:textId="77777777" w:rsidR="00421FE0" w:rsidRDefault="00421FE0"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3"/>
  </w:num>
  <w:num w:numId="5">
    <w:abstractNumId w:val="5"/>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1FE0"/>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C6983"/>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5C97"/>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E3D70"/>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B7183A2-9858-4E94-BA81-B92DBEB24510}"/>
</file>

<file path=customXml/itemProps3.xml><?xml version="1.0" encoding="utf-8"?>
<ds:datastoreItem xmlns:ds="http://schemas.openxmlformats.org/officeDocument/2006/customXml" ds:itemID="{9A383FBA-F63C-4FF0-8670-79FC404E4765}"/>
</file>

<file path=customXml/itemProps4.xml><?xml version="1.0" encoding="utf-8"?>
<ds:datastoreItem xmlns:ds="http://schemas.openxmlformats.org/officeDocument/2006/customXml" ds:itemID="{B0A5C4A7-FB67-42D2-92C9-5C5ECAB50D49}"/>
</file>

<file path=docProps/app.xml><?xml version="1.0" encoding="utf-8"?>
<Properties xmlns="http://schemas.openxmlformats.org/officeDocument/2006/extended-properties" xmlns:vt="http://schemas.openxmlformats.org/officeDocument/2006/docPropsVTypes">
  <Template>Normal</Template>
  <TotalTime>265</TotalTime>
  <Pages>4</Pages>
  <Words>1897</Words>
  <Characters>10436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48</cp:revision>
  <cp:lastPrinted>2021-03-22T14:18:00Z</cp:lastPrinted>
  <dcterms:created xsi:type="dcterms:W3CDTF">2020-12-18T20:17:00Z</dcterms:created>
  <dcterms:modified xsi:type="dcterms:W3CDTF">2022-01-28T19:44:00Z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