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DF3E427" w:rsidR="00707C99" w:rsidRPr="009765CD" w:rsidRDefault="00201C0D" w:rsidP="00072C60">
      <w:pPr>
        <w:spacing w:after="0" w:line="240" w:lineRule="auto"/>
        <w:jc w:val="center"/>
        <w:rPr>
          <w:rFonts w:ascii="Times New Roman" w:hAnsi="Times New Roman" w:cs="Times New Roman"/>
          <w:b/>
          <w:sz w:val="24"/>
          <w:szCs w:val="24"/>
          <w:lang w:val="es-PE" w:eastAsia="ar-SA"/>
        </w:rPr>
      </w:pPr>
      <w:r w:rsidRPr="009765CD">
        <w:rPr>
          <w:rFonts w:ascii="Times New Roman" w:hAnsi="Times New Roman" w:cs="Times New Roman"/>
          <w:b/>
          <w:sz w:val="24"/>
          <w:szCs w:val="24"/>
          <w:lang w:val="es-PE" w:eastAsia="ar-SA"/>
        </w:rPr>
        <w:t xml:space="preserve">RESOLUCIÓN DE RECURSO IMPUGNATIVO </w:t>
      </w:r>
      <w:proofErr w:type="spellStart"/>
      <w:r w:rsidR="00707C99" w:rsidRPr="009765CD">
        <w:rPr>
          <w:rFonts w:ascii="Times New Roman" w:hAnsi="Times New Roman" w:cs="Times New Roman"/>
          <w:b/>
          <w:sz w:val="24"/>
          <w:szCs w:val="24"/>
          <w:lang w:val="es-PE" w:eastAsia="ar-SA"/>
        </w:rPr>
        <w:t>N°</w:t>
      </w:r>
      <w:proofErr w:type="spellEnd"/>
      <w:r w:rsidR="00707C99" w:rsidRPr="009765CD">
        <w:rPr>
          <w:rFonts w:ascii="Times New Roman" w:hAnsi="Times New Roman" w:cs="Times New Roman"/>
          <w:b/>
          <w:sz w:val="24"/>
          <w:szCs w:val="24"/>
          <w:lang w:val="es-PE" w:eastAsia="ar-SA"/>
        </w:rPr>
        <w:t xml:space="preserve"> </w:t>
      </w:r>
      <w:r w:rsidR="00C671F5" w:rsidRPr="009765CD">
        <w:rPr>
          <w:rFonts w:ascii="Times New Roman" w:hAnsi="Times New Roman" w:cs="Times New Roman"/>
          <w:b/>
          <w:sz w:val="24"/>
          <w:szCs w:val="24"/>
          <w:lang w:val="es-PE" w:eastAsia="ar-SA"/>
        </w:rPr>
        <w:t>0</w:t>
      </w:r>
      <w:r w:rsidR="0033211B" w:rsidRPr="009765CD">
        <w:rPr>
          <w:rFonts w:ascii="Times New Roman" w:hAnsi="Times New Roman" w:cs="Times New Roman"/>
          <w:b/>
          <w:sz w:val="24"/>
          <w:szCs w:val="24"/>
          <w:lang w:val="es-PE" w:eastAsia="ar-SA"/>
        </w:rPr>
        <w:t>2</w:t>
      </w:r>
      <w:r w:rsidR="009765CD" w:rsidRPr="009765CD">
        <w:rPr>
          <w:rFonts w:ascii="Times New Roman" w:hAnsi="Times New Roman" w:cs="Times New Roman"/>
          <w:b/>
          <w:sz w:val="24"/>
          <w:szCs w:val="24"/>
          <w:lang w:val="es-PE" w:eastAsia="ar-SA"/>
        </w:rPr>
        <w:t>5</w:t>
      </w:r>
      <w:r w:rsidR="00C671F5" w:rsidRPr="009765CD">
        <w:rPr>
          <w:rFonts w:ascii="Times New Roman" w:hAnsi="Times New Roman" w:cs="Times New Roman"/>
          <w:b/>
          <w:sz w:val="24"/>
          <w:szCs w:val="24"/>
          <w:lang w:val="es-PE" w:eastAsia="ar-SA"/>
        </w:rPr>
        <w:t>/2</w:t>
      </w:r>
      <w:r w:rsidR="00231C58" w:rsidRPr="009765CD">
        <w:rPr>
          <w:rFonts w:ascii="Times New Roman" w:hAnsi="Times New Roman" w:cs="Times New Roman"/>
          <w:b/>
          <w:sz w:val="24"/>
          <w:szCs w:val="24"/>
          <w:lang w:val="es-PE" w:eastAsia="ar-SA"/>
        </w:rPr>
        <w:t>1</w:t>
      </w:r>
    </w:p>
    <w:p w14:paraId="428240E5" w14:textId="06F06948" w:rsidR="00707C99" w:rsidRPr="009765CD" w:rsidRDefault="00707C99" w:rsidP="00072C60">
      <w:pPr>
        <w:suppressAutoHyphens/>
        <w:spacing w:after="0" w:line="240" w:lineRule="auto"/>
        <w:jc w:val="both"/>
        <w:rPr>
          <w:rFonts w:ascii="Times New Roman" w:eastAsia="Times New Roman" w:hAnsi="Times New Roman" w:cs="Times New Roman"/>
          <w:b/>
          <w:bCs/>
          <w:sz w:val="24"/>
          <w:szCs w:val="24"/>
          <w:lang w:val="es-PE" w:eastAsia="ar-SA"/>
        </w:rPr>
      </w:pPr>
    </w:p>
    <w:p w14:paraId="1132310D" w14:textId="77777777" w:rsidR="00224CEE" w:rsidRPr="009765CD" w:rsidRDefault="00224CEE" w:rsidP="00224CEE">
      <w:pPr>
        <w:suppressAutoHyphens/>
        <w:spacing w:after="0" w:line="240" w:lineRule="auto"/>
        <w:jc w:val="center"/>
        <w:rPr>
          <w:rFonts w:ascii="Times New Roman" w:eastAsia="Times New Roman" w:hAnsi="Times New Roman" w:cs="Times New Roman"/>
          <w:b/>
          <w:bCs/>
          <w:sz w:val="24"/>
          <w:szCs w:val="24"/>
          <w:lang w:val="es-PE" w:eastAsia="ar-SA"/>
        </w:rPr>
      </w:pPr>
    </w:p>
    <w:p w14:paraId="25898912" w14:textId="77777777" w:rsidR="009765CD" w:rsidRPr="009765CD" w:rsidRDefault="009765CD" w:rsidP="009765CD">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9765CD">
        <w:rPr>
          <w:rFonts w:ascii="Times New Roman" w:eastAsia="Times New Roman" w:hAnsi="Times New Roman" w:cs="Times New Roman"/>
          <w:b/>
          <w:bCs/>
          <w:sz w:val="24"/>
          <w:szCs w:val="24"/>
          <w:lang w:val="es-MX" w:eastAsia="ar-SA"/>
        </w:rPr>
        <w:t>Vistos:</w:t>
      </w:r>
    </w:p>
    <w:p w14:paraId="285C423F" w14:textId="77777777" w:rsidR="009765CD" w:rsidRPr="009765CD" w:rsidRDefault="009765CD" w:rsidP="009765CD">
      <w:pPr>
        <w:suppressAutoHyphens/>
        <w:spacing w:after="0" w:line="240" w:lineRule="auto"/>
        <w:jc w:val="both"/>
        <w:rPr>
          <w:rFonts w:ascii="Times New Roman" w:eastAsia="Times New Roman" w:hAnsi="Times New Roman" w:cs="Times New Roman"/>
          <w:b/>
          <w:bCs/>
          <w:sz w:val="24"/>
          <w:szCs w:val="24"/>
          <w:lang w:val="es-MX" w:eastAsia="ar-SA"/>
        </w:rPr>
      </w:pPr>
      <w:r w:rsidRPr="009765CD">
        <w:rPr>
          <w:rFonts w:ascii="Times New Roman" w:eastAsia="Times New Roman" w:hAnsi="Times New Roman" w:cs="Times New Roman"/>
          <w:b/>
          <w:bCs/>
          <w:sz w:val="24"/>
          <w:szCs w:val="24"/>
          <w:lang w:val="es-MX" w:eastAsia="ar-SA"/>
        </w:rPr>
        <w:t xml:space="preserve">   </w:t>
      </w:r>
    </w:p>
    <w:p w14:paraId="76662208" w14:textId="1A75DCAD" w:rsidR="009765CD" w:rsidRPr="009765CD" w:rsidRDefault="009765CD" w:rsidP="009765CD">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r w:rsidRPr="009765CD">
        <w:rPr>
          <w:rFonts w:ascii="Times New Roman" w:eastAsia="Times New Roman" w:hAnsi="Times New Roman" w:cs="Times New Roman"/>
          <w:sz w:val="24"/>
          <w:szCs w:val="24"/>
          <w:lang w:val="es-ES" w:eastAsia="ar-SA"/>
        </w:rPr>
        <w:t xml:space="preserve">El recurso de impugnación presentado el 23 de febrero de 2021 por </w:t>
      </w:r>
      <w:r w:rsidR="001968D9">
        <w:rPr>
          <w:rFonts w:ascii="Arial" w:hAnsi="Arial" w:cs="Arial"/>
          <w:lang w:val="es-PE"/>
        </w:rPr>
        <w:t>..................</w:t>
      </w:r>
      <w:r w:rsidRPr="009765CD">
        <w:rPr>
          <w:rFonts w:ascii="Times New Roman" w:eastAsia="Times New Roman" w:hAnsi="Times New Roman" w:cs="Times New Roman"/>
          <w:sz w:val="24"/>
          <w:szCs w:val="24"/>
          <w:lang w:val="es-ES" w:eastAsia="ar-SA"/>
        </w:rPr>
        <w:t xml:space="preserve"> respecto de la Resolución Nro. 018/21, del 16 de febrero de 2021, emitida por esta Defensoría del Asegurado (DEFASEG), que declaró FUNDADA la</w:t>
      </w:r>
      <w:r w:rsidRPr="009765CD">
        <w:rPr>
          <w:rFonts w:ascii="Times New Roman" w:eastAsia="Arial Unicode MS" w:hAnsi="Times New Roman" w:cs="Times New Roman"/>
          <w:sz w:val="24"/>
          <w:szCs w:val="24"/>
          <w:lang w:val="es-PE"/>
        </w:rPr>
        <w:t xml:space="preserve"> reclamación </w:t>
      </w:r>
      <w:bookmarkStart w:id="0" w:name="OLE_LINK2"/>
      <w:r w:rsidRPr="009765CD">
        <w:rPr>
          <w:rFonts w:ascii="Times New Roman" w:eastAsia="Arial Unicode MS" w:hAnsi="Times New Roman" w:cs="Times New Roman"/>
          <w:sz w:val="24"/>
          <w:szCs w:val="24"/>
          <w:lang w:val="es-PE"/>
        </w:rPr>
        <w:t xml:space="preserve">presentada por </w:t>
      </w:r>
      <w:r w:rsidRPr="009765CD">
        <w:rPr>
          <w:rFonts w:ascii="Times New Roman" w:eastAsia="Times New Roman" w:hAnsi="Times New Roman" w:cs="Times New Roman"/>
          <w:sz w:val="24"/>
          <w:szCs w:val="24"/>
          <w:lang w:val="es-PE" w:eastAsia="es-ES"/>
        </w:rPr>
        <w:t xml:space="preserve">don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sz w:val="24"/>
          <w:szCs w:val="24"/>
          <w:lang w:val="es-PE" w:eastAsia="es-ES"/>
        </w:rPr>
        <w:t>sobre otorgamiento de cobertura al siniestro del 25 de agosto de 2020 y que corresponde a su hospitalización y tratamiento médico por</w:t>
      </w:r>
      <w:r w:rsidRPr="009765CD">
        <w:rPr>
          <w:rFonts w:ascii="Times New Roman" w:hAnsi="Times New Roman" w:cs="Times New Roman"/>
          <w:sz w:val="24"/>
          <w:szCs w:val="24"/>
          <w:lang w:val="es-ES" w:eastAsia="es-ES"/>
        </w:rPr>
        <w:t xml:space="preserve"> COVID-19</w:t>
      </w:r>
      <w:r w:rsidRPr="009765CD">
        <w:rPr>
          <w:rFonts w:ascii="Times New Roman" w:eastAsia="Times New Roman" w:hAnsi="Times New Roman" w:cs="Times New Roman"/>
          <w:sz w:val="24"/>
          <w:szCs w:val="24"/>
          <w:lang w:val="es-PE" w:eastAsia="es-ES"/>
        </w:rPr>
        <w:t xml:space="preserve">, de acuerdo a los términos y condiciones del </w:t>
      </w:r>
      <w:r w:rsidRPr="009765CD">
        <w:rPr>
          <w:rFonts w:ascii="Times New Roman" w:hAnsi="Times New Roman" w:cs="Times New Roman"/>
          <w:bCs/>
          <w:sz w:val="24"/>
          <w:szCs w:val="24"/>
          <w:lang w:val="es-ES"/>
        </w:rPr>
        <w:t xml:space="preserve">Seguro de </w:t>
      </w:r>
      <w:r w:rsidRPr="009765CD">
        <w:rPr>
          <w:rFonts w:ascii="Times New Roman" w:hAnsi="Times New Roman" w:cs="Times New Roman"/>
          <w:sz w:val="24"/>
          <w:szCs w:val="24"/>
          <w:lang w:val="es-ES"/>
        </w:rPr>
        <w:t xml:space="preserve">Asistencia Médica Familiar – Póliza Nro. </w:t>
      </w:r>
      <w:r w:rsidR="001968D9">
        <w:rPr>
          <w:rFonts w:ascii="Arial" w:hAnsi="Arial" w:cs="Arial"/>
          <w:lang w:val="es-PE"/>
        </w:rPr>
        <w:t>..................</w:t>
      </w:r>
      <w:r w:rsidRPr="009765CD">
        <w:rPr>
          <w:rFonts w:ascii="Times New Roman" w:hAnsi="Times New Roman" w:cs="Times New Roman"/>
          <w:sz w:val="24"/>
          <w:szCs w:val="24"/>
          <w:lang w:val="es-ES"/>
        </w:rPr>
        <w:t>;</w:t>
      </w:r>
    </w:p>
    <w:bookmarkEnd w:id="0"/>
    <w:p w14:paraId="4734811F" w14:textId="77777777" w:rsidR="009765CD" w:rsidRPr="009765CD" w:rsidRDefault="009765CD" w:rsidP="009765CD">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Arial Unicode MS" w:hAnsi="Times New Roman" w:cs="Times New Roman"/>
          <w:sz w:val="24"/>
          <w:szCs w:val="24"/>
          <w:lang w:val="es-PE"/>
        </w:rPr>
      </w:pPr>
    </w:p>
    <w:p w14:paraId="444A519C" w14:textId="30AE9CAB"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r w:rsidRPr="009765CD">
        <w:rPr>
          <w:rFonts w:ascii="Times New Roman" w:eastAsia="Times New Roman" w:hAnsi="Times New Roman" w:cs="Times New Roman"/>
          <w:bCs/>
          <w:sz w:val="24"/>
          <w:szCs w:val="24"/>
          <w:lang w:val="es-MX" w:eastAsia="ar-SA"/>
        </w:rPr>
        <w:t xml:space="preserve">Que, a través del señalado recurso, invocando la tutela jurisdiccional derivada de la Constitución Política del Perú, del Código Procesal Civil y del principio de verdad material,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 xml:space="preserve">interpone impugnación contra lo resuelto por la DEFASEG en primera instancia, sobre la base de los argumentos expuestos resumidamente a continuación: a)  La resolución recurrida no se ha pronunciado sobre cada uno de los argumentos y medios de prueba de </w:t>
      </w:r>
      <w:r w:rsidR="001968D9">
        <w:rPr>
          <w:rFonts w:ascii="Arial" w:hAnsi="Arial" w:cs="Arial"/>
          <w:lang w:val="es-PE"/>
        </w:rPr>
        <w:t>..................</w:t>
      </w:r>
      <w:r w:rsidRPr="009765CD">
        <w:rPr>
          <w:rFonts w:ascii="Times New Roman" w:eastAsia="Times New Roman" w:hAnsi="Times New Roman" w:cs="Times New Roman"/>
          <w:bCs/>
          <w:sz w:val="24"/>
          <w:szCs w:val="24"/>
          <w:lang w:val="es-MX" w:eastAsia="ar-SA"/>
        </w:rPr>
        <w:t xml:space="preserve">, obviando y vulnerando el derecho a la debida motivación y a la congruencia procesal, debiendo haber justificado por qué no se acogió los argumentos de </w:t>
      </w:r>
      <w:r w:rsidR="001968D9">
        <w:rPr>
          <w:rFonts w:ascii="Arial" w:hAnsi="Arial" w:cs="Arial"/>
          <w:lang w:val="es-PE"/>
        </w:rPr>
        <w:t>..................</w:t>
      </w:r>
      <w:r w:rsidRPr="009765CD">
        <w:rPr>
          <w:rFonts w:ascii="Times New Roman" w:eastAsia="Times New Roman" w:hAnsi="Times New Roman" w:cs="Times New Roman"/>
          <w:bCs/>
          <w:sz w:val="24"/>
          <w:szCs w:val="24"/>
          <w:lang w:val="es-MX" w:eastAsia="ar-SA"/>
        </w:rPr>
        <w:t xml:space="preserve">, siendo que además, la DEFASEG no ha verificado si es competente o no para conocer la reclamación en razón de su cuantía, no habiendo requerido al asegurado que señale el monto exacto de su reclamación, b) De acuerdo al escrito de reclamación se aprecia que el asegurado sí recibió y sí conocía de las cláusulas contractuales y de las exclusiones, c) Al día siguiente al inicio de la cobertura, el 25 de agosto de 2020, ante los síntomas presentados y la sospecha que fuese COVID-19, el asegurado se comunica con la médica del MVCS, la que le recomienda que se practique una serie de análisis, y recurre a la Clínica Limatambo, autorizándose por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 xml:space="preserve">la respectiva atención, siendo que ante el médico tratante el asegurado expresa que ya padece los síntomas desde días anteriores, siendo que de la tomografía realizada se advierte que tiene comprometido el 40% de los pulmones, lo cual evidencia que no se trata de una enfermedad reciente, argumento que no ha sido considerado por la DEFASEG al momento de resolver, d) El día anterior, el 24 de agosto de 2020 el asegurado se había sometido a una prueba molecular para descartar COVID-19 en el Hospital Hipólito Unanue, cuyo resultado positivo fue publicado el 27 de agosto de 2020 en la página web del Instituto Nacional de Salud, cuando ya estaba internado en la Clínica Limatambo, siendo que el asegurado en momento alguno informó a ésta sobre tal prueba, e) Siendo que el asegurado no autorizó a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 xml:space="preserve">el acceso a su historial médico completo en la Clínica Limatambo y en el Hospital Hipólito Unanue, solicita que en ejercicio de sus atribuciones legales, la DEFASEG requiera dicha información a los señalados establecimientos, para poder conocer la preexistencia del COVID-19, f) La carta de rechazo se sustenta en la condición de preexistencia, la misma que era evidente por la sintomatología presentada, el tratamiento médico que llevaba el asegurado, y los resultados de las pruebas realizadas (pulmones); en consecuencia,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 xml:space="preserve">niega, contradice y rechaza las afirmaciones del reclamante, que además no están concatenadas, expresado su disconformidad por lo resuelto por la DEFASEG porque el asegurado a la fecha de contratación ya presentaba sintomatología y tratamiento médico por COVID-19,  al margen que los resultados fuesen de días después, encontrándose hospitalizado para salvar su vida, que llevaba el asegurado, enfermedad que fue diagnosticada por inicio de sintomatología por un médico especialista el 18 de agosto de 2020, g) Cuando el actual reclamante ya estaba delicado de salud por el COVID-19, el MVCS solicitó su incorporación urgente al seguro, el 24 de agosto de 2020, </w:t>
      </w:r>
      <w:r w:rsidRPr="009765CD">
        <w:rPr>
          <w:rFonts w:ascii="Times New Roman" w:eastAsia="Times New Roman" w:hAnsi="Times New Roman" w:cs="Times New Roman"/>
          <w:bCs/>
          <w:sz w:val="24"/>
          <w:szCs w:val="24"/>
          <w:lang w:val="es-MX" w:eastAsia="ar-SA"/>
        </w:rPr>
        <w:lastRenderedPageBreak/>
        <w:t xml:space="preserve">siendo que en la respectiva declaración  de salud, el actual reclamante negó padecer enfermedades, no informando sobre las pruebas a las que se había sometido ante su sintomatología, pruebas que concluyen en un inicio de la enfermedad al 18 de agosto de 2020, conforme fue demostrado en su oportunidad, h) Siendo que la prueba molecular se realizó a las 12 horas del 24 de agosto de 2020, la misma que arrojó un resultado positivo de COVID-19, y la incorporación al seguro se solicitó a las 16:01 horas de dicho día, previa declaración de salud, queda demostrado que el asegurado </w:t>
      </w:r>
      <w:proofErr w:type="spellStart"/>
      <w:r w:rsidRPr="009765CD">
        <w:rPr>
          <w:rFonts w:ascii="Times New Roman" w:eastAsia="Times New Roman" w:hAnsi="Times New Roman" w:cs="Times New Roman"/>
          <w:bCs/>
          <w:sz w:val="24"/>
          <w:szCs w:val="24"/>
          <w:lang w:val="es-MX" w:eastAsia="ar-SA"/>
        </w:rPr>
        <w:t>tenia</w:t>
      </w:r>
      <w:proofErr w:type="spellEnd"/>
      <w:r w:rsidRPr="009765CD">
        <w:rPr>
          <w:rFonts w:ascii="Times New Roman" w:eastAsia="Times New Roman" w:hAnsi="Times New Roman" w:cs="Times New Roman"/>
          <w:bCs/>
          <w:sz w:val="24"/>
          <w:szCs w:val="24"/>
          <w:lang w:val="es-MX" w:eastAsia="ar-SA"/>
        </w:rPr>
        <w:t xml:space="preserve"> pleno conocimiento de su diagnóstico de COVID-19 por descartar, presentando una sintomatología que no informó en su declaración de salud al incorporarse a la póliza, siendo que en el Hospital Hipólito Unanue debe obrar dicho diagnóstico, razón por la que la DEFASEG debe requerir a dicho hospital a la Clínica Limatambo la remisión de las historias clínicas completas del asegurado, de conformidad con sus facultades, para lograr una solución transparente al presente caso, ello sin perjuicio que en la propia hoja de atención del 25 de agosto de 2020 en la Clínica Limatambo, en la evaluación inicial de Emergencia, se indica 7 días como tiempo de enfermedad, e i) Conforme a lo anterior, el rechazo está sustentado porque antes de la incorporación a la póliza, el asegurado ya presentaba síntomas de COVID-19;</w:t>
      </w:r>
    </w:p>
    <w:p w14:paraId="7229B538" w14:textId="77777777"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p>
    <w:p w14:paraId="451A2698" w14:textId="79480560"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r w:rsidRPr="009765CD">
        <w:rPr>
          <w:rFonts w:ascii="Times New Roman" w:eastAsia="Times New Roman" w:hAnsi="Times New Roman" w:cs="Times New Roman"/>
          <w:bCs/>
          <w:sz w:val="24"/>
          <w:szCs w:val="24"/>
          <w:lang w:val="es-MX" w:eastAsia="ar-SA"/>
        </w:rPr>
        <w:t xml:space="preserve">Que, habiéndose corrido traslado al asegurado de dicha impugnación, con fecha 4 de marzo de 2021 absolvió el trámite, destacando resumidamente lo siguiente: a) Tratándose de la cuantía de la reclamación, se presenta documentación </w:t>
      </w:r>
      <w:proofErr w:type="spellStart"/>
      <w:r w:rsidRPr="009765CD">
        <w:rPr>
          <w:rFonts w:ascii="Times New Roman" w:eastAsia="Times New Roman" w:hAnsi="Times New Roman" w:cs="Times New Roman"/>
          <w:bCs/>
          <w:sz w:val="24"/>
          <w:szCs w:val="24"/>
          <w:lang w:val="es-MX" w:eastAsia="ar-SA"/>
        </w:rPr>
        <w:t>sustentatoria</w:t>
      </w:r>
      <w:proofErr w:type="spellEnd"/>
      <w:r w:rsidRPr="009765CD">
        <w:rPr>
          <w:rFonts w:ascii="Times New Roman" w:eastAsia="Times New Roman" w:hAnsi="Times New Roman" w:cs="Times New Roman"/>
          <w:bCs/>
          <w:sz w:val="24"/>
          <w:szCs w:val="24"/>
          <w:lang w:val="es-MX" w:eastAsia="ar-SA"/>
        </w:rPr>
        <w:t xml:space="preserve"> por la suma de S/. 39,906.89, según liquidación de la Clínica Limatambo, b) Tratándose del conocimiento de los términos y condiciones del contrato y, de las exclusiones en particular, según los documentos que obran en el expediente, lo que suscribió fue las Tabla de Beneficios de Asistencia Médica Familiar, c) Sobre su conocimiento de la enfermedad, no es cierto lo que señala la aseguradora, porque recién se entera de la enfermedad el 25 de agosto de 2020, cuando acude a la clínica para que se le brinde atención, siendo que a la fecha de su declaración de salud no tenía ningún diagnostico ni tratamiento indicado por algún médico, d) Respecto a su inclusión urgente en la póliza, ello obedece a un requerimiento del contratante de la póliza, el MVCS, no de su persona como afirma la aseguradora, y </w:t>
      </w:r>
      <w:proofErr w:type="spellStart"/>
      <w:r w:rsidRPr="009765CD">
        <w:rPr>
          <w:rFonts w:ascii="Times New Roman" w:eastAsia="Times New Roman" w:hAnsi="Times New Roman" w:cs="Times New Roman"/>
          <w:bCs/>
          <w:sz w:val="24"/>
          <w:szCs w:val="24"/>
          <w:lang w:val="es-MX" w:eastAsia="ar-SA"/>
        </w:rPr>
        <w:t>e</w:t>
      </w:r>
      <w:proofErr w:type="spellEnd"/>
      <w:r w:rsidRPr="009765CD">
        <w:rPr>
          <w:rFonts w:ascii="Times New Roman" w:eastAsia="Times New Roman" w:hAnsi="Times New Roman" w:cs="Times New Roman"/>
          <w:bCs/>
          <w:sz w:val="24"/>
          <w:szCs w:val="24"/>
          <w:lang w:val="es-MX" w:eastAsia="ar-SA"/>
        </w:rPr>
        <w:t xml:space="preserve">) Respecto a las pruebas seguida sobre el COVID-19, las pruebas molecular y rápida fueron del 24 y 25 de agosto de 2020, respectivamente, siendo que el resultado positivo de la primera fue del 27 de agosto, y de la segunda, como resultado negativo, del mismo 25 de agosto de 2020. Conforme se aprecia, lo cierto y probado es que el rechazo de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carece de sustento, careciendo de sustento respecto de la exclusión invocada para fines del rechazo, por lo que debe ejecutarse lo ya resuelto por la DEFASEG;</w:t>
      </w:r>
    </w:p>
    <w:p w14:paraId="17477BCC" w14:textId="77777777"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p>
    <w:p w14:paraId="2C650E23" w14:textId="53F1F8D5"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r w:rsidRPr="009765CD">
        <w:rPr>
          <w:rFonts w:ascii="Times New Roman" w:eastAsia="Times New Roman" w:hAnsi="Times New Roman" w:cs="Times New Roman"/>
          <w:bCs/>
          <w:sz w:val="24"/>
          <w:szCs w:val="24"/>
          <w:lang w:val="es-MX" w:eastAsia="ar-SA"/>
        </w:rPr>
        <w:t xml:space="preserve">Que, con fecha 10 de agosto de 2021, </w:t>
      </w:r>
      <w:r w:rsidR="001968D9">
        <w:rPr>
          <w:rFonts w:ascii="Arial" w:hAnsi="Arial" w:cs="Arial"/>
          <w:lang w:val="es-PE"/>
        </w:rPr>
        <w:t>..................</w:t>
      </w:r>
      <w:r w:rsidR="001968D9">
        <w:rPr>
          <w:rFonts w:ascii="Arial" w:hAnsi="Arial" w:cs="Arial"/>
          <w:lang w:val="es-PE"/>
        </w:rPr>
        <w:t xml:space="preserve"> </w:t>
      </w:r>
      <w:r w:rsidRPr="009765CD">
        <w:rPr>
          <w:rFonts w:ascii="Times New Roman" w:eastAsia="Times New Roman" w:hAnsi="Times New Roman" w:cs="Times New Roman"/>
          <w:bCs/>
          <w:sz w:val="24"/>
          <w:szCs w:val="24"/>
          <w:lang w:val="es-MX" w:eastAsia="ar-SA"/>
        </w:rPr>
        <w:t>presentó un escrito complementario, acompañando cuatro documentos como medios probatorios para, en general, mejor resolver;</w:t>
      </w:r>
    </w:p>
    <w:p w14:paraId="3BDC2411" w14:textId="77777777"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p>
    <w:p w14:paraId="0760615E" w14:textId="77777777" w:rsidR="009765CD" w:rsidRPr="009765CD" w:rsidRDefault="009765CD" w:rsidP="009765CD">
      <w:pPr>
        <w:suppressAutoHyphens/>
        <w:spacing w:after="0" w:line="240" w:lineRule="auto"/>
        <w:jc w:val="both"/>
        <w:rPr>
          <w:rFonts w:ascii="Times New Roman" w:hAnsi="Times New Roman" w:cs="Times New Roman"/>
          <w:bCs/>
          <w:sz w:val="24"/>
          <w:szCs w:val="24"/>
          <w:lang w:val="es-ES"/>
        </w:rPr>
      </w:pPr>
      <w:r w:rsidRPr="009765CD">
        <w:rPr>
          <w:rFonts w:ascii="Times New Roman" w:hAnsi="Times New Roman" w:cs="Times New Roman"/>
          <w:bCs/>
          <w:sz w:val="24"/>
          <w:szCs w:val="24"/>
          <w:lang w:val="es-ES"/>
        </w:rPr>
        <w:t>Que, ambas partes han tenido la oportunidad para ejercer su derecho de defensa, siendo que este colegiado estima que está suficientemente informado para resolver de manera definitiva sobre la reclamación, atendiendo a la impugnación de la</w:t>
      </w:r>
      <w:r w:rsidRPr="009765CD">
        <w:rPr>
          <w:rFonts w:ascii="Times New Roman" w:eastAsia="Times New Roman" w:hAnsi="Times New Roman" w:cs="Times New Roman"/>
          <w:sz w:val="24"/>
          <w:szCs w:val="24"/>
          <w:lang w:val="es-ES" w:eastAsia="ar-SA"/>
        </w:rPr>
        <w:t xml:space="preserve"> Resolución Nro. 018/21, del 16 de febrero de 2021</w:t>
      </w:r>
      <w:r w:rsidRPr="009765CD">
        <w:rPr>
          <w:rFonts w:ascii="Times New Roman" w:hAnsi="Times New Roman" w:cs="Times New Roman"/>
          <w:bCs/>
          <w:sz w:val="24"/>
          <w:szCs w:val="24"/>
          <w:lang w:val="es-ES"/>
        </w:rPr>
        <w:t>;</w:t>
      </w:r>
    </w:p>
    <w:p w14:paraId="178407AD" w14:textId="77777777"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p>
    <w:p w14:paraId="3F2737FD" w14:textId="77777777" w:rsidR="009765CD" w:rsidRPr="009765CD" w:rsidRDefault="009765CD" w:rsidP="009765CD">
      <w:pPr>
        <w:suppressAutoHyphens/>
        <w:spacing w:after="0" w:line="240" w:lineRule="auto"/>
        <w:jc w:val="both"/>
        <w:rPr>
          <w:rFonts w:ascii="Times New Roman" w:eastAsia="Times New Roman" w:hAnsi="Times New Roman" w:cs="Times New Roman"/>
          <w:bCs/>
          <w:sz w:val="24"/>
          <w:szCs w:val="24"/>
          <w:lang w:val="es-MX" w:eastAsia="ar-SA"/>
        </w:rPr>
      </w:pPr>
      <w:r w:rsidRPr="009765CD">
        <w:rPr>
          <w:rFonts w:ascii="Times New Roman" w:eastAsia="Times New Roman" w:hAnsi="Times New Roman" w:cs="Times New Roman"/>
          <w:b/>
          <w:bCs/>
          <w:sz w:val="24"/>
          <w:szCs w:val="24"/>
          <w:lang w:val="es-MX" w:eastAsia="ar-SA"/>
        </w:rPr>
        <w:t>Considerando:</w:t>
      </w:r>
    </w:p>
    <w:p w14:paraId="5E9BAAF7" w14:textId="77777777" w:rsidR="009765CD" w:rsidRPr="009765CD" w:rsidRDefault="009765CD" w:rsidP="009765CD">
      <w:pPr>
        <w:suppressAutoHyphens/>
        <w:spacing w:after="0" w:line="240" w:lineRule="auto"/>
        <w:jc w:val="both"/>
        <w:rPr>
          <w:rFonts w:ascii="Times New Roman" w:eastAsia="Times New Roman" w:hAnsi="Times New Roman" w:cs="Times New Roman"/>
          <w:sz w:val="24"/>
          <w:szCs w:val="24"/>
          <w:lang w:val="es-ES" w:eastAsia="ar-SA"/>
        </w:rPr>
      </w:pPr>
    </w:p>
    <w:p w14:paraId="14FABF91" w14:textId="77777777" w:rsidR="009765CD" w:rsidRPr="009765CD" w:rsidRDefault="009765CD" w:rsidP="009765CD">
      <w:pPr>
        <w:spacing w:after="0" w:line="240" w:lineRule="auto"/>
        <w:jc w:val="both"/>
        <w:rPr>
          <w:rFonts w:ascii="Times New Roman" w:hAnsi="Times New Roman" w:cs="Times New Roman"/>
          <w:sz w:val="24"/>
          <w:szCs w:val="24"/>
          <w:lang w:val="es-PE"/>
        </w:rPr>
      </w:pPr>
      <w:r w:rsidRPr="009765CD">
        <w:rPr>
          <w:rFonts w:ascii="Times New Roman" w:hAnsi="Times New Roman" w:cs="Times New Roman"/>
          <w:b/>
          <w:sz w:val="24"/>
          <w:szCs w:val="24"/>
          <w:u w:val="single"/>
          <w:lang w:val="es-PE"/>
        </w:rPr>
        <w:t>Primero</w:t>
      </w:r>
      <w:r w:rsidRPr="009765CD">
        <w:rPr>
          <w:rFonts w:ascii="Times New Roman" w:hAnsi="Times New Roman" w:cs="Times New Roman"/>
          <w:b/>
          <w:sz w:val="24"/>
          <w:szCs w:val="24"/>
          <w:lang w:val="es-PE"/>
        </w:rPr>
        <w:t>:</w:t>
      </w:r>
      <w:r w:rsidRPr="009765CD">
        <w:rPr>
          <w:rFonts w:ascii="Times New Roman" w:hAnsi="Times New Roman" w:cs="Times New Roman"/>
          <w:sz w:val="24"/>
          <w:szCs w:val="24"/>
          <w:lang w:val="es-PE"/>
        </w:rPr>
        <w:t xml:space="preserve"> El Reglamento de la DEFASEG </w:t>
      </w:r>
      <w:r w:rsidRPr="009765CD">
        <w:rPr>
          <w:rFonts w:ascii="Times New Roman" w:eastAsia="Arial Unicode MS" w:hAnsi="Times New Roman" w:cs="Times New Roman"/>
          <w:sz w:val="24"/>
          <w:szCs w:val="24"/>
          <w:lang w:val="es-PE"/>
        </w:rPr>
        <w:t xml:space="preserve">(http://www.defaseg.com.pe/reglamento), en su artículo 10, </w:t>
      </w:r>
      <w:r w:rsidRPr="009765CD">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w:t>
      </w:r>
      <w:r w:rsidRPr="009765CD">
        <w:rPr>
          <w:rFonts w:ascii="Times New Roman" w:hAnsi="Times New Roman" w:cs="Times New Roman"/>
          <w:sz w:val="24"/>
          <w:szCs w:val="24"/>
          <w:lang w:val="es-PE"/>
        </w:rPr>
        <w:lastRenderedPageBreak/>
        <w:t xml:space="preserve">complementaria, el artículo 11 del indicado reglamento dispone que, el </w:t>
      </w:r>
      <w:r w:rsidRPr="009765CD">
        <w:rPr>
          <w:rFonts w:ascii="Times New Roman" w:hAnsi="Times New Roman" w:cs="Times New Roman"/>
          <w:sz w:val="24"/>
          <w:szCs w:val="24"/>
          <w:lang w:val="es-ES"/>
        </w:rPr>
        <w:t>usuario de seguro recurre en forma voluntaria a la Defensoría, siendo que la presentación de una reclamación n</w:t>
      </w:r>
      <w:r w:rsidRPr="009765CD">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14:paraId="7293DE7C" w14:textId="77777777" w:rsidR="009765CD" w:rsidRPr="009765CD" w:rsidRDefault="009765CD" w:rsidP="009765CD">
      <w:pPr>
        <w:spacing w:after="0" w:line="240" w:lineRule="auto"/>
        <w:jc w:val="both"/>
        <w:rPr>
          <w:rFonts w:ascii="Times New Roman" w:hAnsi="Times New Roman" w:cs="Times New Roman"/>
          <w:sz w:val="24"/>
          <w:szCs w:val="24"/>
          <w:lang w:val="es-PE"/>
        </w:rPr>
      </w:pPr>
    </w:p>
    <w:p w14:paraId="2DCB3FD2" w14:textId="646E64B5" w:rsidR="009765CD" w:rsidRPr="009765CD" w:rsidRDefault="009765CD" w:rsidP="009765CD">
      <w:pPr>
        <w:tabs>
          <w:tab w:val="left" w:pos="0"/>
          <w:tab w:val="left" w:pos="2160"/>
        </w:tabs>
        <w:spacing w:after="0" w:line="240" w:lineRule="auto"/>
        <w:jc w:val="both"/>
        <w:rPr>
          <w:rFonts w:ascii="Times New Roman" w:hAnsi="Times New Roman" w:cs="Times New Roman"/>
          <w:bCs/>
          <w:sz w:val="24"/>
          <w:szCs w:val="24"/>
          <w:lang w:val="es-PE"/>
        </w:rPr>
      </w:pPr>
      <w:r w:rsidRPr="009765CD">
        <w:rPr>
          <w:rFonts w:ascii="Times New Roman" w:hAnsi="Times New Roman" w:cs="Times New Roman"/>
          <w:b/>
          <w:sz w:val="24"/>
          <w:szCs w:val="24"/>
          <w:u w:val="single"/>
          <w:lang w:val="es-PE"/>
        </w:rPr>
        <w:t>Segundo</w:t>
      </w:r>
      <w:r w:rsidRPr="009765CD">
        <w:rPr>
          <w:rFonts w:ascii="Times New Roman" w:hAnsi="Times New Roman" w:cs="Times New Roman"/>
          <w:b/>
          <w:sz w:val="24"/>
          <w:szCs w:val="24"/>
          <w:lang w:val="es-PE"/>
        </w:rPr>
        <w:t xml:space="preserve">: </w:t>
      </w:r>
      <w:r w:rsidRPr="009765CD">
        <w:rPr>
          <w:rFonts w:ascii="Times New Roman" w:hAnsi="Times New Roman" w:cs="Times New Roman"/>
          <w:bCs/>
          <w:sz w:val="24"/>
          <w:szCs w:val="24"/>
          <w:lang w:val="es-PE"/>
        </w:rPr>
        <w:t xml:space="preserve">Atendiendo a lo que son argumentaciones recurrentes de </w:t>
      </w:r>
      <w:r w:rsidR="001968D9">
        <w:rPr>
          <w:rFonts w:ascii="Arial" w:hAnsi="Arial" w:cs="Arial"/>
          <w:lang w:val="es-PE"/>
        </w:rPr>
        <w:t>..................</w:t>
      </w:r>
      <w:r w:rsidR="001968D9">
        <w:rPr>
          <w:rFonts w:ascii="Arial" w:hAnsi="Arial" w:cs="Arial"/>
          <w:lang w:val="es-PE"/>
        </w:rPr>
        <w:t xml:space="preserve"> </w:t>
      </w:r>
      <w:r w:rsidRPr="009765CD">
        <w:rPr>
          <w:rFonts w:ascii="Times New Roman" w:hAnsi="Times New Roman" w:cs="Times New Roman"/>
          <w:bCs/>
          <w:sz w:val="24"/>
          <w:szCs w:val="24"/>
          <w:lang w:val="es-PE"/>
        </w:rPr>
        <w:t>en este y en otros procesos, esta Defensoría estima pertinente destacar lo siguiente:</w:t>
      </w:r>
    </w:p>
    <w:p w14:paraId="695C3008" w14:textId="77777777" w:rsidR="009765CD" w:rsidRPr="009765CD" w:rsidRDefault="009765CD" w:rsidP="009765CD">
      <w:pPr>
        <w:tabs>
          <w:tab w:val="left" w:pos="0"/>
          <w:tab w:val="left" w:pos="2160"/>
        </w:tabs>
        <w:spacing w:after="0" w:line="240" w:lineRule="auto"/>
        <w:jc w:val="both"/>
        <w:rPr>
          <w:rFonts w:ascii="Times New Roman" w:hAnsi="Times New Roman" w:cs="Times New Roman"/>
          <w:bCs/>
          <w:sz w:val="24"/>
          <w:szCs w:val="24"/>
          <w:lang w:val="es-PE"/>
        </w:rPr>
      </w:pPr>
    </w:p>
    <w:p w14:paraId="10AB8D75" w14:textId="64FE9C03" w:rsidR="009765CD" w:rsidRPr="009765CD" w:rsidRDefault="009765CD" w:rsidP="009765CD">
      <w:pPr>
        <w:tabs>
          <w:tab w:val="left" w:pos="0"/>
          <w:tab w:val="left" w:pos="709"/>
          <w:tab w:val="left" w:pos="2160"/>
        </w:tabs>
        <w:spacing w:after="0" w:line="240" w:lineRule="auto"/>
        <w:ind w:left="705" w:hanging="705"/>
        <w:jc w:val="both"/>
        <w:rPr>
          <w:rFonts w:ascii="Times New Roman" w:hAnsi="Times New Roman" w:cs="Times New Roman"/>
          <w:bCs/>
          <w:sz w:val="24"/>
          <w:szCs w:val="24"/>
          <w:lang w:val="es-PE"/>
        </w:rPr>
      </w:pPr>
      <w:r w:rsidRPr="009765CD">
        <w:rPr>
          <w:rFonts w:ascii="Times New Roman" w:hAnsi="Times New Roman" w:cs="Times New Roman"/>
          <w:bCs/>
          <w:sz w:val="24"/>
          <w:szCs w:val="24"/>
          <w:lang w:val="es-PE"/>
        </w:rPr>
        <w:t>2.1.</w:t>
      </w:r>
      <w:r w:rsidRPr="009765CD">
        <w:rPr>
          <w:rFonts w:ascii="Times New Roman" w:hAnsi="Times New Roman" w:cs="Times New Roman"/>
          <w:bCs/>
          <w:sz w:val="24"/>
          <w:szCs w:val="24"/>
          <w:lang w:val="es-PE"/>
        </w:rPr>
        <w:tab/>
        <w:t xml:space="preserve">Tal como se cuidó de expresar en la resolución recurrida, la DEFASEG no es un ente administrativo, sujeto a los principios, reglas y normas que regulan a los procesos administrativos, menos jurisdiccionales (judicial o arbitral), siendo que corresponde a cada una de las partes asumir plenamente su carga probatoria de acreditar lo que sostiene, o de lo que invoca para contradecir a la parte contraria.  La DEFASEG es un organismo privado que carece de competencia jurisdiccional, por lo que no puede formular requerimientos o apercibimientos a terceras personas o que no estén previstos en su reglamento.  La DEFASEG es un organismo regulado por las empresas de seguros, entre ellas, </w:t>
      </w:r>
      <w:r w:rsidR="001968D9">
        <w:rPr>
          <w:rFonts w:ascii="Arial" w:hAnsi="Arial" w:cs="Arial"/>
          <w:lang w:val="es-PE"/>
        </w:rPr>
        <w:t>..................</w:t>
      </w:r>
      <w:r w:rsidRPr="009765CD">
        <w:rPr>
          <w:rFonts w:ascii="Times New Roman" w:hAnsi="Times New Roman" w:cs="Times New Roman"/>
          <w:bCs/>
          <w:sz w:val="24"/>
          <w:szCs w:val="24"/>
          <w:lang w:val="es-PE"/>
        </w:rPr>
        <w:t xml:space="preserve">, para resolver, de manera célere, gratuita y especializada, determinada clase de reclamaciones (sobre otorgamiento de coberturas y pago de siniestros) de los usuarios de seguros, aunque sólo estos últimos mantienen su derecho de poder recurrir a la vía administrativa o jurisdiccional que pudiese corresponder, si lo resuelto no les fuese favorable, dado que lo resuelto sí debe ser cumplido por las aseguradoras, como un compromiso gremial.  </w:t>
      </w:r>
    </w:p>
    <w:p w14:paraId="205E8039" w14:textId="77777777" w:rsidR="009765CD" w:rsidRPr="009765CD" w:rsidRDefault="009765CD" w:rsidP="009765CD">
      <w:pPr>
        <w:tabs>
          <w:tab w:val="left" w:pos="0"/>
          <w:tab w:val="left" w:pos="709"/>
          <w:tab w:val="left" w:pos="2160"/>
        </w:tabs>
        <w:spacing w:after="0" w:line="240" w:lineRule="auto"/>
        <w:jc w:val="both"/>
        <w:rPr>
          <w:rFonts w:ascii="Times New Roman" w:hAnsi="Times New Roman" w:cs="Times New Roman"/>
          <w:bCs/>
          <w:sz w:val="24"/>
          <w:szCs w:val="24"/>
          <w:lang w:val="es-PE"/>
        </w:rPr>
      </w:pPr>
    </w:p>
    <w:p w14:paraId="6469BF74" w14:textId="50479E3C" w:rsidR="009765CD" w:rsidRPr="009765CD" w:rsidRDefault="009765CD" w:rsidP="009765CD">
      <w:pPr>
        <w:tabs>
          <w:tab w:val="left" w:pos="709"/>
          <w:tab w:val="left" w:pos="2160"/>
        </w:tabs>
        <w:spacing w:after="0" w:line="240" w:lineRule="auto"/>
        <w:ind w:left="709" w:hanging="709"/>
        <w:jc w:val="both"/>
        <w:rPr>
          <w:rFonts w:ascii="Times New Roman" w:hAnsi="Times New Roman" w:cs="Times New Roman"/>
          <w:bCs/>
          <w:sz w:val="24"/>
          <w:szCs w:val="24"/>
          <w:lang w:val="es-PE"/>
        </w:rPr>
      </w:pPr>
      <w:r w:rsidRPr="009765CD">
        <w:rPr>
          <w:rFonts w:ascii="Times New Roman" w:hAnsi="Times New Roman" w:cs="Times New Roman"/>
          <w:bCs/>
          <w:sz w:val="24"/>
          <w:szCs w:val="24"/>
          <w:lang w:val="es-PE"/>
        </w:rPr>
        <w:tab/>
        <w:t xml:space="preserve">En tal virtud, esta Defensoría debe destacar que lo solicitado por </w:t>
      </w:r>
      <w:r w:rsidR="00F377AB">
        <w:rPr>
          <w:rFonts w:ascii="Arial" w:hAnsi="Arial" w:cs="Arial"/>
          <w:lang w:val="es-PE"/>
        </w:rPr>
        <w:t>..................</w:t>
      </w:r>
      <w:r w:rsidR="00F377AB">
        <w:rPr>
          <w:rFonts w:ascii="Arial" w:hAnsi="Arial" w:cs="Arial"/>
          <w:lang w:val="es-PE"/>
        </w:rPr>
        <w:t xml:space="preserve"> </w:t>
      </w:r>
      <w:r w:rsidRPr="009765CD">
        <w:rPr>
          <w:rFonts w:ascii="Times New Roman" w:hAnsi="Times New Roman" w:cs="Times New Roman"/>
          <w:bCs/>
          <w:sz w:val="24"/>
          <w:szCs w:val="24"/>
          <w:lang w:val="es-PE"/>
        </w:rPr>
        <w:t>para que se requiera a terceras personas, a determinados establecimientos médicos, la entrega o presentación de cierta documentación, de la historia clínica del asegurado, constituye un requerimiento improcedente; más bien corresponde a las aseguradoras, conforme a lo regulado en el correspondiente contrato de seguro, requerir a los asegurados la entrega de la documentación que pudiese estimar necesaria o pertinente para fines de evaluar y calificar el otorgamiento de la cobertura solicitada, en el marco de los artículos 69 y 77 de la Ley Nro. 29946 – Ley del Contrato de Seguro, siendo de aplicación en defecto de colaboración, las consecuencias acordadas en su oportunidad, o el rechazo de cobertura porque no se permite verificar los hechos.</w:t>
      </w:r>
    </w:p>
    <w:p w14:paraId="47E2C08C" w14:textId="77777777" w:rsidR="009765CD" w:rsidRPr="009765CD" w:rsidRDefault="009765CD" w:rsidP="009765CD">
      <w:pPr>
        <w:tabs>
          <w:tab w:val="left" w:pos="0"/>
          <w:tab w:val="left" w:pos="709"/>
          <w:tab w:val="left" w:pos="2160"/>
        </w:tabs>
        <w:spacing w:after="0" w:line="240" w:lineRule="auto"/>
        <w:jc w:val="both"/>
        <w:rPr>
          <w:rFonts w:ascii="Times New Roman" w:hAnsi="Times New Roman" w:cs="Times New Roman"/>
          <w:bCs/>
          <w:sz w:val="24"/>
          <w:szCs w:val="24"/>
          <w:lang w:val="es-PE"/>
        </w:rPr>
      </w:pPr>
    </w:p>
    <w:p w14:paraId="61019AEA" w14:textId="02AEF5C1" w:rsidR="009765CD" w:rsidRPr="009765CD" w:rsidRDefault="009765CD" w:rsidP="009765CD">
      <w:pPr>
        <w:tabs>
          <w:tab w:val="left" w:pos="709"/>
          <w:tab w:val="left" w:pos="2160"/>
        </w:tabs>
        <w:spacing w:after="0" w:line="240" w:lineRule="auto"/>
        <w:ind w:left="709" w:hanging="709"/>
        <w:jc w:val="both"/>
        <w:rPr>
          <w:rFonts w:ascii="Times New Roman" w:hAnsi="Times New Roman" w:cs="Times New Roman"/>
          <w:bCs/>
          <w:sz w:val="24"/>
          <w:szCs w:val="24"/>
          <w:lang w:val="es-PE"/>
        </w:rPr>
      </w:pPr>
      <w:r w:rsidRPr="009765CD">
        <w:rPr>
          <w:rFonts w:ascii="Times New Roman" w:hAnsi="Times New Roman" w:cs="Times New Roman"/>
          <w:bCs/>
          <w:sz w:val="24"/>
          <w:szCs w:val="24"/>
          <w:lang w:val="es-PE"/>
        </w:rPr>
        <w:t>2.2.</w:t>
      </w:r>
      <w:r w:rsidRPr="009765CD">
        <w:rPr>
          <w:rFonts w:ascii="Times New Roman" w:hAnsi="Times New Roman" w:cs="Times New Roman"/>
          <w:bCs/>
          <w:sz w:val="24"/>
          <w:szCs w:val="24"/>
          <w:lang w:val="es-PE"/>
        </w:rPr>
        <w:tab/>
        <w:t xml:space="preserve">De manera adicional, sostener que las resoluciones expedidas por la DEFASEG carecen de motivación por la circunstancia que no hayan sido acogidos los argumentos de una de las partes, en el presente caso, de </w:t>
      </w:r>
      <w:r w:rsidR="00E23A9B">
        <w:rPr>
          <w:rFonts w:ascii="Arial" w:hAnsi="Arial" w:cs="Arial"/>
          <w:lang w:val="es-PE"/>
        </w:rPr>
        <w:t>..................</w:t>
      </w:r>
      <w:r w:rsidRPr="009765CD">
        <w:rPr>
          <w:rFonts w:ascii="Times New Roman" w:hAnsi="Times New Roman" w:cs="Times New Roman"/>
          <w:bCs/>
          <w:sz w:val="24"/>
          <w:szCs w:val="24"/>
          <w:lang w:val="es-PE"/>
        </w:rPr>
        <w:t xml:space="preserve">, no corresponde a la realidad.  De una simple lectura de las resoluciones que expide la DEFASEG puede constatarse objetivamente que se cuide de sustentar o justificar por qué se acogen o no los principales argumentos de las partes, reproduciéndose los textos contractuales y legales pertinentes, así como explicando la interpretación de los hechos que adopta este colegiado.  La circunstancia que se discrepe de lo resuelto no legitima evidentemente a descalificar el análisis practicado por la DEFASEG, análisis que proviene de un tercero independiente e imparcial, y que aplica el derecho pertinente.  Por último, habiéndose justificado ampliamente el sustento de lo resuelto, a juicio de esta Defensoría, ello releva </w:t>
      </w:r>
      <w:r w:rsidRPr="009765CD">
        <w:rPr>
          <w:rFonts w:ascii="Times New Roman" w:hAnsi="Times New Roman" w:cs="Times New Roman"/>
          <w:bCs/>
          <w:sz w:val="24"/>
          <w:szCs w:val="24"/>
          <w:lang w:val="es-PE"/>
        </w:rPr>
        <w:lastRenderedPageBreak/>
        <w:t>de calificar argumentos diversos, secundarios o accesorios, que no alteran o modifican el sentido de lo analizado y resuelto.</w:t>
      </w:r>
    </w:p>
    <w:p w14:paraId="15A0FDF8" w14:textId="77777777" w:rsidR="009765CD" w:rsidRPr="009765CD" w:rsidRDefault="009765CD" w:rsidP="009765CD">
      <w:pPr>
        <w:tabs>
          <w:tab w:val="left" w:pos="709"/>
          <w:tab w:val="left" w:pos="2160"/>
        </w:tabs>
        <w:spacing w:after="0" w:line="240" w:lineRule="auto"/>
        <w:ind w:left="709" w:hanging="709"/>
        <w:jc w:val="both"/>
        <w:rPr>
          <w:rFonts w:ascii="Times New Roman" w:hAnsi="Times New Roman" w:cs="Times New Roman"/>
          <w:bCs/>
          <w:sz w:val="24"/>
          <w:szCs w:val="24"/>
          <w:lang w:val="es-PE"/>
        </w:rPr>
      </w:pPr>
    </w:p>
    <w:p w14:paraId="5C3BC957" w14:textId="751A6338" w:rsidR="009765CD" w:rsidRPr="009765CD" w:rsidRDefault="009765CD" w:rsidP="009765CD">
      <w:pPr>
        <w:tabs>
          <w:tab w:val="left" w:pos="0"/>
          <w:tab w:val="left" w:pos="2160"/>
        </w:tabs>
        <w:spacing w:after="0" w:line="240" w:lineRule="auto"/>
        <w:jc w:val="both"/>
        <w:rPr>
          <w:rFonts w:ascii="Times New Roman" w:hAnsi="Times New Roman" w:cs="Times New Roman"/>
          <w:bCs/>
          <w:sz w:val="24"/>
          <w:szCs w:val="24"/>
          <w:lang w:val="es-PE"/>
        </w:rPr>
      </w:pPr>
      <w:r w:rsidRPr="009765CD">
        <w:rPr>
          <w:rFonts w:ascii="Times New Roman" w:hAnsi="Times New Roman" w:cs="Times New Roman"/>
          <w:b/>
          <w:sz w:val="24"/>
          <w:szCs w:val="24"/>
          <w:u w:val="single"/>
          <w:lang w:val="es-PE"/>
        </w:rPr>
        <w:t>Tercero</w:t>
      </w:r>
      <w:r w:rsidRPr="009765CD">
        <w:rPr>
          <w:rFonts w:ascii="Times New Roman" w:hAnsi="Times New Roman" w:cs="Times New Roman"/>
          <w:b/>
          <w:sz w:val="24"/>
          <w:szCs w:val="24"/>
          <w:lang w:val="es-PE"/>
        </w:rPr>
        <w:t>:</w:t>
      </w:r>
      <w:r w:rsidRPr="009765CD">
        <w:rPr>
          <w:rFonts w:ascii="Times New Roman" w:hAnsi="Times New Roman" w:cs="Times New Roman"/>
          <w:bCs/>
          <w:sz w:val="24"/>
          <w:szCs w:val="24"/>
          <w:lang w:val="es-PE"/>
        </w:rPr>
        <w:t xml:space="preserve"> En cuanto al cuestionamiento de la competencia de esta Defensoría para conocer de la reclamación presentada en su oportunidad, este colegiado debe expresar su extrañeza con dicho planteamiento, dado que, en su oportunidad, al corrérsele traslado de la reclamación, </w:t>
      </w:r>
      <w:r w:rsidR="00E23A9B">
        <w:rPr>
          <w:rFonts w:ascii="Arial" w:hAnsi="Arial" w:cs="Arial"/>
          <w:lang w:val="es-PE"/>
        </w:rPr>
        <w:t>..................</w:t>
      </w:r>
      <w:r w:rsidRPr="009765CD">
        <w:rPr>
          <w:rFonts w:ascii="Times New Roman" w:hAnsi="Times New Roman" w:cs="Times New Roman"/>
          <w:bCs/>
          <w:sz w:val="24"/>
          <w:szCs w:val="24"/>
          <w:lang w:val="es-PE"/>
        </w:rPr>
        <w:t xml:space="preserve"> no formuló cuestionamiento alguno, por lo que se sometió a la misma.  Es más, debe considerarse que el asegurado presenta ante esta Defensoría una reclamación ante la negativa de la aseguradora de brindarle la cobertura solicitada, por lo </w:t>
      </w:r>
      <w:proofErr w:type="gramStart"/>
      <w:r w:rsidRPr="009765CD">
        <w:rPr>
          <w:rFonts w:ascii="Times New Roman" w:hAnsi="Times New Roman" w:cs="Times New Roman"/>
          <w:bCs/>
          <w:sz w:val="24"/>
          <w:szCs w:val="24"/>
          <w:lang w:val="es-PE"/>
        </w:rPr>
        <w:t>que</w:t>
      </w:r>
      <w:proofErr w:type="gramEnd"/>
      <w:r w:rsidRPr="009765CD">
        <w:rPr>
          <w:rFonts w:ascii="Times New Roman" w:hAnsi="Times New Roman" w:cs="Times New Roman"/>
          <w:bCs/>
          <w:sz w:val="24"/>
          <w:szCs w:val="24"/>
          <w:lang w:val="es-PE"/>
        </w:rPr>
        <w:t xml:space="preserve"> conociendo de los alcances de dicha solicitud, es la aseguradora la que estaba en la mejor situación o posibilidad de cuestionar si lo reclamado sobrepasaba el monto máximo de una reclamación que puede ser conocido por la DEFASEG, no habiéndolo hecho.  En cualquier caso, lo concluyente es que el asegurado ha cuidado de precisar el importe de su reclamación, apreciándose que no corresponde deslizar cuestionamiento alguno a la competencia de la DEFASEG </w:t>
      </w:r>
      <w:proofErr w:type="gramStart"/>
      <w:r w:rsidRPr="009765CD">
        <w:rPr>
          <w:rFonts w:ascii="Times New Roman" w:hAnsi="Times New Roman" w:cs="Times New Roman"/>
          <w:bCs/>
          <w:sz w:val="24"/>
          <w:szCs w:val="24"/>
          <w:lang w:val="es-PE"/>
        </w:rPr>
        <w:t>en razón de</w:t>
      </w:r>
      <w:proofErr w:type="gramEnd"/>
      <w:r w:rsidRPr="009765CD">
        <w:rPr>
          <w:rFonts w:ascii="Times New Roman" w:hAnsi="Times New Roman" w:cs="Times New Roman"/>
          <w:bCs/>
          <w:sz w:val="24"/>
          <w:szCs w:val="24"/>
          <w:lang w:val="es-PE"/>
        </w:rPr>
        <w:t xml:space="preserve"> cuantía. </w:t>
      </w:r>
    </w:p>
    <w:p w14:paraId="7CA7FBEC" w14:textId="77777777" w:rsidR="009765CD" w:rsidRPr="009765CD" w:rsidRDefault="009765CD" w:rsidP="009765CD">
      <w:pPr>
        <w:tabs>
          <w:tab w:val="left" w:pos="0"/>
          <w:tab w:val="left" w:pos="2160"/>
        </w:tabs>
        <w:spacing w:after="0" w:line="240" w:lineRule="auto"/>
        <w:jc w:val="both"/>
        <w:rPr>
          <w:rFonts w:ascii="Times New Roman" w:hAnsi="Times New Roman" w:cs="Times New Roman"/>
          <w:bCs/>
          <w:sz w:val="24"/>
          <w:szCs w:val="24"/>
          <w:lang w:val="es-PE"/>
        </w:rPr>
      </w:pPr>
    </w:p>
    <w:p w14:paraId="53788D76" w14:textId="6FCD4D9A"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PE"/>
        </w:rPr>
      </w:pPr>
      <w:r w:rsidRPr="009765CD">
        <w:rPr>
          <w:rFonts w:ascii="Times New Roman" w:hAnsi="Times New Roman" w:cs="Times New Roman"/>
          <w:b/>
          <w:sz w:val="24"/>
          <w:szCs w:val="24"/>
          <w:u w:val="single"/>
          <w:lang w:val="es-PE"/>
        </w:rPr>
        <w:t>Cuarto</w:t>
      </w:r>
      <w:r w:rsidRPr="009765CD">
        <w:rPr>
          <w:rFonts w:ascii="Times New Roman" w:hAnsi="Times New Roman" w:cs="Times New Roman"/>
          <w:b/>
          <w:sz w:val="24"/>
          <w:szCs w:val="24"/>
          <w:lang w:val="es-PE"/>
        </w:rPr>
        <w:t xml:space="preserve">: </w:t>
      </w:r>
      <w:r w:rsidRPr="009765CD">
        <w:rPr>
          <w:rFonts w:ascii="Times New Roman" w:hAnsi="Times New Roman" w:cs="Times New Roman"/>
          <w:sz w:val="24"/>
          <w:szCs w:val="24"/>
          <w:lang w:val="es-PE"/>
        </w:rPr>
        <w:t xml:space="preserve">Al margen de lo señalado precedentemente, de la lectura del recurso impugnativo interpuesto se aprecia que la aseguradora reitera, insiste, en los argumentos ya expresados en la etapa </w:t>
      </w:r>
      <w:proofErr w:type="spellStart"/>
      <w:r w:rsidRPr="009765CD">
        <w:rPr>
          <w:rFonts w:ascii="Times New Roman" w:hAnsi="Times New Roman" w:cs="Times New Roman"/>
          <w:sz w:val="24"/>
          <w:szCs w:val="24"/>
          <w:lang w:val="es-PE"/>
        </w:rPr>
        <w:t>postulatoria</w:t>
      </w:r>
      <w:proofErr w:type="spellEnd"/>
      <w:r w:rsidRPr="009765CD">
        <w:rPr>
          <w:rFonts w:ascii="Times New Roman" w:hAnsi="Times New Roman" w:cs="Times New Roman"/>
          <w:sz w:val="24"/>
          <w:szCs w:val="24"/>
          <w:lang w:val="es-PE"/>
        </w:rPr>
        <w:t xml:space="preserve"> y en lo tratado en la audiencia de vista, en el sentido que la exclusión invocada por la aseguradora no sólo era conocida, sino que se ha configurado efectivamente, por lo que el rechazo de cobertura está justificado.  Los argumentos de la impugnación constituyen un desarrollo recurrente de dicho planteamiento.  Al respecto, este colegiado invoca a </w:t>
      </w:r>
      <w:r w:rsidR="00E23A9B">
        <w:rPr>
          <w:rFonts w:ascii="Arial" w:hAnsi="Arial" w:cs="Arial"/>
          <w:lang w:val="es-PE"/>
        </w:rPr>
        <w:t>..................</w:t>
      </w:r>
      <w:r w:rsidRPr="009765CD">
        <w:rPr>
          <w:rFonts w:ascii="Times New Roman" w:hAnsi="Times New Roman" w:cs="Times New Roman"/>
          <w:sz w:val="24"/>
          <w:szCs w:val="24"/>
          <w:lang w:val="es-PE"/>
        </w:rPr>
        <w:t xml:space="preserve"> que cuide de revisar lo expresado en el sexto considerando de la resolución recurrida, conforme a lo cual:</w:t>
      </w:r>
    </w:p>
    <w:p w14:paraId="52D7C41A" w14:textId="77777777"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PE"/>
        </w:rPr>
      </w:pPr>
    </w:p>
    <w:p w14:paraId="3A8B0A4A" w14:textId="77777777" w:rsidR="009765CD" w:rsidRPr="009765CD" w:rsidRDefault="009765CD" w:rsidP="009765CD">
      <w:pPr>
        <w:tabs>
          <w:tab w:val="left" w:pos="2160"/>
        </w:tabs>
        <w:spacing w:after="0" w:line="240" w:lineRule="auto"/>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Sobre el particular, tratándose específicamente del rechazo por exclusiones de cobertura, c</w:t>
      </w:r>
      <w:r w:rsidRPr="009765CD">
        <w:rPr>
          <w:rFonts w:ascii="Times New Roman" w:eastAsia="Calibri" w:hAnsi="Times New Roman" w:cs="Times New Roman"/>
          <w:i/>
          <w:iCs/>
          <w:sz w:val="24"/>
          <w:szCs w:val="24"/>
          <w:lang w:val="es-PE"/>
        </w:rPr>
        <w:t>omo bien es sabido, este colegiado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9765CD">
        <w:rPr>
          <w:rFonts w:ascii="Times New Roman" w:eastAsia="Calibri" w:hAnsi="Times New Roman" w:cs="Times New Roman"/>
          <w:i/>
          <w:iCs/>
          <w:sz w:val="24"/>
          <w:szCs w:val="24"/>
          <w:lang w:val="es-PE"/>
        </w:rPr>
        <w:t>ii</w:t>
      </w:r>
      <w:proofErr w:type="spellEnd"/>
      <w:r w:rsidRPr="009765CD">
        <w:rPr>
          <w:rFonts w:ascii="Times New Roman" w:eastAsia="Calibri" w:hAnsi="Times New Roman" w:cs="Times New Roman"/>
          <w:i/>
          <w:iCs/>
          <w:sz w:val="24"/>
          <w:szCs w:val="24"/>
          <w:lang w:val="es-PE"/>
        </w:rPr>
        <w:t>) sobre si dicha exclusión fue oportuna, adecuada y suficientemente informada al asegurado, y (</w:t>
      </w:r>
      <w:proofErr w:type="spellStart"/>
      <w:r w:rsidRPr="009765CD">
        <w:rPr>
          <w:rFonts w:ascii="Times New Roman" w:eastAsia="Calibri" w:hAnsi="Times New Roman" w:cs="Times New Roman"/>
          <w:i/>
          <w:iCs/>
          <w:sz w:val="24"/>
          <w:szCs w:val="24"/>
          <w:lang w:val="es-PE"/>
        </w:rPr>
        <w:t>iii</w:t>
      </w:r>
      <w:proofErr w:type="spellEnd"/>
      <w:r w:rsidRPr="009765CD">
        <w:rPr>
          <w:rFonts w:ascii="Times New Roman" w:eastAsia="Calibri" w:hAnsi="Times New Roman" w:cs="Times New Roman"/>
          <w:i/>
          <w:iCs/>
          <w:sz w:val="24"/>
          <w:szCs w:val="24"/>
          <w:lang w:val="es-PE"/>
        </w:rPr>
        <w:t>) si está probada la exclusión invocada.</w:t>
      </w:r>
    </w:p>
    <w:p w14:paraId="0316817E" w14:textId="77777777" w:rsidR="009765CD" w:rsidRPr="009765CD" w:rsidRDefault="009765CD" w:rsidP="009765CD">
      <w:pPr>
        <w:tabs>
          <w:tab w:val="left" w:pos="2160"/>
        </w:tabs>
        <w:spacing w:after="0" w:line="240" w:lineRule="auto"/>
        <w:jc w:val="both"/>
        <w:rPr>
          <w:rFonts w:ascii="Times New Roman" w:eastAsia="Times New Roman" w:hAnsi="Times New Roman" w:cs="Times New Roman"/>
          <w:i/>
          <w:iCs/>
          <w:sz w:val="24"/>
          <w:szCs w:val="24"/>
          <w:lang w:val="es-PE" w:eastAsia="es-ES"/>
        </w:rPr>
      </w:pPr>
    </w:p>
    <w:p w14:paraId="117272A1" w14:textId="55703CA9"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6.1.</w:t>
      </w:r>
      <w:r w:rsidRPr="009765CD">
        <w:rPr>
          <w:rFonts w:ascii="Times New Roman" w:eastAsia="Times New Roman" w:hAnsi="Times New Roman" w:cs="Times New Roman"/>
          <w:i/>
          <w:iCs/>
          <w:sz w:val="24"/>
          <w:szCs w:val="24"/>
          <w:lang w:val="es-PE" w:eastAsia="es-ES"/>
        </w:rPr>
        <w:tab/>
        <w:t xml:space="preserve">La póliza de seguro relativa al presente caso es una póliza grupal, lo que permite diferenciar entre la parte contratante no asegurada (MVCS) y los diversos asegurados no contratantes (personal del MVCS que sea afiliado al seguro).  No hay ninguna duda que los términos y condiciones son conocidos por las partes sustanciales del contrato, esto es,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xml:space="preserve">, como aseguradora, y el MVCS, como contratante no asegurado.  </w:t>
      </w:r>
    </w:p>
    <w:p w14:paraId="6EA43246"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2C29A995"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Siendo que las exclusiones forman parte del contenido contractual, corresponde verificar si el contrato contiene efectivamente las respectivas exclusiones.</w:t>
      </w:r>
    </w:p>
    <w:p w14:paraId="555B803C"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32536619" w14:textId="1FB6D8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Al respecto, debe destacarse que, no obstante haberse requerido expresamente a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que presente el expediente completo relativo al siniestro, lo cual incluye la póliza y sus condicionados, la señalada aseguradora no ha cumplido con presentar lo solicitado, lo cual impide que este colegiado pueda apreciar si el pretendido pacto sobre exclusiones forma efectivamente parte del contrato de seguro.</w:t>
      </w:r>
    </w:p>
    <w:p w14:paraId="4480A0ED"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15AA87C1" w14:textId="558A2462"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En la comunicación de rechazo, carta SNTROS.RCH Nro. 001053-2020, del 9 de setiembre de 2020, reiterado en sus descargos a la reclamación,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invoca las condiciones generales de la póliza en el extremo siguiente:</w:t>
      </w:r>
    </w:p>
    <w:p w14:paraId="4A26C0EB"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4BC3CDFD"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noProof/>
          <w:sz w:val="24"/>
          <w:szCs w:val="24"/>
          <w:lang w:val="es-PE" w:eastAsia="es-ES"/>
        </w:rPr>
        <w:drawing>
          <wp:inline distT="0" distB="0" distL="0" distR="0" wp14:anchorId="1DF8353E" wp14:editId="561F4990">
            <wp:extent cx="5724525" cy="27051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2705100"/>
                    </a:xfrm>
                    <a:prstGeom prst="rect">
                      <a:avLst/>
                    </a:prstGeom>
                    <a:noFill/>
                    <a:ln>
                      <a:noFill/>
                    </a:ln>
                  </pic:spPr>
                </pic:pic>
              </a:graphicData>
            </a:graphic>
          </wp:inline>
        </w:drawing>
      </w:r>
    </w:p>
    <w:p w14:paraId="31C23BDA" w14:textId="625CD4CF"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Sin embargo, al no haberse presentado dicho condicionado, este colegiado no puede verificar que el contrato contenga la exclusión invocada para fines del rechazo, siendo que si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xml:space="preserve"> sostiene que el contrato contiene dicha previsión, se encuentra bajo su responsabilidad de así demostrarlo, no correspondiendo que este colegiado supla su deficiencia en la respectiva carga probatoria, porque de ser así se estaría afectando la independencia e imparcialidad con la que interviene la DEFASEG en la resolución de controversias sometidas a su conocimiento.</w:t>
      </w:r>
    </w:p>
    <w:p w14:paraId="037EE4FA"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p>
    <w:p w14:paraId="362308F0" w14:textId="18176054"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Por lo tanto, es un hecho objetivo que no ha sido probado por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que el contrato de seguro, en su condicionado general, contenga lo que se afirma que contiene (exclusión por enfermedad preexistente).  Lo anterior es de por sí suficiente para deslegitimar el rechazo de cobertura; empero, atendiendo a que dicha omisión podría ser subsanada en vía de impugnación, presentando lo que no lo fue oportunamente, este colegiado proseguirá en el análisis del caso.</w:t>
      </w:r>
    </w:p>
    <w:p w14:paraId="791AA8EA" w14:textId="77777777"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i/>
          <w:iCs/>
          <w:sz w:val="24"/>
          <w:szCs w:val="24"/>
          <w:lang w:val="es-PE" w:eastAsia="es-ES"/>
        </w:rPr>
      </w:pPr>
    </w:p>
    <w:p w14:paraId="0ECF0F06" w14:textId="05EF395A"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 xml:space="preserve">A la fecha,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sz w:val="24"/>
          <w:szCs w:val="24"/>
          <w:lang w:val="es-PE" w:eastAsia="es-ES"/>
        </w:rPr>
        <w:t xml:space="preserve">mantiene su rebeldía de presentar copia completa de la póliza para que este colegiado pueda verificar que aquélla contiene efectivamente, entre sus términos y condiciones, la exclusión invocada para fines del rechazo.  Con ocasión de su impugnación, </w:t>
      </w:r>
      <w:r w:rsidR="00E23A9B">
        <w:rPr>
          <w:rFonts w:ascii="Arial" w:hAnsi="Arial" w:cs="Arial"/>
          <w:lang w:val="es-PE"/>
        </w:rPr>
        <w:t>..................</w:t>
      </w:r>
      <w:r w:rsidRPr="009765CD">
        <w:rPr>
          <w:rFonts w:ascii="Times New Roman" w:eastAsia="Times New Roman" w:hAnsi="Times New Roman" w:cs="Times New Roman"/>
          <w:sz w:val="24"/>
          <w:szCs w:val="24"/>
          <w:lang w:val="es-PE" w:eastAsia="es-ES"/>
        </w:rPr>
        <w:t xml:space="preserve"> ha presentado un ejemplar el endoso de dicha póliza, de fecha 19 de junio de 2020, pero el mismo no contiene indicación alguna del régimen de exclusiones.</w:t>
      </w:r>
    </w:p>
    <w:p w14:paraId="38800FF4" w14:textId="77777777"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i/>
          <w:iCs/>
          <w:sz w:val="24"/>
          <w:szCs w:val="24"/>
          <w:lang w:val="es-PE" w:eastAsia="es-ES"/>
        </w:rPr>
      </w:pPr>
    </w:p>
    <w:p w14:paraId="23F0D504" w14:textId="4F5E163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6.2.</w:t>
      </w:r>
      <w:r w:rsidRPr="009765CD">
        <w:rPr>
          <w:rFonts w:ascii="Times New Roman" w:eastAsia="Times New Roman" w:hAnsi="Times New Roman" w:cs="Times New Roman"/>
          <w:i/>
          <w:iCs/>
          <w:sz w:val="24"/>
          <w:szCs w:val="24"/>
          <w:lang w:val="es-PE" w:eastAsia="es-ES"/>
        </w:rPr>
        <w:tab/>
        <w:t>Corresponde evaluar si el asegurado no contratante conoció del régimen sobre exclusiones, en particular de la invocada para fines de rechazo.  Este aspecto es muy relevante porque permite generar oponibilidad del pacto concertado en su momento entre la aseguradora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xml:space="preserve">) y el contratante no asegurado (MVCS), requiriéndose para ello que el asegurado haya tenido conocimiento de manera </w:t>
      </w:r>
      <w:r w:rsidRPr="009765CD">
        <w:rPr>
          <w:rFonts w:ascii="Times New Roman" w:eastAsia="Times New Roman" w:hAnsi="Times New Roman" w:cs="Times New Roman"/>
          <w:i/>
          <w:iCs/>
          <w:sz w:val="24"/>
          <w:szCs w:val="24"/>
          <w:lang w:val="es-PE" w:eastAsia="es-ES"/>
        </w:rPr>
        <w:lastRenderedPageBreak/>
        <w:t>oportuna, adecuada y suficiente de los pactos contractuales que se le oponen, que se invocan para serle aplicados, en particular tratándose del régimen de exclusiones.</w:t>
      </w:r>
    </w:p>
    <w:p w14:paraId="6928B7F8"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5A2683CD"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Al respecto, es más que concluyente el artículo 137 de la Ley Nro. 29946 – Ley del Contrato de Seguro: “No son oponibles al asegurado los contenidos contractuales que no le hayan sido informados en el certificado mencionado en el artículo anterior, cuyo contenido mínimo se sujeta a las disposiciones de la Superintendencia”.  </w:t>
      </w:r>
      <w:proofErr w:type="gramStart"/>
      <w:r w:rsidRPr="009765CD">
        <w:rPr>
          <w:rFonts w:ascii="Times New Roman" w:eastAsia="Times New Roman" w:hAnsi="Times New Roman" w:cs="Times New Roman"/>
          <w:i/>
          <w:iCs/>
          <w:sz w:val="24"/>
          <w:szCs w:val="24"/>
          <w:lang w:val="es-PE" w:eastAsia="es-ES"/>
        </w:rPr>
        <w:t>De acuerdo al</w:t>
      </w:r>
      <w:proofErr w:type="gramEnd"/>
      <w:r w:rsidRPr="009765CD">
        <w:rPr>
          <w:rFonts w:ascii="Times New Roman" w:eastAsia="Times New Roman" w:hAnsi="Times New Roman" w:cs="Times New Roman"/>
          <w:i/>
          <w:iCs/>
          <w:sz w:val="24"/>
          <w:szCs w:val="24"/>
          <w:lang w:val="es-PE" w:eastAsia="es-ES"/>
        </w:rPr>
        <w:t xml:space="preserve"> artículo 136 de la señalada ley, tratándose de seguros grupales, la aseguradora “está obligada a entregar al asegurado un certificado que acredite su incorporación al grupo”, certificado que debe contener determinada información que exige la SBS, entre ella, el régimen contractual de exclusiones.  El Reglamento de Transparencia de Información y Contratación de Seguros, aprobado por Resolución SBS Nro. 3199-2013 es concluyente sobre la materia, entre otros, su artículo 3.</w:t>
      </w:r>
    </w:p>
    <w:p w14:paraId="129B4018"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68F68C6B" w14:textId="5D3A2AEE"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Conforme a múltiples resoluciones expedidas por la DEFASEG de manera uniforme con relación a las pólizas grupales, lo cual debe ser de conocimiento de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xml:space="preserve">, no basta demostrar que el contrato de seguro celebrado en su oportunidad, y al cual el asegurado no contratante se afilia, contiene determinada condición contractual, sino que es absolutamente indispensable para su exigibilidad, para poder ser opuesta dicha condición al asegurado no contratante, que honrando su carga procesal y actuando conforme a las exigencias de la SBS, la aseguradora demuestre que informó efectivamente sobre dicha condición contractual de manera oportuna, adecuada y suficiente, lo cual se realiza normalmente a través del certificado que debió ser entregado  en su oportunidad al actual reclamante.  </w:t>
      </w:r>
    </w:p>
    <w:p w14:paraId="5575CB72"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230AC7CE" w14:textId="49BB2731"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En el presente caso,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no sólo no ha probado el pacto sobre exclusiones, sino que tampoco ha probado el conocimiento que el asegurado debe tener sobre las exclusiones, esto es, no ha demostrado que brindó información oportuna, adecuada y suficiente.</w:t>
      </w:r>
    </w:p>
    <w:p w14:paraId="6F9FF92F"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 </w:t>
      </w:r>
    </w:p>
    <w:p w14:paraId="672767A0" w14:textId="48CB0901"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Por lo tanto, a juicio de este colegiado, es un hecho objetivo que no ha sido probado por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que el asegurado conocía del régimen de exclusiones, en particular de la exclusión que se le pretende oponer (enfermedad preexistente).  Esa situación es de por sí suficiente para deslegitimar el rechazo de cobertura; empero, atendiendo a que dicha omisión podría ser subsanada en vía de impugnación, presentando lo que no lo fue oportunamente, este colegiado proseguirá el análisis del caso.</w:t>
      </w:r>
    </w:p>
    <w:p w14:paraId="6DBF4029"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5D0D5955" w14:textId="367CDC9D"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 xml:space="preserve">A la fecha,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sz w:val="24"/>
          <w:szCs w:val="24"/>
          <w:lang w:val="es-PE" w:eastAsia="es-ES"/>
        </w:rPr>
        <w:t xml:space="preserve">no ha probado que el asegurado tuvo conocimiento cierto del régimen de exclusiones.  El argumento de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sz w:val="24"/>
          <w:szCs w:val="24"/>
          <w:lang w:val="es-PE" w:eastAsia="es-ES"/>
        </w:rPr>
        <w:t xml:space="preserve">sobre el particular es que como en la reclamación se hace referencia al endoso de la póliza, eso significa que el asegurado reconoce que conocía de las exclusiones.  Dicho argumento carece de todo sustento fáctico, por la simple razón que el endoso no contiene régimen alguno de exclusiones, por lo que asumiéndose que el asegurado conocía del endoso, tal como se afirma en la reclamación y destaca </w:t>
      </w:r>
      <w:r w:rsidR="00E23A9B">
        <w:rPr>
          <w:rFonts w:ascii="Arial" w:hAnsi="Arial" w:cs="Arial"/>
          <w:lang w:val="es-PE"/>
        </w:rPr>
        <w:t>..................</w:t>
      </w:r>
      <w:r w:rsidRPr="009765CD">
        <w:rPr>
          <w:rFonts w:ascii="Times New Roman" w:eastAsia="Times New Roman" w:hAnsi="Times New Roman" w:cs="Times New Roman"/>
          <w:sz w:val="24"/>
          <w:szCs w:val="24"/>
          <w:lang w:val="es-PE" w:eastAsia="es-ES"/>
        </w:rPr>
        <w:t>, y siendo que dicho endoso contiene básicamente la tabla de beneficios, cuadro de primas y red de clínicas, ello no significa que conoció de las exclusiones.</w:t>
      </w:r>
    </w:p>
    <w:p w14:paraId="6428F635" w14:textId="77777777"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sz w:val="24"/>
          <w:szCs w:val="24"/>
          <w:lang w:val="es-PE" w:eastAsia="es-ES"/>
        </w:rPr>
      </w:pPr>
    </w:p>
    <w:p w14:paraId="127A316A" w14:textId="77777777"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Si la aseguradora no prueba este aspecto, resulta manifiesto que la pretendida exclusión no puede ser opuesta, conforme a ley.</w:t>
      </w:r>
    </w:p>
    <w:p w14:paraId="74C66108"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79857294"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6.3.</w:t>
      </w:r>
      <w:r w:rsidRPr="009765CD">
        <w:rPr>
          <w:rFonts w:ascii="Times New Roman" w:eastAsia="Times New Roman" w:hAnsi="Times New Roman" w:cs="Times New Roman"/>
          <w:i/>
          <w:iCs/>
          <w:sz w:val="24"/>
          <w:szCs w:val="24"/>
          <w:lang w:val="es-PE" w:eastAsia="es-ES"/>
        </w:rPr>
        <w:tab/>
        <w:t>Por último, el tercer aspecto a analizar es determinar si se configuró o no la exclusión invocada u opuesta al reclamante.</w:t>
      </w:r>
    </w:p>
    <w:p w14:paraId="0F898F94"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2B55E554"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Para realizar la respectiva evaluación debe considerase dos aspectos: (i) Alcances de la exclusión, y (</w:t>
      </w:r>
      <w:proofErr w:type="spellStart"/>
      <w:r w:rsidRPr="009765CD">
        <w:rPr>
          <w:rFonts w:ascii="Times New Roman" w:eastAsia="Times New Roman" w:hAnsi="Times New Roman" w:cs="Times New Roman"/>
          <w:i/>
          <w:iCs/>
          <w:sz w:val="24"/>
          <w:szCs w:val="24"/>
          <w:lang w:val="es-PE" w:eastAsia="es-ES"/>
        </w:rPr>
        <w:t>ii</w:t>
      </w:r>
      <w:proofErr w:type="spellEnd"/>
      <w:r w:rsidRPr="009765CD">
        <w:rPr>
          <w:rFonts w:ascii="Times New Roman" w:eastAsia="Times New Roman" w:hAnsi="Times New Roman" w:cs="Times New Roman"/>
          <w:i/>
          <w:iCs/>
          <w:sz w:val="24"/>
          <w:szCs w:val="24"/>
          <w:lang w:val="es-PE" w:eastAsia="es-ES"/>
        </w:rPr>
        <w:t>) Aplicación literal de la exclusión, por lo que no cabe invocar sobreentendidos, o aplicación en vía de interpretación extensiva o por analogía.  La sétima regla interpretativa contenida en el artículo IV de la Ley del Contrato de Seguro es concluyente: “La cobertura, exclusiones y, en general, la extensión del riesgo, así como los derechos de los beneficiarios, previstos en el contrato de seguro, deben interpretarse literalmente”.</w:t>
      </w:r>
    </w:p>
    <w:p w14:paraId="194B82B6"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00E246A1"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Para el análisis de este aspecto, este colegiado va a asumir como cierto, un hecho que no ha sido probado, que la exclusión invocada para el rechazo está efectivamente contenida en el condicionado general de la póliza, y que era de conocimiento del asegurado no contratante, el actual reclamante.  Sobre dicha base hipotética, este colegiado se remite al texto de la exclusión invocado por la aseguradora:</w:t>
      </w:r>
    </w:p>
    <w:p w14:paraId="03BC3F0C" w14:textId="77777777" w:rsidR="009765CD" w:rsidRPr="009765CD" w:rsidRDefault="009765CD" w:rsidP="009765CD">
      <w:pPr>
        <w:tabs>
          <w:tab w:val="left" w:pos="709"/>
          <w:tab w:val="left" w:pos="2160"/>
        </w:tabs>
        <w:spacing w:after="0" w:line="240" w:lineRule="auto"/>
        <w:jc w:val="both"/>
        <w:rPr>
          <w:rFonts w:ascii="Times New Roman" w:eastAsia="Times New Roman" w:hAnsi="Times New Roman" w:cs="Times New Roman"/>
          <w:i/>
          <w:iCs/>
          <w:sz w:val="24"/>
          <w:szCs w:val="24"/>
          <w:lang w:val="es-PE" w:eastAsia="es-ES"/>
        </w:rPr>
      </w:pPr>
    </w:p>
    <w:p w14:paraId="67CB5772"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noProof/>
          <w:sz w:val="24"/>
          <w:szCs w:val="24"/>
          <w:lang w:val="es-PE" w:eastAsia="es-ES"/>
        </w:rPr>
        <w:drawing>
          <wp:inline distT="0" distB="0" distL="0" distR="0" wp14:anchorId="09560271" wp14:editId="43A85675">
            <wp:extent cx="5667375" cy="26860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7375" cy="2686050"/>
                    </a:xfrm>
                    <a:prstGeom prst="rect">
                      <a:avLst/>
                    </a:prstGeom>
                    <a:noFill/>
                    <a:ln>
                      <a:noFill/>
                    </a:ln>
                  </pic:spPr>
                </pic:pic>
              </a:graphicData>
            </a:graphic>
          </wp:inline>
        </w:drawing>
      </w:r>
    </w:p>
    <w:p w14:paraId="7EE69C91"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Conforme se aprecia, literalmente, para que se configura la exclusión por enfermedad preexistente se requiere necesariamente que la alteración del estado de salud haya sido diagnosticada por un profesional médico colegiado.  Dicho de otro modo, la preexistencia para el contrato de seguro no es sólo la alteración del estado de salud no resuelta al momento de presentación de la Declaración Jurada de Salud, sino que debe mediar un diagnóstico de médico colegiado.</w:t>
      </w:r>
    </w:p>
    <w:p w14:paraId="701153B2"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63C4B897" w14:textId="5FD2B3FA"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ab/>
        <w:t xml:space="preserve">De los documentos presentados por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entre ellos, la historia clínica de Emergencia de la Clínica Limatambo, no se aprecia dicho diagnóstico previo a la afiliación al seguro y presentación de la Declaración Jurada de Salud, por lo tanto, la prexistencia por más que se haya generado en los hechos, no se ha configurado para fines de la póliza del seguro, porque no se ha cumplido con las exigencias establecidas en la propia póliza para invocarla.</w:t>
      </w:r>
    </w:p>
    <w:p w14:paraId="0CEA6C79" w14:textId="77777777" w:rsidR="009765CD" w:rsidRPr="009765CD" w:rsidRDefault="009765CD" w:rsidP="009765CD">
      <w:pPr>
        <w:tabs>
          <w:tab w:val="left" w:pos="709"/>
          <w:tab w:val="left" w:pos="2160"/>
        </w:tabs>
        <w:spacing w:after="0" w:line="240" w:lineRule="auto"/>
        <w:ind w:left="709" w:hanging="709"/>
        <w:jc w:val="both"/>
        <w:rPr>
          <w:rFonts w:ascii="Times New Roman" w:eastAsia="Times New Roman" w:hAnsi="Times New Roman" w:cs="Times New Roman"/>
          <w:i/>
          <w:iCs/>
          <w:sz w:val="24"/>
          <w:szCs w:val="24"/>
          <w:lang w:val="es-PE" w:eastAsia="es-ES"/>
        </w:rPr>
      </w:pPr>
    </w:p>
    <w:p w14:paraId="18501BDA" w14:textId="5B1E784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lastRenderedPageBreak/>
        <w:t xml:space="preserve">Esta Defensoría no tiene duda, por el mérito de los documentos que han sido presentados, que el reclamante ya presentaba un cuadro de enfermedad (infección COVID1-19) generada con anterioridad a su afiliación al seguro, de lo cual no informó a la aseguradora; empero, no es menos cierto, que ese cuadro no había sido diagnosticado con certeza, en los términos que lo demanda la póliza de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 redactados por ella misma, por lo que no es posible invocar la pretendida exclusión.</w:t>
      </w:r>
    </w:p>
    <w:p w14:paraId="54492F05"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p>
    <w:p w14:paraId="169DAED5" w14:textId="6E821DE2"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Se deja constancia que este aspecto fue específicamente tratado con ocasión de la vista, señalándose que correspondía a la aseguradora probar lo relativo a un diagnóstico cierto por profesional médico colegiado, ya que la carencia de dicho diagnóstico era la situación invocada por el reclamante para negar haber incurrido en exclusión de cobertura, máxime cuando ya el asegurado había solicitado directamente a la aseguradora que le presente ese diagnóstico.  A la fecha, </w:t>
      </w:r>
      <w:r w:rsidR="00E23A9B">
        <w:rPr>
          <w:rFonts w:ascii="Arial" w:hAnsi="Arial" w:cs="Arial"/>
          <w:lang w:val="es-PE"/>
        </w:rPr>
        <w:t>..................</w:t>
      </w:r>
      <w:r w:rsidRPr="009765CD">
        <w:rPr>
          <w:rFonts w:ascii="Times New Roman" w:eastAsia="Times New Roman" w:hAnsi="Times New Roman" w:cs="Times New Roman"/>
          <w:i/>
          <w:iCs/>
          <w:sz w:val="24"/>
          <w:szCs w:val="24"/>
          <w:lang w:val="es-PE" w:eastAsia="es-ES"/>
        </w:rPr>
        <w:t>no ha presentado ese diagnóstico generado en su oportunidad, ya que uno ex post carece evidentemente de relevancia para fines contractuales.</w:t>
      </w:r>
    </w:p>
    <w:p w14:paraId="3A48D6F4" w14:textId="77777777"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p>
    <w:p w14:paraId="176B239D" w14:textId="16EA42AC" w:rsidR="009765CD" w:rsidRPr="009765CD" w:rsidRDefault="009765CD" w:rsidP="009765CD">
      <w:pPr>
        <w:tabs>
          <w:tab w:val="left" w:pos="709"/>
          <w:tab w:val="left" w:pos="2160"/>
        </w:tabs>
        <w:spacing w:after="0" w:line="240" w:lineRule="auto"/>
        <w:ind w:left="709"/>
        <w:jc w:val="both"/>
        <w:rPr>
          <w:rFonts w:ascii="Times New Roman" w:eastAsia="Times New Roman" w:hAnsi="Times New Roman" w:cs="Times New Roman"/>
          <w:i/>
          <w:iCs/>
          <w:sz w:val="24"/>
          <w:szCs w:val="24"/>
          <w:lang w:val="es-PE" w:eastAsia="es-ES"/>
        </w:rPr>
      </w:pPr>
      <w:r w:rsidRPr="009765CD">
        <w:rPr>
          <w:rFonts w:ascii="Times New Roman" w:eastAsia="Times New Roman" w:hAnsi="Times New Roman" w:cs="Times New Roman"/>
          <w:i/>
          <w:iCs/>
          <w:sz w:val="24"/>
          <w:szCs w:val="24"/>
          <w:lang w:val="es-PE" w:eastAsia="es-ES"/>
        </w:rPr>
        <w:t xml:space="preserve">Por lo tanto, </w:t>
      </w:r>
      <w:r w:rsidR="00E23A9B">
        <w:rPr>
          <w:rFonts w:ascii="Arial" w:hAnsi="Arial" w:cs="Arial"/>
          <w:lang w:val="es-PE"/>
        </w:rPr>
        <w:t>..................</w:t>
      </w:r>
      <w:r w:rsidR="00E23A9B">
        <w:rPr>
          <w:rFonts w:ascii="Arial" w:hAnsi="Arial" w:cs="Arial"/>
          <w:lang w:val="es-PE"/>
        </w:rPr>
        <w:t xml:space="preserve"> </w:t>
      </w:r>
      <w:r w:rsidRPr="009765CD">
        <w:rPr>
          <w:rFonts w:ascii="Times New Roman" w:eastAsia="Times New Roman" w:hAnsi="Times New Roman" w:cs="Times New Roman"/>
          <w:i/>
          <w:iCs/>
          <w:sz w:val="24"/>
          <w:szCs w:val="24"/>
          <w:lang w:val="es-PE" w:eastAsia="es-ES"/>
        </w:rPr>
        <w:t>no ha probado que el asegurado haya incurrido en la exclusión invocada para fines del rechazo de cobertura comunicado en su oportunidad, siendo que menos ha probado que dicha exclusión haya sido informada oportunamente al asegurado, ni que aquélla está efectivamente contenida en el condicionado de la póliza grupal a la cual dicho asegurado se afilió.  Se deja constancia que, conforme a lo analizado precedentemente, la legitimidad del rechazo se sustenta en que la aseguradora pruebe los tres aspectos referidos, y no sólo alguno de ellos, de ser el caso.</w:t>
      </w:r>
    </w:p>
    <w:p w14:paraId="0441F0C4" w14:textId="77777777"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PE"/>
        </w:rPr>
      </w:pPr>
    </w:p>
    <w:p w14:paraId="70BE418D" w14:textId="5C5C3AF4"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hAnsi="Times New Roman" w:cs="Times New Roman"/>
          <w:sz w:val="24"/>
          <w:szCs w:val="24"/>
          <w:lang w:val="es-PE"/>
        </w:rPr>
        <w:t>Esta Defensoría ya ha destacado, expresamente, que está demostrado p</w:t>
      </w:r>
      <w:r w:rsidRPr="009765CD">
        <w:rPr>
          <w:rFonts w:ascii="Times New Roman" w:eastAsia="Times New Roman" w:hAnsi="Times New Roman" w:cs="Times New Roman"/>
          <w:sz w:val="24"/>
          <w:szCs w:val="24"/>
          <w:lang w:val="es-PE" w:eastAsia="es-ES"/>
        </w:rPr>
        <w:t xml:space="preserve">or el mérito de los diversos documentos que han sido presentados, por los síntomas referidos en el recurso impugnativo de vista, que el reclamante ya presentaba un cuadro de enfermedad (infección COVID1-19) generada con anterioridad a su afiliación al seguro grupal, de lo cual no informó a la aseguradora.  Conforme a ello, resulta innecesario que en </w:t>
      </w:r>
      <w:proofErr w:type="spellStart"/>
      <w:r w:rsidRPr="009765CD">
        <w:rPr>
          <w:rFonts w:ascii="Times New Roman" w:eastAsia="Times New Roman" w:hAnsi="Times New Roman" w:cs="Times New Roman"/>
          <w:sz w:val="24"/>
          <w:szCs w:val="24"/>
          <w:lang w:val="es-PE" w:eastAsia="es-ES"/>
        </w:rPr>
        <w:t>e</w:t>
      </w:r>
      <w:proofErr w:type="spellEnd"/>
      <w:r w:rsidRPr="009765CD">
        <w:rPr>
          <w:rFonts w:ascii="Times New Roman" w:eastAsia="Times New Roman" w:hAnsi="Times New Roman" w:cs="Times New Roman"/>
          <w:sz w:val="24"/>
          <w:szCs w:val="24"/>
          <w:lang w:val="es-PE" w:eastAsia="es-ES"/>
        </w:rPr>
        <w:t xml:space="preserve"> recurso impugnativo se insista en querer demostrar algo que la Defensoría ya ha reconocido que está demostrado.  Empero, esta Defensoría también ha destacado que no es menos cierto que ese cuadro no había sido diagnosticado con certeza, </w:t>
      </w:r>
      <w:r w:rsidRPr="009765CD">
        <w:rPr>
          <w:rFonts w:ascii="Times New Roman" w:eastAsia="Times New Roman" w:hAnsi="Times New Roman" w:cs="Times New Roman"/>
          <w:b/>
          <w:bCs/>
          <w:sz w:val="24"/>
          <w:szCs w:val="24"/>
          <w:u w:val="single"/>
          <w:lang w:val="es-PE" w:eastAsia="es-ES"/>
        </w:rPr>
        <w:t>en los términos que lo demanda la póliza</w:t>
      </w:r>
      <w:r w:rsidRPr="009765CD">
        <w:rPr>
          <w:rFonts w:ascii="Times New Roman" w:eastAsia="Times New Roman" w:hAnsi="Times New Roman" w:cs="Times New Roman"/>
          <w:sz w:val="24"/>
          <w:szCs w:val="24"/>
          <w:lang w:val="es-PE" w:eastAsia="es-ES"/>
        </w:rPr>
        <w:t xml:space="preserve"> de </w:t>
      </w:r>
      <w:r w:rsidR="00E23A9B">
        <w:rPr>
          <w:rFonts w:ascii="Arial" w:hAnsi="Arial" w:cs="Arial"/>
          <w:lang w:val="es-PE"/>
        </w:rPr>
        <w:t>..................</w:t>
      </w:r>
      <w:r w:rsidRPr="009765CD">
        <w:rPr>
          <w:rFonts w:ascii="Times New Roman" w:eastAsia="Times New Roman" w:hAnsi="Times New Roman" w:cs="Times New Roman"/>
          <w:sz w:val="24"/>
          <w:szCs w:val="24"/>
          <w:lang w:val="es-PE" w:eastAsia="es-ES"/>
        </w:rPr>
        <w:t>, redactados por ella misma, por lo que no es posible invocar la pretendida exclusión.</w:t>
      </w:r>
    </w:p>
    <w:p w14:paraId="4DE5C0D2" w14:textId="77777777"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p>
    <w:p w14:paraId="02232936" w14:textId="77777777"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 xml:space="preserve">En efecto, según el régimen de exclusiones, la enfermedad preexistente </w:t>
      </w:r>
      <w:r w:rsidRPr="009765CD">
        <w:rPr>
          <w:rFonts w:ascii="Times New Roman" w:eastAsia="Times New Roman" w:hAnsi="Times New Roman" w:cs="Times New Roman"/>
          <w:b/>
          <w:bCs/>
          <w:sz w:val="24"/>
          <w:szCs w:val="24"/>
          <w:u w:val="single"/>
          <w:lang w:val="es-PE" w:eastAsia="es-ES"/>
        </w:rPr>
        <w:t xml:space="preserve">debe haber sido diagnosticada por un profesional médico colegiado, ser conocida por el asegurado, y no haberse resuelto a la fecha de la declaración de salud.  </w:t>
      </w:r>
      <w:r w:rsidRPr="009765CD">
        <w:rPr>
          <w:rFonts w:ascii="Times New Roman" w:eastAsia="Times New Roman" w:hAnsi="Times New Roman" w:cs="Times New Roman"/>
          <w:sz w:val="24"/>
          <w:szCs w:val="24"/>
          <w:lang w:val="es-PE" w:eastAsia="es-ES"/>
        </w:rPr>
        <w:t>Siendo requisitos o exigencias concurrentes, la ausencia de uno impide que se configure la exclusión.</w:t>
      </w:r>
    </w:p>
    <w:p w14:paraId="19F0A5D5" w14:textId="77777777"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p>
    <w:p w14:paraId="40168C1C" w14:textId="24073E7A"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 xml:space="preserve">De dicha manera, este colegiado se limita a aplicar lo que el contrato de seguro regula (partiendo de la premisa que contienen la exclusión bajo análisis, dado que </w:t>
      </w:r>
      <w:r w:rsidR="00221F46">
        <w:rPr>
          <w:rFonts w:ascii="Arial" w:hAnsi="Arial" w:cs="Arial"/>
          <w:lang w:val="es-PE"/>
        </w:rPr>
        <w:t>..................</w:t>
      </w:r>
      <w:r w:rsidRPr="009765CD">
        <w:rPr>
          <w:rFonts w:ascii="Times New Roman" w:eastAsia="Times New Roman" w:hAnsi="Times New Roman" w:cs="Times New Roman"/>
          <w:sz w:val="24"/>
          <w:szCs w:val="24"/>
          <w:lang w:val="es-PE" w:eastAsia="es-ES"/>
        </w:rPr>
        <w:t>no ha probado la misma ni su conocimiento por el asegurado).</w:t>
      </w:r>
    </w:p>
    <w:p w14:paraId="3C09F3B3" w14:textId="77777777"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p>
    <w:p w14:paraId="64D6F896" w14:textId="7AA01ABD"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r w:rsidRPr="009765CD">
        <w:rPr>
          <w:rFonts w:ascii="Times New Roman" w:eastAsia="Times New Roman" w:hAnsi="Times New Roman" w:cs="Times New Roman"/>
          <w:sz w:val="24"/>
          <w:szCs w:val="24"/>
          <w:lang w:val="es-PE" w:eastAsia="es-ES"/>
        </w:rPr>
        <w:t xml:space="preserve">Lo cierto es que </w:t>
      </w:r>
      <w:r w:rsidR="00221F46">
        <w:rPr>
          <w:rFonts w:ascii="Arial" w:hAnsi="Arial" w:cs="Arial"/>
          <w:lang w:val="es-PE"/>
        </w:rPr>
        <w:t>..................</w:t>
      </w:r>
      <w:r w:rsidRPr="009765CD">
        <w:rPr>
          <w:rFonts w:ascii="Times New Roman" w:eastAsia="Times New Roman" w:hAnsi="Times New Roman" w:cs="Times New Roman"/>
          <w:sz w:val="24"/>
          <w:szCs w:val="24"/>
          <w:lang w:val="es-PE" w:eastAsia="es-ES"/>
        </w:rPr>
        <w:t xml:space="preserve">no ha presentado documento alguno que pruebe ese diagnóstico médico; no hay dudas que ha habido pruebas de despistaje, y que uno arrojó un resultado positivo, pero no está demostrado que hubo un diagnóstico de profesional médico.  </w:t>
      </w:r>
      <w:proofErr w:type="gramStart"/>
      <w:r w:rsidRPr="009765CD">
        <w:rPr>
          <w:rFonts w:ascii="Times New Roman" w:eastAsia="Times New Roman" w:hAnsi="Times New Roman" w:cs="Times New Roman"/>
          <w:sz w:val="24"/>
          <w:szCs w:val="24"/>
          <w:lang w:val="es-PE" w:eastAsia="es-ES"/>
        </w:rPr>
        <w:t>De acuerdo al</w:t>
      </w:r>
      <w:proofErr w:type="gramEnd"/>
      <w:r w:rsidRPr="009765CD">
        <w:rPr>
          <w:rFonts w:ascii="Times New Roman" w:eastAsia="Times New Roman" w:hAnsi="Times New Roman" w:cs="Times New Roman"/>
          <w:sz w:val="24"/>
          <w:szCs w:val="24"/>
          <w:lang w:val="es-PE" w:eastAsia="es-ES"/>
        </w:rPr>
        <w:t xml:space="preserve"> artículo 77 de la Ley Nro. 29946 – Ley del Contrato de Seguro, corresponde a la aseguradora, a </w:t>
      </w:r>
      <w:r w:rsidR="00221F46">
        <w:rPr>
          <w:rFonts w:ascii="Arial" w:hAnsi="Arial" w:cs="Arial"/>
          <w:lang w:val="es-PE"/>
        </w:rPr>
        <w:t>..................</w:t>
      </w:r>
      <w:r w:rsidR="00221F46">
        <w:rPr>
          <w:rFonts w:ascii="Arial" w:hAnsi="Arial" w:cs="Arial"/>
          <w:lang w:val="es-PE"/>
        </w:rPr>
        <w:t xml:space="preserve"> </w:t>
      </w:r>
      <w:r w:rsidRPr="009765CD">
        <w:rPr>
          <w:rFonts w:ascii="Times New Roman" w:eastAsia="Times New Roman" w:hAnsi="Times New Roman" w:cs="Times New Roman"/>
          <w:sz w:val="24"/>
          <w:szCs w:val="24"/>
          <w:lang w:val="es-PE" w:eastAsia="es-ES"/>
        </w:rPr>
        <w:t xml:space="preserve">en el caso en particular, probar la causa que la libera de su prestación </w:t>
      </w:r>
      <w:r w:rsidRPr="009765CD">
        <w:rPr>
          <w:rFonts w:ascii="Times New Roman" w:eastAsia="Times New Roman" w:hAnsi="Times New Roman" w:cs="Times New Roman"/>
          <w:sz w:val="24"/>
          <w:szCs w:val="24"/>
          <w:lang w:val="es-PE" w:eastAsia="es-ES"/>
        </w:rPr>
        <w:lastRenderedPageBreak/>
        <w:t xml:space="preserve">indemnizatoria.  Y esa causa debe estar sustentada en el contrato o en la ley.  En el presente caso, no está contractualmente configurada la preexistencia tal como lo demanda la propia póliza redactada por </w:t>
      </w:r>
      <w:r w:rsidR="00221F46">
        <w:rPr>
          <w:rFonts w:ascii="Arial" w:hAnsi="Arial" w:cs="Arial"/>
          <w:lang w:val="es-PE"/>
        </w:rPr>
        <w:t>..................</w:t>
      </w:r>
      <w:r w:rsidRPr="009765CD">
        <w:rPr>
          <w:rFonts w:ascii="Times New Roman" w:eastAsia="Times New Roman" w:hAnsi="Times New Roman" w:cs="Times New Roman"/>
          <w:sz w:val="24"/>
          <w:szCs w:val="24"/>
          <w:lang w:val="es-PE" w:eastAsia="es-ES"/>
        </w:rPr>
        <w:t>, más allá que en los hechos se haya verificado.</w:t>
      </w:r>
    </w:p>
    <w:p w14:paraId="260B752D" w14:textId="77777777" w:rsidR="009765CD" w:rsidRPr="009765CD" w:rsidRDefault="009765CD" w:rsidP="009765CD">
      <w:pPr>
        <w:tabs>
          <w:tab w:val="left" w:pos="0"/>
          <w:tab w:val="left" w:pos="2160"/>
        </w:tabs>
        <w:spacing w:after="0" w:line="240" w:lineRule="auto"/>
        <w:jc w:val="both"/>
        <w:rPr>
          <w:rFonts w:ascii="Times New Roman" w:eastAsia="Times New Roman" w:hAnsi="Times New Roman" w:cs="Times New Roman"/>
          <w:sz w:val="24"/>
          <w:szCs w:val="24"/>
          <w:lang w:val="es-PE" w:eastAsia="es-ES"/>
        </w:rPr>
      </w:pPr>
    </w:p>
    <w:p w14:paraId="209AFB4B" w14:textId="46772289" w:rsidR="009765CD" w:rsidRPr="009765CD" w:rsidRDefault="00221F46" w:rsidP="009765CD">
      <w:pPr>
        <w:tabs>
          <w:tab w:val="left" w:pos="0"/>
          <w:tab w:val="left" w:pos="2160"/>
        </w:tabs>
        <w:spacing w:after="0" w:line="240" w:lineRule="auto"/>
        <w:jc w:val="both"/>
        <w:rPr>
          <w:rFonts w:ascii="Times New Roman" w:hAnsi="Times New Roman" w:cs="Times New Roman"/>
          <w:sz w:val="24"/>
          <w:szCs w:val="24"/>
          <w:lang w:val="es-PE"/>
        </w:rPr>
      </w:pPr>
      <w:r>
        <w:rPr>
          <w:rFonts w:ascii="Arial" w:hAnsi="Arial" w:cs="Arial"/>
          <w:lang w:val="es-PE"/>
        </w:rPr>
        <w:t>..................</w:t>
      </w:r>
      <w:r w:rsidR="009765CD" w:rsidRPr="009765CD">
        <w:rPr>
          <w:rFonts w:ascii="Times New Roman" w:eastAsia="Times New Roman" w:hAnsi="Times New Roman" w:cs="Times New Roman"/>
          <w:sz w:val="24"/>
          <w:szCs w:val="24"/>
          <w:lang w:val="es-PE" w:eastAsia="es-ES"/>
        </w:rPr>
        <w:t xml:space="preserve">, ejerciendo su derecho de investigación, pudo haber requerido al asegurado que presente las historias clínicas que estimase pertinentes, de manera que con la rigurosidad del caso, pudiese determinar si se había generado contractualmente la exclusión; de no haberlo hecho, le compete a </w:t>
      </w:r>
      <w:r>
        <w:rPr>
          <w:rFonts w:ascii="Arial" w:hAnsi="Arial" w:cs="Arial"/>
          <w:lang w:val="es-PE"/>
        </w:rPr>
        <w:t>..................</w:t>
      </w:r>
      <w:r>
        <w:rPr>
          <w:rFonts w:ascii="Arial" w:hAnsi="Arial" w:cs="Arial"/>
          <w:lang w:val="es-PE"/>
        </w:rPr>
        <w:t xml:space="preserve"> </w:t>
      </w:r>
      <w:r w:rsidR="009765CD" w:rsidRPr="009765CD">
        <w:rPr>
          <w:rFonts w:ascii="Times New Roman" w:eastAsia="Times New Roman" w:hAnsi="Times New Roman" w:cs="Times New Roman"/>
          <w:sz w:val="24"/>
          <w:szCs w:val="24"/>
          <w:lang w:val="es-PE" w:eastAsia="es-ES"/>
        </w:rPr>
        <w:t xml:space="preserve">asumir las consecuencias correspondientes, siendo inaceptable que pretenda trasladar </w:t>
      </w:r>
      <w:r w:rsidR="009765CD" w:rsidRPr="009765CD">
        <w:rPr>
          <w:rFonts w:ascii="Times New Roman" w:eastAsia="Times New Roman" w:hAnsi="Times New Roman" w:cs="Times New Roman"/>
          <w:i/>
          <w:iCs/>
          <w:sz w:val="24"/>
          <w:szCs w:val="24"/>
          <w:lang w:val="es-PE" w:eastAsia="es-ES"/>
        </w:rPr>
        <w:t xml:space="preserve">ex post </w:t>
      </w:r>
      <w:r w:rsidR="009765CD" w:rsidRPr="009765CD">
        <w:rPr>
          <w:rFonts w:ascii="Times New Roman" w:eastAsia="Times New Roman" w:hAnsi="Times New Roman" w:cs="Times New Roman"/>
          <w:sz w:val="24"/>
          <w:szCs w:val="24"/>
          <w:lang w:val="es-PE" w:eastAsia="es-ES"/>
        </w:rPr>
        <w:t>su carga probatoria a la DEFASEG para que ésta supla su deficiencia, situación que además no está autorizada reglamentariamente, conforme ya ha sido destacado.</w:t>
      </w:r>
    </w:p>
    <w:p w14:paraId="74A72BB5" w14:textId="77777777"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PE"/>
        </w:rPr>
      </w:pPr>
    </w:p>
    <w:p w14:paraId="4C44B930" w14:textId="7D121AB8"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ES"/>
        </w:rPr>
      </w:pPr>
      <w:r w:rsidRPr="009765CD">
        <w:rPr>
          <w:rFonts w:ascii="Times New Roman" w:hAnsi="Times New Roman" w:cs="Times New Roman"/>
          <w:b/>
          <w:sz w:val="24"/>
          <w:szCs w:val="24"/>
          <w:u w:val="single"/>
          <w:lang w:val="es-PE"/>
        </w:rPr>
        <w:t>Quinto</w:t>
      </w:r>
      <w:r w:rsidRPr="009765CD">
        <w:rPr>
          <w:rFonts w:ascii="Times New Roman" w:hAnsi="Times New Roman" w:cs="Times New Roman"/>
          <w:b/>
          <w:sz w:val="24"/>
          <w:szCs w:val="24"/>
          <w:lang w:val="es-PE"/>
        </w:rPr>
        <w:t>:</w:t>
      </w:r>
      <w:r w:rsidRPr="009765CD">
        <w:rPr>
          <w:rFonts w:ascii="Times New Roman" w:hAnsi="Times New Roman" w:cs="Times New Roman"/>
          <w:sz w:val="24"/>
          <w:szCs w:val="24"/>
          <w:lang w:val="es-PE"/>
        </w:rPr>
        <w:t xml:space="preserve"> No</w:t>
      </w:r>
      <w:r w:rsidRPr="009765CD">
        <w:rPr>
          <w:rFonts w:ascii="Times New Roman" w:hAnsi="Times New Roman" w:cs="Times New Roman"/>
          <w:bCs/>
          <w:sz w:val="24"/>
          <w:szCs w:val="24"/>
          <w:lang w:val="es-PE"/>
        </w:rPr>
        <w:t xml:space="preserve"> habiéndose acreditado argumento que desautorice lo resuelto, este colegiado estima que el </w:t>
      </w:r>
      <w:r w:rsidRPr="009765CD">
        <w:rPr>
          <w:rFonts w:ascii="Times New Roman" w:hAnsi="Times New Roman" w:cs="Times New Roman"/>
          <w:sz w:val="24"/>
          <w:szCs w:val="24"/>
          <w:lang w:val="es-ES"/>
        </w:rPr>
        <w:t xml:space="preserve">recurso impugnativo interpuesto puede ser categorizado, por su contenido mismo, como una solicitud de revisión general, sustentado en el muy respetable criterio de </w:t>
      </w:r>
      <w:r w:rsidR="00221F46">
        <w:rPr>
          <w:rFonts w:ascii="Arial" w:hAnsi="Arial" w:cs="Arial"/>
          <w:lang w:val="es-PE"/>
        </w:rPr>
        <w:t>..................</w:t>
      </w:r>
      <w:r w:rsidRPr="009765CD">
        <w:rPr>
          <w:rFonts w:ascii="Times New Roman" w:hAnsi="Times New Roman" w:cs="Times New Roman"/>
          <w:sz w:val="24"/>
          <w:szCs w:val="24"/>
          <w:lang w:val="es-ES"/>
        </w:rPr>
        <w:t xml:space="preserve"> que este colegiado no comparte, sin aportar nuevo medio probatorio relevante que permita apreciar objetivamente que este colegiado habría incurrido en un error o vicio al momento de resolver.</w:t>
      </w:r>
    </w:p>
    <w:p w14:paraId="038138CA" w14:textId="77777777" w:rsidR="009765CD" w:rsidRPr="009765CD" w:rsidRDefault="009765CD" w:rsidP="009765CD">
      <w:pPr>
        <w:tabs>
          <w:tab w:val="left" w:pos="0"/>
          <w:tab w:val="left" w:pos="2160"/>
        </w:tabs>
        <w:spacing w:after="0" w:line="240" w:lineRule="auto"/>
        <w:jc w:val="both"/>
        <w:rPr>
          <w:rFonts w:ascii="Times New Roman" w:hAnsi="Times New Roman" w:cs="Times New Roman"/>
          <w:sz w:val="24"/>
          <w:szCs w:val="24"/>
          <w:lang w:val="es-PE"/>
        </w:rPr>
      </w:pPr>
    </w:p>
    <w:p w14:paraId="0F6C4267" w14:textId="5C1324A1" w:rsidR="009765CD" w:rsidRPr="009765CD" w:rsidRDefault="009765CD" w:rsidP="009765CD">
      <w:pPr>
        <w:tabs>
          <w:tab w:val="left" w:pos="2160"/>
        </w:tabs>
        <w:spacing w:after="0" w:line="240" w:lineRule="auto"/>
        <w:jc w:val="both"/>
        <w:rPr>
          <w:rFonts w:ascii="Times New Roman" w:hAnsi="Times New Roman" w:cs="Times New Roman"/>
          <w:sz w:val="24"/>
          <w:szCs w:val="24"/>
          <w:lang w:val="es-PE"/>
        </w:rPr>
      </w:pPr>
      <w:r w:rsidRPr="009765CD">
        <w:rPr>
          <w:rFonts w:ascii="Times New Roman" w:hAnsi="Times New Roman" w:cs="Times New Roman"/>
          <w:b/>
          <w:sz w:val="24"/>
          <w:szCs w:val="24"/>
          <w:u w:val="single"/>
          <w:lang w:val="es-PE"/>
        </w:rPr>
        <w:t>Sexto</w:t>
      </w:r>
      <w:r w:rsidRPr="009765CD">
        <w:rPr>
          <w:rFonts w:ascii="Times New Roman" w:hAnsi="Times New Roman" w:cs="Times New Roman"/>
          <w:b/>
          <w:sz w:val="24"/>
          <w:szCs w:val="24"/>
          <w:lang w:val="es-PE"/>
        </w:rPr>
        <w:t>:</w:t>
      </w:r>
      <w:r w:rsidRPr="009765CD">
        <w:rPr>
          <w:rFonts w:ascii="Times New Roman" w:hAnsi="Times New Roman" w:cs="Times New Roman"/>
          <w:sz w:val="24"/>
          <w:szCs w:val="24"/>
          <w:lang w:val="es-PE"/>
        </w:rPr>
        <w:t xml:space="preserve"> Exhortar a </w:t>
      </w:r>
      <w:r w:rsidR="00221F46">
        <w:rPr>
          <w:rFonts w:ascii="Arial" w:hAnsi="Arial" w:cs="Arial"/>
          <w:lang w:val="es-PE"/>
        </w:rPr>
        <w:t>..................</w:t>
      </w:r>
      <w:r w:rsidR="00221F46">
        <w:rPr>
          <w:rFonts w:ascii="Arial" w:hAnsi="Arial" w:cs="Arial"/>
          <w:lang w:val="es-PE"/>
        </w:rPr>
        <w:t xml:space="preserve"> </w:t>
      </w:r>
      <w:r w:rsidRPr="009765CD">
        <w:rPr>
          <w:rFonts w:ascii="Times New Roman" w:hAnsi="Times New Roman" w:cs="Times New Roman"/>
          <w:sz w:val="24"/>
          <w:szCs w:val="24"/>
          <w:lang w:val="es-PE"/>
        </w:rPr>
        <w:t>para que tenga en especial consideración las precisiones contenidas en el segundo considerando de la presente resolución.</w:t>
      </w:r>
    </w:p>
    <w:p w14:paraId="473C128E" w14:textId="77777777" w:rsidR="009765CD" w:rsidRPr="009765CD" w:rsidRDefault="009765CD" w:rsidP="009765CD">
      <w:pPr>
        <w:tabs>
          <w:tab w:val="left" w:pos="2160"/>
        </w:tabs>
        <w:spacing w:after="0" w:line="240" w:lineRule="auto"/>
        <w:jc w:val="both"/>
        <w:rPr>
          <w:rFonts w:ascii="Times New Roman" w:hAnsi="Times New Roman" w:cs="Times New Roman"/>
          <w:sz w:val="24"/>
          <w:szCs w:val="24"/>
          <w:lang w:val="es-PE"/>
        </w:rPr>
      </w:pPr>
    </w:p>
    <w:p w14:paraId="66A0A0B5" w14:textId="77777777" w:rsidR="009765CD" w:rsidRPr="009765CD" w:rsidRDefault="009765CD" w:rsidP="009765CD">
      <w:pPr>
        <w:tabs>
          <w:tab w:val="left" w:pos="2160"/>
        </w:tabs>
        <w:spacing w:after="0" w:line="240" w:lineRule="auto"/>
        <w:jc w:val="both"/>
        <w:rPr>
          <w:rFonts w:ascii="Times New Roman" w:hAnsi="Times New Roman" w:cs="Times New Roman"/>
          <w:sz w:val="24"/>
          <w:szCs w:val="24"/>
          <w:lang w:val="es-ES"/>
        </w:rPr>
      </w:pPr>
      <w:r w:rsidRPr="009765CD">
        <w:rPr>
          <w:rFonts w:ascii="Times New Roman" w:hAnsi="Times New Roman" w:cs="Times New Roman"/>
          <w:sz w:val="24"/>
          <w:szCs w:val="24"/>
          <w:lang w:val="es-ES"/>
        </w:rPr>
        <w:t>En atención a las consideraciones precedentes, esta Defensoría no aprecia mérito ni razón para revocar la resolución recurrida; por lo tanto,</w:t>
      </w:r>
    </w:p>
    <w:p w14:paraId="3B4238C4" w14:textId="77777777" w:rsidR="009765CD" w:rsidRPr="009765CD" w:rsidRDefault="009765CD" w:rsidP="009765CD">
      <w:pPr>
        <w:spacing w:after="0" w:line="240" w:lineRule="auto"/>
        <w:jc w:val="both"/>
        <w:rPr>
          <w:rFonts w:ascii="Times New Roman" w:hAnsi="Times New Roman" w:cs="Times New Roman"/>
          <w:sz w:val="24"/>
          <w:szCs w:val="24"/>
          <w:lang w:val="es-PE"/>
        </w:rPr>
      </w:pPr>
    </w:p>
    <w:p w14:paraId="76887817" w14:textId="77777777" w:rsidR="009765CD" w:rsidRPr="009765CD" w:rsidRDefault="009765CD" w:rsidP="009765CD">
      <w:pPr>
        <w:spacing w:after="0" w:line="240" w:lineRule="auto"/>
        <w:jc w:val="both"/>
        <w:rPr>
          <w:rFonts w:ascii="Times New Roman" w:hAnsi="Times New Roman" w:cs="Times New Roman"/>
          <w:b/>
          <w:sz w:val="24"/>
          <w:szCs w:val="24"/>
          <w:lang w:val="es-PE"/>
        </w:rPr>
      </w:pPr>
      <w:r w:rsidRPr="009765CD">
        <w:rPr>
          <w:rFonts w:ascii="Times New Roman" w:hAnsi="Times New Roman" w:cs="Times New Roman"/>
          <w:b/>
          <w:sz w:val="24"/>
          <w:szCs w:val="24"/>
          <w:lang w:val="es-PE"/>
        </w:rPr>
        <w:t>Atendiendo a lo expresado, conforme a su reglamento, este colegiado resuelve:</w:t>
      </w:r>
    </w:p>
    <w:p w14:paraId="6C73EFBB" w14:textId="77777777" w:rsidR="009765CD" w:rsidRPr="009765CD" w:rsidRDefault="009765CD" w:rsidP="009765CD">
      <w:pPr>
        <w:spacing w:after="0" w:line="240" w:lineRule="auto"/>
        <w:jc w:val="both"/>
        <w:rPr>
          <w:rFonts w:ascii="Times New Roman" w:eastAsia="Arial Unicode MS" w:hAnsi="Times New Roman" w:cs="Times New Roman"/>
          <w:b/>
          <w:sz w:val="24"/>
          <w:szCs w:val="24"/>
          <w:lang w:val="es-PE"/>
        </w:rPr>
      </w:pPr>
    </w:p>
    <w:p w14:paraId="36C0CFFF" w14:textId="5FE8FA24" w:rsidR="009765CD" w:rsidRPr="009765CD" w:rsidRDefault="009765CD" w:rsidP="009765CD">
      <w:pPr>
        <w:tabs>
          <w:tab w:val="left" w:pos="0"/>
          <w:tab w:val="left" w:pos="708"/>
          <w:tab w:val="left" w:pos="1416"/>
          <w:tab w:val="left" w:pos="2160"/>
          <w:tab w:val="left" w:pos="3540"/>
          <w:tab w:val="left" w:pos="4248"/>
          <w:tab w:val="left" w:pos="4956"/>
          <w:tab w:val="left" w:pos="5664"/>
          <w:tab w:val="left" w:pos="6372"/>
          <w:tab w:val="left" w:pos="7125"/>
        </w:tabs>
        <w:jc w:val="both"/>
        <w:rPr>
          <w:rFonts w:ascii="Times New Roman" w:eastAsia="Arial Unicode MS" w:hAnsi="Times New Roman" w:cs="Times New Roman"/>
          <w:sz w:val="24"/>
          <w:szCs w:val="24"/>
          <w:lang w:val="es-PE"/>
        </w:rPr>
      </w:pPr>
      <w:r w:rsidRPr="009765CD">
        <w:rPr>
          <w:rFonts w:ascii="Times New Roman" w:eastAsia="Arial Unicode MS" w:hAnsi="Times New Roman" w:cs="Times New Roman"/>
          <w:b/>
          <w:sz w:val="24"/>
          <w:szCs w:val="24"/>
          <w:lang w:val="es-PE"/>
        </w:rPr>
        <w:t xml:space="preserve">Declarar INFUNDADO el recurso impugnativo </w:t>
      </w:r>
      <w:r w:rsidRPr="009765CD">
        <w:rPr>
          <w:rFonts w:ascii="Times New Roman" w:eastAsia="Arial Unicode MS" w:hAnsi="Times New Roman" w:cs="Times New Roman"/>
          <w:sz w:val="24"/>
          <w:szCs w:val="24"/>
          <w:lang w:val="es-PE"/>
        </w:rPr>
        <w:t xml:space="preserve">interpuesto por </w:t>
      </w:r>
      <w:r w:rsidR="00221F46">
        <w:rPr>
          <w:rFonts w:ascii="Arial" w:hAnsi="Arial" w:cs="Arial"/>
          <w:lang w:val="es-PE"/>
        </w:rPr>
        <w:t>..................</w:t>
      </w:r>
      <w:r w:rsidR="00221F46">
        <w:rPr>
          <w:rFonts w:ascii="Arial" w:hAnsi="Arial" w:cs="Arial"/>
          <w:lang w:val="es-PE"/>
        </w:rPr>
        <w:t xml:space="preserve"> </w:t>
      </w:r>
      <w:r w:rsidRPr="009765CD">
        <w:rPr>
          <w:rFonts w:ascii="Times New Roman" w:hAnsi="Times New Roman" w:cs="Times New Roman"/>
          <w:sz w:val="24"/>
          <w:szCs w:val="24"/>
          <w:lang w:val="es-ES"/>
        </w:rPr>
        <w:t>y, por consiguiente,</w:t>
      </w:r>
      <w:r w:rsidRPr="009765CD">
        <w:rPr>
          <w:rFonts w:ascii="Times New Roman" w:hAnsi="Times New Roman" w:cs="Times New Roman"/>
          <w:b/>
          <w:bCs/>
          <w:sz w:val="24"/>
          <w:szCs w:val="24"/>
          <w:lang w:val="es-PE"/>
        </w:rPr>
        <w:t xml:space="preserve"> RATIFICAR LA</w:t>
      </w:r>
      <w:r w:rsidRPr="009765CD">
        <w:rPr>
          <w:rFonts w:ascii="Times New Roman" w:eastAsia="Times New Roman" w:hAnsi="Times New Roman" w:cs="Times New Roman"/>
          <w:b/>
          <w:bCs/>
          <w:sz w:val="24"/>
          <w:szCs w:val="24"/>
          <w:lang w:val="es-ES" w:eastAsia="ar-SA"/>
        </w:rPr>
        <w:t xml:space="preserve"> RESOLUCIÓN Nro. 018/21, </w:t>
      </w:r>
      <w:r w:rsidRPr="009765CD">
        <w:rPr>
          <w:rFonts w:ascii="Times New Roman" w:eastAsia="Times New Roman" w:hAnsi="Times New Roman" w:cs="Times New Roman"/>
          <w:sz w:val="24"/>
          <w:szCs w:val="24"/>
          <w:lang w:val="es-ES" w:eastAsia="ar-SA"/>
        </w:rPr>
        <w:t>del 16 de febrero de 2021 que declaró fundada la reclamación</w:t>
      </w:r>
      <w:r w:rsidRPr="009765CD">
        <w:rPr>
          <w:rFonts w:ascii="Times New Roman" w:eastAsia="Times New Roman" w:hAnsi="Times New Roman" w:cs="Times New Roman"/>
          <w:sz w:val="24"/>
          <w:szCs w:val="24"/>
          <w:lang w:val="es-PE" w:eastAsia="es-ES"/>
        </w:rPr>
        <w:t>.</w:t>
      </w:r>
    </w:p>
    <w:p w14:paraId="486C3F46" w14:textId="5DF5737D" w:rsidR="00C671F5" w:rsidRPr="005A4C4E" w:rsidRDefault="0091528B" w:rsidP="009765CD">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4D6978">
        <w:rPr>
          <w:rFonts w:ascii="Times New Roman" w:eastAsia="Arial Unicode MS" w:hAnsi="Times New Roman" w:cs="Times New Roman"/>
          <w:sz w:val="24"/>
          <w:szCs w:val="24"/>
          <w:lang w:val="es-PE" w:eastAsia="ar-SA"/>
        </w:rPr>
        <w:t>2</w:t>
      </w:r>
      <w:r w:rsidR="009765CD">
        <w:rPr>
          <w:rFonts w:ascii="Times New Roman" w:eastAsia="Arial Unicode MS" w:hAnsi="Times New Roman" w:cs="Times New Roman"/>
          <w:sz w:val="24"/>
          <w:szCs w:val="24"/>
          <w:lang w:val="es-PE" w:eastAsia="ar-SA"/>
        </w:rPr>
        <w:t>9</w:t>
      </w:r>
      <w:r w:rsidR="00707C99" w:rsidRPr="005A4C4E">
        <w:rPr>
          <w:rFonts w:ascii="Times New Roman" w:eastAsia="Arial Unicode MS" w:hAnsi="Times New Roman" w:cs="Times New Roman"/>
          <w:sz w:val="24"/>
          <w:szCs w:val="24"/>
          <w:lang w:val="es-PE" w:eastAsia="ar-SA"/>
        </w:rPr>
        <w:t xml:space="preserve"> de </w:t>
      </w:r>
      <w:r w:rsidR="00BF5A34" w:rsidRPr="005A4C4E">
        <w:rPr>
          <w:rFonts w:ascii="Times New Roman" w:eastAsia="Arial Unicode MS" w:hAnsi="Times New Roman" w:cs="Times New Roman"/>
          <w:sz w:val="24"/>
          <w:szCs w:val="24"/>
          <w:lang w:val="es-PE" w:eastAsia="ar-SA"/>
        </w:rPr>
        <w:t>marzo</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9"/>
      <w:footerReference w:type="default" r:id="rId10"/>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F8F66" w14:textId="77777777" w:rsidR="004060E9" w:rsidRDefault="004060E9" w:rsidP="00784355">
      <w:pPr>
        <w:spacing w:after="0" w:line="240" w:lineRule="auto"/>
      </w:pPr>
      <w:r>
        <w:separator/>
      </w:r>
    </w:p>
  </w:endnote>
  <w:endnote w:type="continuationSeparator" w:id="0">
    <w:p w14:paraId="1ECD6CD8" w14:textId="77777777" w:rsidR="004060E9" w:rsidRDefault="004060E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51DE" w14:textId="77777777" w:rsidR="004060E9" w:rsidRDefault="004060E9" w:rsidP="00784355">
      <w:pPr>
        <w:spacing w:after="0" w:line="240" w:lineRule="auto"/>
      </w:pPr>
      <w:r>
        <w:separator/>
      </w:r>
    </w:p>
  </w:footnote>
  <w:footnote w:type="continuationSeparator" w:id="0">
    <w:p w14:paraId="1DE2BC23" w14:textId="77777777" w:rsidR="004060E9" w:rsidRDefault="004060E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7"/>
  </w:num>
  <w:num w:numId="3">
    <w:abstractNumId w:val="5"/>
  </w:num>
  <w:num w:numId="4">
    <w:abstractNumId w:val="4"/>
  </w:num>
  <w:num w:numId="5">
    <w:abstractNumId w:val="6"/>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2"/>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968D9"/>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1F46"/>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3045E3"/>
    <w:rsid w:val="00310DD6"/>
    <w:rsid w:val="00313D12"/>
    <w:rsid w:val="0032132E"/>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734AD"/>
    <w:rsid w:val="00A837A0"/>
    <w:rsid w:val="00A83AB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3A9B"/>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377AB"/>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06EB3C5-BF4C-4C7C-99DD-15DB4B124CF9}"/>
</file>

<file path=customXml/itemProps3.xml><?xml version="1.0" encoding="utf-8"?>
<ds:datastoreItem xmlns:ds="http://schemas.openxmlformats.org/officeDocument/2006/customXml" ds:itemID="{EB43D991-E719-4FC1-87B2-F635BB2213D1}"/>
</file>

<file path=customXml/itemProps4.xml><?xml version="1.0" encoding="utf-8"?>
<ds:datastoreItem xmlns:ds="http://schemas.openxmlformats.org/officeDocument/2006/customXml" ds:itemID="{7CFAD61A-FDA8-437D-BDF3-85F5770ACC4A}"/>
</file>

<file path=docProps/app.xml><?xml version="1.0" encoding="utf-8"?>
<Properties xmlns="http://schemas.openxmlformats.org/officeDocument/2006/extended-properties" xmlns:vt="http://schemas.openxmlformats.org/officeDocument/2006/docPropsVTypes">
  <Template>Normal</Template>
  <TotalTime>195</TotalTime>
  <Pages>9</Pages>
  <Words>4343</Words>
  <Characters>23892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53</cp:revision>
  <cp:lastPrinted>2021-03-29T14:33:00Z</cp:lastPrinted>
  <dcterms:created xsi:type="dcterms:W3CDTF">2020-12-18T20:17:00Z</dcterms:created>
  <dcterms:modified xsi:type="dcterms:W3CDTF">2022-01-27T22:53:00Z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