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90F86A" w14:textId="282A622B" w:rsidR="00C11BCB" w:rsidRPr="00EA67A0" w:rsidRDefault="00201C0D" w:rsidP="00720157">
      <w:pPr>
        <w:suppressAutoHyphens/>
        <w:spacing w:after="0" w:line="240" w:lineRule="auto"/>
        <w:jc w:val="center"/>
        <w:rPr>
          <w:rFonts w:ascii="Times New Roman" w:hAnsi="Times New Roman" w:cs="Times New Roman"/>
          <w:b/>
          <w:sz w:val="24"/>
          <w:szCs w:val="24"/>
          <w:lang w:val="es-PE" w:eastAsia="ar-SA"/>
        </w:rPr>
      </w:pPr>
      <w:r w:rsidRPr="00EA67A0">
        <w:rPr>
          <w:rFonts w:ascii="Times New Roman" w:hAnsi="Times New Roman" w:cs="Times New Roman"/>
          <w:b/>
          <w:sz w:val="24"/>
          <w:szCs w:val="24"/>
          <w:lang w:val="es-PE" w:eastAsia="ar-SA"/>
        </w:rPr>
        <w:t xml:space="preserve">RESOLUCIÓN DE RECURSO IMPUGNATIVO </w:t>
      </w:r>
      <w:proofErr w:type="spellStart"/>
      <w:r w:rsidR="00707C99" w:rsidRPr="00EA67A0">
        <w:rPr>
          <w:rFonts w:ascii="Times New Roman" w:hAnsi="Times New Roman" w:cs="Times New Roman"/>
          <w:b/>
          <w:sz w:val="24"/>
          <w:szCs w:val="24"/>
          <w:lang w:val="es-PE" w:eastAsia="ar-SA"/>
        </w:rPr>
        <w:t>N°</w:t>
      </w:r>
      <w:proofErr w:type="spellEnd"/>
      <w:r w:rsidR="00707C99" w:rsidRPr="00EA67A0">
        <w:rPr>
          <w:rFonts w:ascii="Times New Roman" w:hAnsi="Times New Roman" w:cs="Times New Roman"/>
          <w:b/>
          <w:sz w:val="24"/>
          <w:szCs w:val="24"/>
          <w:lang w:val="es-PE" w:eastAsia="ar-SA"/>
        </w:rPr>
        <w:t xml:space="preserve"> </w:t>
      </w:r>
      <w:r w:rsidR="00C671F5" w:rsidRPr="00EA67A0">
        <w:rPr>
          <w:rFonts w:ascii="Times New Roman" w:hAnsi="Times New Roman" w:cs="Times New Roman"/>
          <w:b/>
          <w:sz w:val="24"/>
          <w:szCs w:val="24"/>
          <w:lang w:val="es-PE" w:eastAsia="ar-SA"/>
        </w:rPr>
        <w:t>0</w:t>
      </w:r>
      <w:r w:rsidR="008E71FA" w:rsidRPr="00EA67A0">
        <w:rPr>
          <w:rFonts w:ascii="Times New Roman" w:hAnsi="Times New Roman" w:cs="Times New Roman"/>
          <w:b/>
          <w:sz w:val="24"/>
          <w:szCs w:val="24"/>
          <w:lang w:val="es-PE" w:eastAsia="ar-SA"/>
        </w:rPr>
        <w:t>28</w:t>
      </w:r>
      <w:r w:rsidR="00C671F5" w:rsidRPr="00EA67A0">
        <w:rPr>
          <w:rFonts w:ascii="Times New Roman" w:hAnsi="Times New Roman" w:cs="Times New Roman"/>
          <w:b/>
          <w:sz w:val="24"/>
          <w:szCs w:val="24"/>
          <w:lang w:val="es-PE" w:eastAsia="ar-SA"/>
        </w:rPr>
        <w:t>/2</w:t>
      </w:r>
      <w:r w:rsidR="00231C58" w:rsidRPr="00EA67A0">
        <w:rPr>
          <w:rFonts w:ascii="Times New Roman" w:hAnsi="Times New Roman" w:cs="Times New Roman"/>
          <w:b/>
          <w:sz w:val="24"/>
          <w:szCs w:val="24"/>
          <w:lang w:val="es-PE" w:eastAsia="ar-SA"/>
        </w:rPr>
        <w:t>1</w:t>
      </w:r>
    </w:p>
    <w:p w14:paraId="02DE4AEF" w14:textId="77777777" w:rsidR="00720157" w:rsidRPr="00EA67A0" w:rsidRDefault="00720157" w:rsidP="00720157">
      <w:pPr>
        <w:suppressAutoHyphens/>
        <w:spacing w:after="0" w:line="240" w:lineRule="auto"/>
        <w:jc w:val="center"/>
        <w:rPr>
          <w:rFonts w:ascii="Times New Roman" w:eastAsia="Times New Roman" w:hAnsi="Times New Roman" w:cs="Times New Roman"/>
          <w:b/>
          <w:bCs/>
          <w:sz w:val="24"/>
          <w:szCs w:val="24"/>
          <w:lang w:val="es-PE" w:eastAsia="ar-SA"/>
        </w:rPr>
      </w:pPr>
    </w:p>
    <w:p w14:paraId="00F84D54" w14:textId="43C5A4C7" w:rsidR="00EA67A0" w:rsidRPr="00EA67A0" w:rsidRDefault="00EA67A0" w:rsidP="00EA67A0">
      <w:pPr>
        <w:jc w:val="both"/>
        <w:outlineLvl w:val="0"/>
        <w:rPr>
          <w:rFonts w:ascii="Times New Roman" w:hAnsi="Times New Roman" w:cs="Times New Roman"/>
          <w:b/>
          <w:sz w:val="24"/>
          <w:szCs w:val="24"/>
          <w:lang w:val="es-PE"/>
        </w:rPr>
      </w:pPr>
      <w:r w:rsidRPr="00EA67A0">
        <w:rPr>
          <w:rFonts w:ascii="Times New Roman" w:hAnsi="Times New Roman" w:cs="Times New Roman"/>
          <w:b/>
          <w:sz w:val="24"/>
          <w:szCs w:val="24"/>
          <w:lang w:val="es-PE"/>
        </w:rPr>
        <w:t>VISTOS:</w:t>
      </w:r>
    </w:p>
    <w:p w14:paraId="3D0E248A" w14:textId="52B5923E" w:rsidR="00EA67A0" w:rsidRPr="00EA67A0" w:rsidRDefault="00EA67A0" w:rsidP="00EA67A0">
      <w:pPr>
        <w:jc w:val="both"/>
        <w:rPr>
          <w:rFonts w:ascii="Times New Roman" w:hAnsi="Times New Roman" w:cs="Times New Roman"/>
          <w:bCs/>
          <w:sz w:val="24"/>
          <w:szCs w:val="24"/>
          <w:lang w:val="es-PE"/>
        </w:rPr>
      </w:pPr>
      <w:r w:rsidRPr="00EA67A0">
        <w:rPr>
          <w:rFonts w:ascii="Times New Roman" w:hAnsi="Times New Roman" w:cs="Times New Roman"/>
          <w:bCs/>
          <w:sz w:val="24"/>
          <w:szCs w:val="24"/>
          <w:lang w:val="es-PE"/>
        </w:rPr>
        <w:t xml:space="preserve">El recurso de impugnación presentado el 21 de febrero de 2021 por doña </w:t>
      </w:r>
      <w:r w:rsidR="00C3269E">
        <w:rPr>
          <w:rFonts w:ascii="Arial" w:hAnsi="Arial" w:cs="Arial"/>
          <w:lang w:val="es-PE"/>
        </w:rPr>
        <w:t>..................</w:t>
      </w:r>
      <w:r w:rsidR="00C3269E">
        <w:rPr>
          <w:rFonts w:ascii="Arial" w:hAnsi="Arial" w:cs="Arial"/>
          <w:lang w:val="es-PE"/>
        </w:rPr>
        <w:t xml:space="preserve"> </w:t>
      </w:r>
      <w:r w:rsidRPr="00EA67A0">
        <w:rPr>
          <w:rFonts w:ascii="Times New Roman" w:hAnsi="Times New Roman" w:cs="Times New Roman"/>
          <w:bCs/>
          <w:sz w:val="24"/>
          <w:szCs w:val="24"/>
          <w:lang w:val="es-PE"/>
        </w:rPr>
        <w:t xml:space="preserve">respecto de la Resolución Nro. 016/21 de fecha 15 de febrero de 2021, expedida por el Órgano Resolutivo Unipersonal de esta Defensoría del Asegurado (DEFASEG), conforme a la cual se declaró INFUNDADA la reclamación interpuesta contra </w:t>
      </w:r>
      <w:r w:rsidR="00C3269E">
        <w:rPr>
          <w:rFonts w:ascii="Arial" w:hAnsi="Arial" w:cs="Arial"/>
          <w:lang w:val="es-PE"/>
        </w:rPr>
        <w:t>..................</w:t>
      </w:r>
      <w:r w:rsidR="00C3269E">
        <w:rPr>
          <w:rFonts w:ascii="Arial" w:hAnsi="Arial" w:cs="Arial"/>
          <w:lang w:val="es-PE"/>
        </w:rPr>
        <w:t xml:space="preserve"> </w:t>
      </w:r>
      <w:r w:rsidRPr="00EA67A0">
        <w:rPr>
          <w:rFonts w:ascii="Times New Roman" w:hAnsi="Times New Roman" w:cs="Times New Roman"/>
          <w:bCs/>
          <w:sz w:val="24"/>
          <w:szCs w:val="24"/>
          <w:lang w:val="es-PE"/>
        </w:rPr>
        <w:t xml:space="preserve">respecto al </w:t>
      </w:r>
      <w:r w:rsidRPr="00EA67A0">
        <w:rPr>
          <w:rFonts w:ascii="Times New Roman" w:hAnsi="Times New Roman" w:cs="Times New Roman"/>
          <w:sz w:val="24"/>
          <w:szCs w:val="24"/>
          <w:lang w:val="es-PE"/>
        </w:rPr>
        <w:t xml:space="preserve">SEGURO DE PROTECCIÓN DE TARJETA - PÓLIZA </w:t>
      </w:r>
      <w:proofErr w:type="spellStart"/>
      <w:r w:rsidRPr="00EA67A0">
        <w:rPr>
          <w:rFonts w:ascii="Times New Roman" w:hAnsi="Times New Roman" w:cs="Times New Roman"/>
          <w:sz w:val="24"/>
          <w:szCs w:val="24"/>
          <w:lang w:val="es-PE"/>
        </w:rPr>
        <w:t>N°</w:t>
      </w:r>
      <w:proofErr w:type="spellEnd"/>
      <w:r w:rsidRPr="00EA67A0">
        <w:rPr>
          <w:rFonts w:ascii="Times New Roman" w:hAnsi="Times New Roman" w:cs="Times New Roman"/>
          <w:sz w:val="24"/>
          <w:szCs w:val="24"/>
          <w:lang w:val="es-PE"/>
        </w:rPr>
        <w:t xml:space="preserve"> </w:t>
      </w:r>
      <w:bookmarkStart w:id="0" w:name="OLE_LINK2"/>
      <w:r w:rsidR="00C3269E">
        <w:rPr>
          <w:rFonts w:ascii="Arial" w:hAnsi="Arial" w:cs="Arial"/>
          <w:lang w:val="es-PE"/>
        </w:rPr>
        <w:t>..................</w:t>
      </w:r>
      <w:r w:rsidRPr="00EA67A0">
        <w:rPr>
          <w:rFonts w:ascii="Times New Roman" w:hAnsi="Times New Roman" w:cs="Times New Roman"/>
          <w:sz w:val="24"/>
          <w:szCs w:val="24"/>
          <w:lang w:val="es-PE"/>
        </w:rPr>
        <w:t>, contratado</w:t>
      </w:r>
      <w:r w:rsidRPr="00EA67A0">
        <w:rPr>
          <w:rFonts w:ascii="Times New Roman" w:hAnsi="Times New Roman" w:cs="Times New Roman"/>
          <w:bCs/>
          <w:sz w:val="24"/>
          <w:szCs w:val="24"/>
          <w:lang w:val="es-PE"/>
        </w:rPr>
        <w:t xml:space="preserve"> a través de Scotiabank Perú S.A.A.</w:t>
      </w:r>
      <w:bookmarkEnd w:id="0"/>
    </w:p>
    <w:p w14:paraId="2C327B7A" w14:textId="47262A47" w:rsidR="00EA67A0" w:rsidRDefault="00EA67A0" w:rsidP="00EA67A0">
      <w:pPr>
        <w:pStyle w:val="Textoindependiente"/>
        <w:rPr>
          <w:lang w:val="es-PE"/>
        </w:rPr>
      </w:pPr>
      <w:r w:rsidRPr="00EA67A0">
        <w:rPr>
          <w:lang w:val="es-PE"/>
        </w:rPr>
        <w:t>Que, el indicado recurso se sustenta resumidamente en lo siguiente: a) en la resolución emitida no se considera la denuncia policial donde tipifica la denuncia como hurto y el movimiento de la tarjeta de crédito donde claramente señala el movimiento el día 28 de agosto retiro en cajero automático por el monto de 3000 soles; b) en su caso hubo una sustracción clandestina ya que se encubrió la entrega de la tarjeta que hizo en su domicilio; c) el expediente no menciona las exclusiones ya que su caso no está incluido en las exclusiones; en la resolución se habla de estafa en la exclusiones no se menciona dicho término.</w:t>
      </w:r>
    </w:p>
    <w:p w14:paraId="1E30AD80" w14:textId="77777777" w:rsidR="00EA67A0" w:rsidRPr="00EA67A0" w:rsidRDefault="00EA67A0" w:rsidP="00EA67A0">
      <w:pPr>
        <w:pStyle w:val="Textoindependiente"/>
        <w:rPr>
          <w:lang w:val="es-PE"/>
        </w:rPr>
      </w:pPr>
    </w:p>
    <w:p w14:paraId="4F78BF3E" w14:textId="6CE38387" w:rsidR="00EA67A0" w:rsidRDefault="00EA67A0" w:rsidP="00EA67A0">
      <w:pPr>
        <w:pStyle w:val="Default"/>
        <w:jc w:val="both"/>
        <w:rPr>
          <w:rFonts w:ascii="Times New Roman" w:hAnsi="Times New Roman" w:cs="Times New Roman"/>
          <w:bCs/>
        </w:rPr>
      </w:pPr>
      <w:r w:rsidRPr="00EA67A0">
        <w:rPr>
          <w:rFonts w:ascii="Times New Roman" w:hAnsi="Times New Roman" w:cs="Times New Roman"/>
          <w:bCs/>
        </w:rPr>
        <w:t>Que, habiéndose corrido traslado de la respectiva impugnación a la empresa aseguradora, esta no ha cumplido con absolverla; siendo que el expediente se encuentra en condiciones para que este colegiado expida su pronunciamiento.</w:t>
      </w:r>
    </w:p>
    <w:p w14:paraId="6F39B8B1" w14:textId="77777777" w:rsidR="00EA67A0" w:rsidRPr="00EA67A0" w:rsidRDefault="00EA67A0" w:rsidP="00EA67A0">
      <w:pPr>
        <w:pStyle w:val="Default"/>
        <w:jc w:val="both"/>
        <w:rPr>
          <w:rFonts w:ascii="Times New Roman" w:hAnsi="Times New Roman" w:cs="Times New Roman"/>
          <w:bCs/>
        </w:rPr>
      </w:pPr>
    </w:p>
    <w:p w14:paraId="664D8676" w14:textId="77777777" w:rsidR="00EA67A0" w:rsidRPr="00EA67A0" w:rsidRDefault="00EA67A0" w:rsidP="00EA67A0">
      <w:pPr>
        <w:pStyle w:val="Textoindependiente"/>
        <w:tabs>
          <w:tab w:val="left" w:pos="930"/>
        </w:tabs>
        <w:rPr>
          <w:lang w:val="es-PE"/>
        </w:rPr>
      </w:pPr>
      <w:r w:rsidRPr="00EA67A0">
        <w:rPr>
          <w:lang w:val="es-PE"/>
        </w:rPr>
        <w:t>Atendiendo a lo expuesto, esta Defensoría resuelve finalmente lo siguiente:</w:t>
      </w:r>
    </w:p>
    <w:p w14:paraId="472C4E02" w14:textId="77777777" w:rsidR="00EA67A0" w:rsidRPr="00EA67A0" w:rsidRDefault="00EA67A0" w:rsidP="00EA67A0">
      <w:pPr>
        <w:pStyle w:val="Default"/>
        <w:jc w:val="both"/>
        <w:rPr>
          <w:rFonts w:ascii="Times New Roman" w:hAnsi="Times New Roman" w:cs="Times New Roman"/>
          <w:bCs/>
        </w:rPr>
      </w:pPr>
    </w:p>
    <w:p w14:paraId="2D84C5FC" w14:textId="146F58D0" w:rsidR="00EA67A0" w:rsidRPr="00EA67A0" w:rsidRDefault="00EA67A0" w:rsidP="00EA67A0">
      <w:pPr>
        <w:jc w:val="both"/>
        <w:rPr>
          <w:rFonts w:ascii="Times New Roman" w:hAnsi="Times New Roman" w:cs="Times New Roman"/>
          <w:bCs/>
          <w:sz w:val="24"/>
          <w:szCs w:val="24"/>
          <w:lang w:val="es-PE"/>
        </w:rPr>
      </w:pPr>
      <w:r w:rsidRPr="00EA67A0">
        <w:rPr>
          <w:rFonts w:ascii="Times New Roman" w:hAnsi="Times New Roman" w:cs="Times New Roman"/>
          <w:b/>
          <w:sz w:val="24"/>
          <w:szCs w:val="24"/>
          <w:u w:val="single"/>
          <w:lang w:val="es-PE"/>
        </w:rPr>
        <w:t>PRIMERO</w:t>
      </w:r>
      <w:r w:rsidRPr="00EA67A0">
        <w:rPr>
          <w:rFonts w:ascii="Times New Roman" w:hAnsi="Times New Roman" w:cs="Times New Roman"/>
          <w:b/>
          <w:sz w:val="24"/>
          <w:szCs w:val="24"/>
          <w:lang w:val="es-PE"/>
        </w:rPr>
        <w:t>:</w:t>
      </w:r>
      <w:r w:rsidRPr="00EA67A0">
        <w:rPr>
          <w:rFonts w:ascii="Times New Roman" w:hAnsi="Times New Roman" w:cs="Times New Roman"/>
          <w:bCs/>
          <w:sz w:val="24"/>
          <w:szCs w:val="24"/>
          <w:lang w:val="es-PE"/>
        </w:rPr>
        <w:t xml:space="preserve"> El artículo 10 (Procedimiento) del Reglamento de la DEFASEG </w:t>
      </w:r>
      <w:r w:rsidRPr="00EA67A0">
        <w:rPr>
          <w:rFonts w:ascii="Times New Roman" w:eastAsia="Arial Unicode MS" w:hAnsi="Times New Roman" w:cs="Times New Roman"/>
          <w:bCs/>
          <w:sz w:val="24"/>
          <w:szCs w:val="24"/>
          <w:lang w:val="es-PE"/>
        </w:rPr>
        <w:t>(http://www.defaseg.com.pe/reglamento)</w:t>
      </w:r>
      <w:r w:rsidRPr="00EA67A0">
        <w:rPr>
          <w:rFonts w:ascii="Times New Roman" w:hAnsi="Times New Roman" w:cs="Times New Roman"/>
          <w:bCs/>
          <w:sz w:val="24"/>
          <w:szCs w:val="24"/>
          <w:lang w:val="es-PE"/>
        </w:rPr>
        <w:t xml:space="preserve"> establece que cualquiera de las partes que no se encuentre de acuerdo con la decisión adoptada por el colegiado sobre la materia reclamada, podrá impugnarla, interponiendo el correspondiente recurso de impugnación.  </w:t>
      </w:r>
    </w:p>
    <w:p w14:paraId="3BF56F3A" w14:textId="0EAED671" w:rsidR="00EA67A0" w:rsidRPr="00EA67A0" w:rsidRDefault="00EA67A0" w:rsidP="00EA67A0">
      <w:pPr>
        <w:jc w:val="both"/>
        <w:rPr>
          <w:rFonts w:ascii="Times New Roman" w:hAnsi="Times New Roman" w:cs="Times New Roman"/>
          <w:bCs/>
          <w:sz w:val="24"/>
          <w:szCs w:val="24"/>
          <w:lang w:val="es-PE"/>
        </w:rPr>
      </w:pPr>
      <w:r w:rsidRPr="00EA67A0">
        <w:rPr>
          <w:rFonts w:ascii="Times New Roman" w:hAnsi="Times New Roman" w:cs="Times New Roman"/>
          <w:bCs/>
          <w:sz w:val="24"/>
          <w:szCs w:val="24"/>
          <w:lang w:val="es-PE"/>
        </w:rPr>
        <w:t>Conforme a ello, en el caso concreto, al interponer el recurso de impugnación el reclamante ha ejercido formalmente su derecho a contradecir lo resuelto por la Defensoría.</w:t>
      </w:r>
    </w:p>
    <w:p w14:paraId="39D5DFF5" w14:textId="64656D56" w:rsidR="00EA67A0" w:rsidRPr="00EA67A0" w:rsidRDefault="00EA67A0" w:rsidP="00EA67A0">
      <w:pPr>
        <w:jc w:val="both"/>
        <w:rPr>
          <w:rFonts w:ascii="Times New Roman" w:hAnsi="Times New Roman" w:cs="Times New Roman"/>
          <w:sz w:val="24"/>
          <w:szCs w:val="24"/>
          <w:lang w:val="es-PE"/>
        </w:rPr>
      </w:pPr>
      <w:r w:rsidRPr="00EA67A0">
        <w:rPr>
          <w:rFonts w:ascii="Times New Roman" w:hAnsi="Times New Roman" w:cs="Times New Roman"/>
          <w:b/>
          <w:sz w:val="24"/>
          <w:szCs w:val="24"/>
          <w:u w:val="single"/>
          <w:lang w:val="es-PE"/>
        </w:rPr>
        <w:t>SEGUNDO:</w:t>
      </w:r>
      <w:r w:rsidRPr="00EA67A0">
        <w:rPr>
          <w:rFonts w:ascii="Times New Roman" w:hAnsi="Times New Roman" w:cs="Times New Roman"/>
          <w:bCs/>
          <w:sz w:val="24"/>
          <w:szCs w:val="24"/>
          <w:lang w:val="es-PE"/>
        </w:rPr>
        <w:t xml:space="preserve">  </w:t>
      </w:r>
      <w:r w:rsidRPr="00EA67A0">
        <w:rPr>
          <w:rFonts w:ascii="Times New Roman" w:hAnsi="Times New Roman" w:cs="Times New Roman"/>
          <w:sz w:val="24"/>
          <w:szCs w:val="24"/>
          <w:lang w:val="es-PE"/>
        </w:rPr>
        <w:t xml:space="preserve">Que si bien el reclamante expresa su posición y manifiesta las razones por las cuales discrepa de lo resuelto por esta Defensoría, no desvirtúa el análisis contenido en la resolución impugnada, constituyendo por el contrario una opinión sustentada en un análisis distinto que este colegiado no comparte. </w:t>
      </w:r>
    </w:p>
    <w:p w14:paraId="07CA0F63" w14:textId="2220769A" w:rsidR="00EA67A0" w:rsidRPr="00EA67A0" w:rsidRDefault="00EA67A0" w:rsidP="00EA67A0">
      <w:pPr>
        <w:jc w:val="both"/>
        <w:rPr>
          <w:rFonts w:ascii="Times New Roman" w:hAnsi="Times New Roman" w:cs="Times New Roman"/>
          <w:sz w:val="24"/>
          <w:szCs w:val="24"/>
          <w:lang w:val="es-PE"/>
        </w:rPr>
      </w:pPr>
      <w:r w:rsidRPr="00EA67A0">
        <w:rPr>
          <w:rFonts w:ascii="Times New Roman" w:hAnsi="Times New Roman" w:cs="Times New Roman"/>
          <w:sz w:val="24"/>
          <w:szCs w:val="24"/>
          <w:lang w:val="es-PE"/>
        </w:rPr>
        <w:t xml:space="preserve">Sin perjuicio de ello, a </w:t>
      </w:r>
      <w:proofErr w:type="gramStart"/>
      <w:r w:rsidRPr="00EA67A0">
        <w:rPr>
          <w:rFonts w:ascii="Times New Roman" w:hAnsi="Times New Roman" w:cs="Times New Roman"/>
          <w:sz w:val="24"/>
          <w:szCs w:val="24"/>
          <w:lang w:val="es-PE"/>
        </w:rPr>
        <w:t>continuación</w:t>
      </w:r>
      <w:proofErr w:type="gramEnd"/>
      <w:r w:rsidRPr="00EA67A0">
        <w:rPr>
          <w:rFonts w:ascii="Times New Roman" w:hAnsi="Times New Roman" w:cs="Times New Roman"/>
          <w:sz w:val="24"/>
          <w:szCs w:val="24"/>
          <w:lang w:val="es-PE"/>
        </w:rPr>
        <w:t xml:space="preserve"> nos pronunciamos sobre los siguientes aspectos en los que sustenta su reclamo.</w:t>
      </w:r>
    </w:p>
    <w:p w14:paraId="038CAAFD" w14:textId="5272BD2C" w:rsidR="00EA67A0" w:rsidRPr="00EA67A0" w:rsidRDefault="00EA67A0" w:rsidP="00EA67A0">
      <w:pPr>
        <w:jc w:val="both"/>
        <w:rPr>
          <w:rFonts w:ascii="Times New Roman" w:hAnsi="Times New Roman" w:cs="Times New Roman"/>
          <w:bCs/>
          <w:sz w:val="24"/>
          <w:szCs w:val="24"/>
          <w:lang w:val="es-PE"/>
        </w:rPr>
      </w:pPr>
      <w:r w:rsidRPr="00EA67A0">
        <w:rPr>
          <w:rFonts w:ascii="Times New Roman" w:hAnsi="Times New Roman" w:cs="Times New Roman"/>
          <w:bCs/>
          <w:sz w:val="24"/>
          <w:szCs w:val="24"/>
          <w:lang w:val="es-PE"/>
        </w:rPr>
        <w:t xml:space="preserve">La recurrente señala que estaríamos ante un hurto pues así está señalado en la denuncia policial. Al respecto, se precisa que se puede haber producido el hurto de dinero, pero no de la tarjeta de crédito, la cual fue entregada voluntariamente por </w:t>
      </w:r>
      <w:proofErr w:type="gramStart"/>
      <w:r w:rsidRPr="00EA67A0">
        <w:rPr>
          <w:rFonts w:ascii="Times New Roman" w:hAnsi="Times New Roman" w:cs="Times New Roman"/>
          <w:bCs/>
          <w:sz w:val="24"/>
          <w:szCs w:val="24"/>
          <w:lang w:val="es-PE"/>
        </w:rPr>
        <w:t>la reclamante producto</w:t>
      </w:r>
      <w:proofErr w:type="gramEnd"/>
      <w:r w:rsidRPr="00EA67A0">
        <w:rPr>
          <w:rFonts w:ascii="Times New Roman" w:hAnsi="Times New Roman" w:cs="Times New Roman"/>
          <w:bCs/>
          <w:sz w:val="24"/>
          <w:szCs w:val="24"/>
          <w:lang w:val="es-PE"/>
        </w:rPr>
        <w:t xml:space="preserve"> de la estafa de la cual fue víctima.</w:t>
      </w:r>
    </w:p>
    <w:p w14:paraId="7978225B" w14:textId="16D028EA" w:rsidR="00EA67A0" w:rsidRPr="00EA67A0" w:rsidRDefault="00EA67A0" w:rsidP="00EA67A0">
      <w:pPr>
        <w:jc w:val="both"/>
        <w:rPr>
          <w:rFonts w:ascii="Times New Roman" w:hAnsi="Times New Roman" w:cs="Times New Roman"/>
          <w:bCs/>
          <w:sz w:val="24"/>
          <w:szCs w:val="24"/>
          <w:lang w:val="es-PE"/>
        </w:rPr>
      </w:pPr>
      <w:r w:rsidRPr="00EA67A0">
        <w:rPr>
          <w:rFonts w:ascii="Times New Roman" w:hAnsi="Times New Roman" w:cs="Times New Roman"/>
          <w:bCs/>
          <w:sz w:val="24"/>
          <w:szCs w:val="24"/>
          <w:lang w:val="es-PE"/>
        </w:rPr>
        <w:t xml:space="preserve">Cabe señalar que la póliza no cubre toda sustracción de dinero de cajero automático, sino solamente los que se deriven de los supuestos de cobertura indicados en la póliza. Cuando se produce un supuesto cubierto por la póliza, puede ocurrir que luego de ello, el mismo se </w:t>
      </w:r>
      <w:r w:rsidRPr="00EA67A0">
        <w:rPr>
          <w:rFonts w:ascii="Times New Roman" w:hAnsi="Times New Roman" w:cs="Times New Roman"/>
          <w:bCs/>
          <w:sz w:val="24"/>
          <w:szCs w:val="24"/>
          <w:lang w:val="es-PE"/>
        </w:rPr>
        <w:lastRenderedPageBreak/>
        <w:t>encuentre excluido de cobertura de seguro, en tanto se produce un evento contemplado como “exclusión”. En el caso que nos ocupa, no se requiere que el evento se encuentre contemplado en las exclusiones, en tanto ni siquiera se ha producido el supuesto cubierto por la póliza. En este sentido, el argumento referido por la reclamante respecto a que la estafa no se encuentra comprendida en las exclusiones carece de asidero legal.</w:t>
      </w:r>
    </w:p>
    <w:p w14:paraId="57097D96" w14:textId="6E229BA4" w:rsidR="00EA67A0" w:rsidRPr="00EA67A0" w:rsidRDefault="00EA67A0" w:rsidP="00EA67A0">
      <w:pPr>
        <w:jc w:val="both"/>
        <w:rPr>
          <w:rFonts w:ascii="Times New Roman" w:hAnsi="Times New Roman" w:cs="Times New Roman"/>
          <w:bCs/>
          <w:sz w:val="24"/>
          <w:szCs w:val="24"/>
          <w:lang w:val="es-PE"/>
        </w:rPr>
      </w:pPr>
      <w:r w:rsidRPr="00EA67A0">
        <w:rPr>
          <w:rFonts w:ascii="Times New Roman" w:hAnsi="Times New Roman" w:cs="Times New Roman"/>
          <w:bCs/>
          <w:sz w:val="24"/>
          <w:szCs w:val="24"/>
          <w:lang w:val="es-PE"/>
        </w:rPr>
        <w:t xml:space="preserve">Que, en virtud a lo expuesto, este colegiado considera que no se han presentado pruebas que permitan evidenciar que se ha cometido un error en la resolución impugnada; siendo </w:t>
      </w:r>
      <w:proofErr w:type="gramStart"/>
      <w:r w:rsidRPr="00EA67A0">
        <w:rPr>
          <w:rFonts w:ascii="Times New Roman" w:hAnsi="Times New Roman" w:cs="Times New Roman"/>
          <w:bCs/>
          <w:sz w:val="24"/>
          <w:szCs w:val="24"/>
          <w:lang w:val="es-PE"/>
        </w:rPr>
        <w:t>que</w:t>
      </w:r>
      <w:proofErr w:type="gramEnd"/>
      <w:r w:rsidRPr="00EA67A0">
        <w:rPr>
          <w:rFonts w:ascii="Times New Roman" w:hAnsi="Times New Roman" w:cs="Times New Roman"/>
          <w:bCs/>
          <w:sz w:val="24"/>
          <w:szCs w:val="24"/>
          <w:lang w:val="es-PE"/>
        </w:rPr>
        <w:t xml:space="preserve"> a juicio de este colegiado, el recurso impugnativo interpuesto puede ser categorizado, por su contenido mismo, como una solicitud de revisión general, sustentado en el muy respetable criterio de la aseguradora que este colegiado no comparte definitivamente.</w:t>
      </w:r>
    </w:p>
    <w:p w14:paraId="4FCA1B8F" w14:textId="6806F645" w:rsidR="00EA67A0" w:rsidRPr="00EA67A0" w:rsidRDefault="00EA67A0" w:rsidP="00EA67A0">
      <w:pPr>
        <w:jc w:val="both"/>
        <w:rPr>
          <w:rFonts w:ascii="Times New Roman" w:hAnsi="Times New Roman" w:cs="Times New Roman"/>
          <w:b/>
          <w:sz w:val="24"/>
          <w:szCs w:val="24"/>
          <w:lang w:val="es-PE"/>
        </w:rPr>
      </w:pPr>
      <w:r w:rsidRPr="00EA67A0">
        <w:rPr>
          <w:rFonts w:ascii="Times New Roman" w:hAnsi="Times New Roman" w:cs="Times New Roman"/>
          <w:b/>
          <w:sz w:val="24"/>
          <w:szCs w:val="24"/>
          <w:lang w:val="es-PE"/>
        </w:rPr>
        <w:t>Atendiendo a lo expresado, conforme a su Reglamento, este colegiado resuelve:</w:t>
      </w:r>
    </w:p>
    <w:p w14:paraId="6AE97D80" w14:textId="4F85C0F8" w:rsidR="00C11BCB" w:rsidRPr="00EA67A0" w:rsidRDefault="00EA67A0" w:rsidP="00EA67A0">
      <w:pPr>
        <w:jc w:val="both"/>
        <w:rPr>
          <w:rFonts w:ascii="Times New Roman" w:eastAsia="Arial Unicode MS" w:hAnsi="Times New Roman" w:cs="Times New Roman"/>
          <w:bCs/>
          <w:sz w:val="24"/>
          <w:szCs w:val="24"/>
          <w:lang w:val="es-PE"/>
        </w:rPr>
      </w:pPr>
      <w:r w:rsidRPr="00EA67A0">
        <w:rPr>
          <w:rFonts w:ascii="Times New Roman" w:eastAsia="Arial Unicode MS" w:hAnsi="Times New Roman" w:cs="Times New Roman"/>
          <w:bCs/>
          <w:sz w:val="24"/>
          <w:szCs w:val="24"/>
          <w:lang w:val="es-PE"/>
        </w:rPr>
        <w:t xml:space="preserve">Declarar </w:t>
      </w:r>
      <w:r w:rsidRPr="00EA67A0">
        <w:rPr>
          <w:rFonts w:ascii="Times New Roman" w:eastAsia="Arial Unicode MS" w:hAnsi="Times New Roman" w:cs="Times New Roman"/>
          <w:b/>
          <w:sz w:val="24"/>
          <w:szCs w:val="24"/>
          <w:lang w:val="es-PE"/>
        </w:rPr>
        <w:t xml:space="preserve">INFUNDADO </w:t>
      </w:r>
      <w:r w:rsidRPr="00EA67A0">
        <w:rPr>
          <w:rFonts w:ascii="Times New Roman" w:eastAsia="Arial Unicode MS" w:hAnsi="Times New Roman" w:cs="Times New Roman"/>
          <w:bCs/>
          <w:sz w:val="24"/>
          <w:szCs w:val="24"/>
          <w:lang w:val="es-PE"/>
        </w:rPr>
        <w:t xml:space="preserve">el recurso de impugnación interpuesto y confirmar la Resolución </w:t>
      </w:r>
      <w:proofErr w:type="spellStart"/>
      <w:r w:rsidRPr="00EA67A0">
        <w:rPr>
          <w:rFonts w:ascii="Times New Roman" w:eastAsia="Arial Unicode MS" w:hAnsi="Times New Roman" w:cs="Times New Roman"/>
          <w:bCs/>
          <w:sz w:val="24"/>
          <w:szCs w:val="24"/>
          <w:lang w:val="es-PE"/>
        </w:rPr>
        <w:t>Nº</w:t>
      </w:r>
      <w:proofErr w:type="spellEnd"/>
      <w:r w:rsidRPr="00EA67A0">
        <w:rPr>
          <w:rFonts w:ascii="Times New Roman" w:eastAsia="Arial Unicode MS" w:hAnsi="Times New Roman" w:cs="Times New Roman"/>
          <w:bCs/>
          <w:sz w:val="24"/>
          <w:szCs w:val="24"/>
          <w:lang w:val="es-PE"/>
        </w:rPr>
        <w:t xml:space="preserve"> 016/21 de fecha 15 de febrero de 2021 que declaro infundado el reclamo interpuesto por doña </w:t>
      </w:r>
      <w:r w:rsidR="005B3C4D">
        <w:rPr>
          <w:rFonts w:ascii="Arial" w:hAnsi="Arial" w:cs="Arial"/>
          <w:lang w:val="es-PE"/>
        </w:rPr>
        <w:t>..................</w:t>
      </w:r>
      <w:r w:rsidR="005B3C4D">
        <w:rPr>
          <w:rFonts w:ascii="Arial" w:hAnsi="Arial" w:cs="Arial"/>
          <w:lang w:val="es-PE"/>
        </w:rPr>
        <w:t xml:space="preserve"> </w:t>
      </w:r>
      <w:r w:rsidRPr="00EA67A0">
        <w:rPr>
          <w:rFonts w:ascii="Times New Roman" w:eastAsia="Arial Unicode MS" w:hAnsi="Times New Roman" w:cs="Times New Roman"/>
          <w:bCs/>
          <w:sz w:val="24"/>
          <w:szCs w:val="24"/>
          <w:lang w:val="es-PE"/>
        </w:rPr>
        <w:t xml:space="preserve">contra </w:t>
      </w:r>
      <w:r w:rsidR="005B3C4D">
        <w:rPr>
          <w:rFonts w:ascii="Arial" w:hAnsi="Arial" w:cs="Arial"/>
          <w:lang w:val="es-PE"/>
        </w:rPr>
        <w:t>..................</w:t>
      </w:r>
      <w:r w:rsidRPr="00EA67A0">
        <w:rPr>
          <w:rFonts w:ascii="Times New Roman" w:eastAsia="Arial Unicode MS" w:hAnsi="Times New Roman" w:cs="Times New Roman"/>
          <w:bCs/>
          <w:sz w:val="24"/>
          <w:szCs w:val="24"/>
          <w:lang w:val="es-PE"/>
        </w:rPr>
        <w:t>, dejando a salvo el derecho de la reclamante de recurrir ante las instancias que estime pertinentes.</w:t>
      </w:r>
    </w:p>
    <w:p w14:paraId="486C3F46" w14:textId="0F4BBFBA" w:rsidR="00C671F5" w:rsidRPr="00B115C4" w:rsidRDefault="0091528B" w:rsidP="00CF22D3">
      <w:pPr>
        <w:suppressAutoHyphens/>
        <w:spacing w:after="0" w:line="240" w:lineRule="auto"/>
        <w:jc w:val="right"/>
        <w:outlineLvl w:val="0"/>
        <w:rPr>
          <w:rFonts w:ascii="Times New Roman" w:eastAsia="Arial Unicode MS" w:hAnsi="Times New Roman" w:cs="Times New Roman"/>
          <w:sz w:val="24"/>
          <w:szCs w:val="24"/>
          <w:lang w:val="es-PE" w:eastAsia="ar-SA"/>
        </w:rPr>
      </w:pPr>
      <w:r w:rsidRPr="00CF22D3">
        <w:rPr>
          <w:rFonts w:ascii="Times New Roman" w:eastAsia="Arial Unicode MS" w:hAnsi="Times New Roman" w:cs="Times New Roman"/>
          <w:sz w:val="24"/>
          <w:szCs w:val="24"/>
          <w:lang w:val="es-PE" w:eastAsia="ar-SA"/>
        </w:rPr>
        <w:t xml:space="preserve">Lima, </w:t>
      </w:r>
      <w:r w:rsidR="00EA67A0">
        <w:rPr>
          <w:rFonts w:ascii="Times New Roman" w:eastAsia="Arial Unicode MS" w:hAnsi="Times New Roman" w:cs="Times New Roman"/>
          <w:sz w:val="24"/>
          <w:szCs w:val="24"/>
          <w:lang w:val="es-PE" w:eastAsia="ar-SA"/>
        </w:rPr>
        <w:t xml:space="preserve">08 </w:t>
      </w:r>
      <w:r w:rsidR="00707C99" w:rsidRPr="00CF22D3">
        <w:rPr>
          <w:rFonts w:ascii="Times New Roman" w:eastAsia="Arial Unicode MS" w:hAnsi="Times New Roman" w:cs="Times New Roman"/>
          <w:sz w:val="24"/>
          <w:szCs w:val="24"/>
          <w:lang w:val="es-PE" w:eastAsia="ar-SA"/>
        </w:rPr>
        <w:t xml:space="preserve">de </w:t>
      </w:r>
      <w:r w:rsidR="00EA67A0">
        <w:rPr>
          <w:rFonts w:ascii="Times New Roman" w:eastAsia="Arial Unicode MS" w:hAnsi="Times New Roman" w:cs="Times New Roman"/>
          <w:sz w:val="24"/>
          <w:szCs w:val="24"/>
          <w:lang w:val="es-PE" w:eastAsia="ar-SA"/>
        </w:rPr>
        <w:t xml:space="preserve">abril </w:t>
      </w:r>
      <w:r w:rsidR="00F06498" w:rsidRPr="00CF22D3">
        <w:rPr>
          <w:rFonts w:ascii="Times New Roman" w:eastAsia="Arial Unicode MS" w:hAnsi="Times New Roman" w:cs="Times New Roman"/>
          <w:sz w:val="24"/>
          <w:szCs w:val="24"/>
          <w:lang w:val="es-PE" w:eastAsia="ar-SA"/>
        </w:rPr>
        <w:t>de 202</w:t>
      </w:r>
      <w:r w:rsidR="00231C58" w:rsidRPr="00CF22D3">
        <w:rPr>
          <w:rFonts w:ascii="Times New Roman" w:eastAsia="Arial Unicode MS" w:hAnsi="Times New Roman" w:cs="Times New Roman"/>
          <w:sz w:val="24"/>
          <w:szCs w:val="24"/>
          <w:lang w:val="es-PE" w:eastAsia="ar-SA"/>
        </w:rPr>
        <w:t>1</w:t>
      </w:r>
      <w:r w:rsidR="00707C99" w:rsidRPr="00B115C4">
        <w:rPr>
          <w:rFonts w:ascii="Times New Roman" w:eastAsia="Times New Roman" w:hAnsi="Times New Roman" w:cs="Times New Roman"/>
          <w:sz w:val="24"/>
          <w:szCs w:val="24"/>
          <w:lang w:val="es-PE" w:eastAsia="ar-SA"/>
        </w:rPr>
        <w:t xml:space="preserve"> </w:t>
      </w:r>
    </w:p>
    <w:p w14:paraId="2B9BAAC8" w14:textId="77777777" w:rsidR="00231C58" w:rsidRPr="00B115C4" w:rsidRDefault="00231C58" w:rsidP="00C671F5">
      <w:pPr>
        <w:suppressAutoHyphens/>
        <w:spacing w:after="0" w:line="240" w:lineRule="auto"/>
        <w:outlineLvl w:val="0"/>
        <w:rPr>
          <w:rFonts w:ascii="Times New Roman" w:eastAsia="Times New Roman" w:hAnsi="Times New Roman" w:cs="Times New Roman"/>
          <w:sz w:val="24"/>
          <w:szCs w:val="24"/>
          <w:lang w:val="es-PE" w:eastAsia="ar-SA"/>
        </w:rPr>
      </w:pPr>
    </w:p>
    <w:p w14:paraId="7BC448E0" w14:textId="77777777" w:rsidR="00C671F5" w:rsidRPr="00B115C4" w:rsidRDefault="00C671F5" w:rsidP="00C671F5">
      <w:pPr>
        <w:spacing w:after="0" w:line="240" w:lineRule="auto"/>
        <w:jc w:val="both"/>
        <w:rPr>
          <w:rFonts w:ascii="Times New Roman" w:hAnsi="Times New Roman" w:cs="Times New Roman"/>
          <w:b/>
          <w:bCs/>
          <w:i/>
          <w:iCs/>
          <w:sz w:val="24"/>
          <w:szCs w:val="24"/>
          <w:lang w:val="es-PE"/>
        </w:rPr>
      </w:pPr>
      <w:r w:rsidRPr="00B115C4">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14:paraId="3408E6CE" w14:textId="77777777" w:rsidR="00C671F5" w:rsidRPr="00B115C4" w:rsidRDefault="00C671F5" w:rsidP="00C671F5">
      <w:pPr>
        <w:spacing w:after="0" w:line="360" w:lineRule="auto"/>
        <w:jc w:val="both"/>
        <w:rPr>
          <w:rFonts w:ascii="Times New Roman" w:hAnsi="Times New Roman" w:cs="Times New Roman"/>
          <w:b/>
          <w:bCs/>
          <w:i/>
          <w:iCs/>
          <w:sz w:val="24"/>
          <w:szCs w:val="24"/>
          <w:lang w:val="es-PE"/>
        </w:rPr>
      </w:pPr>
    </w:p>
    <w:p w14:paraId="0AC29F6A" w14:textId="77777777" w:rsidR="00DE2C76" w:rsidRPr="005A4C4E" w:rsidRDefault="00DE2C76" w:rsidP="00DE2C76">
      <w:pPr>
        <w:spacing w:after="0" w:line="360" w:lineRule="auto"/>
        <w:jc w:val="center"/>
        <w:rPr>
          <w:rFonts w:ascii="Times New Roman" w:hAnsi="Times New Roman" w:cs="Times New Roman"/>
          <w:b/>
          <w:bCs/>
          <w:sz w:val="24"/>
          <w:szCs w:val="24"/>
          <w:lang w:val="es-PE"/>
        </w:rPr>
      </w:pPr>
      <w:r w:rsidRPr="005A4C4E">
        <w:rPr>
          <w:rFonts w:ascii="Times New Roman" w:hAnsi="Times New Roman" w:cs="Times New Roman"/>
          <w:b/>
          <w:bCs/>
          <w:sz w:val="24"/>
          <w:szCs w:val="24"/>
          <w:lang w:val="es-PE"/>
        </w:rPr>
        <w:t>Marco Antonio Ortega Piana – Vocal</w:t>
      </w:r>
    </w:p>
    <w:p w14:paraId="3006BA35" w14:textId="7871895F" w:rsidR="00292018" w:rsidRPr="00B115C4" w:rsidRDefault="00292018" w:rsidP="00292018">
      <w:pPr>
        <w:spacing w:after="0" w:line="360" w:lineRule="auto"/>
        <w:jc w:val="center"/>
        <w:rPr>
          <w:rFonts w:ascii="Times New Roman" w:hAnsi="Times New Roman" w:cs="Times New Roman"/>
          <w:b/>
          <w:bCs/>
          <w:sz w:val="24"/>
          <w:szCs w:val="24"/>
          <w:lang w:val="es-PE"/>
        </w:rPr>
      </w:pPr>
      <w:r w:rsidRPr="00B115C4">
        <w:rPr>
          <w:rFonts w:ascii="Times New Roman" w:hAnsi="Times New Roman" w:cs="Times New Roman"/>
          <w:b/>
          <w:bCs/>
          <w:sz w:val="24"/>
          <w:szCs w:val="24"/>
          <w:lang w:val="es-PE"/>
        </w:rPr>
        <w:t xml:space="preserve">Rolando Eyzaguirre </w:t>
      </w:r>
      <w:proofErr w:type="spellStart"/>
      <w:r w:rsidRPr="00B115C4">
        <w:rPr>
          <w:rFonts w:ascii="Times New Roman" w:hAnsi="Times New Roman" w:cs="Times New Roman"/>
          <w:b/>
          <w:bCs/>
          <w:sz w:val="24"/>
          <w:szCs w:val="24"/>
          <w:lang w:val="es-PE"/>
        </w:rPr>
        <w:t>Maccan</w:t>
      </w:r>
      <w:proofErr w:type="spellEnd"/>
      <w:r w:rsidRPr="00B115C4">
        <w:rPr>
          <w:rFonts w:ascii="Times New Roman" w:hAnsi="Times New Roman" w:cs="Times New Roman"/>
          <w:b/>
          <w:bCs/>
          <w:sz w:val="24"/>
          <w:szCs w:val="24"/>
          <w:lang w:val="es-PE"/>
        </w:rPr>
        <w:t xml:space="preserve"> – Vocal</w:t>
      </w:r>
    </w:p>
    <w:p w14:paraId="3A9CFE9F" w14:textId="4DFF4426" w:rsidR="00C671F5" w:rsidRPr="00B115C4" w:rsidRDefault="00C671F5" w:rsidP="00C671F5">
      <w:pPr>
        <w:spacing w:after="0" w:line="360" w:lineRule="auto"/>
        <w:jc w:val="center"/>
        <w:rPr>
          <w:rFonts w:ascii="Times New Roman" w:hAnsi="Times New Roman" w:cs="Times New Roman"/>
          <w:sz w:val="24"/>
          <w:szCs w:val="24"/>
          <w:lang w:val="es-PE"/>
        </w:rPr>
      </w:pPr>
      <w:r w:rsidRPr="00B115C4">
        <w:rPr>
          <w:rFonts w:ascii="Times New Roman" w:hAnsi="Times New Roman" w:cs="Times New Roman"/>
          <w:b/>
          <w:bCs/>
          <w:sz w:val="24"/>
          <w:szCs w:val="24"/>
          <w:lang w:val="es-PE"/>
        </w:rPr>
        <w:t xml:space="preserve">Gonzalo Abad del Busto </w:t>
      </w:r>
      <w:r w:rsidR="00231C58" w:rsidRPr="00B115C4">
        <w:rPr>
          <w:rFonts w:ascii="Times New Roman" w:hAnsi="Times New Roman" w:cs="Times New Roman"/>
          <w:b/>
          <w:bCs/>
          <w:sz w:val="24"/>
          <w:szCs w:val="24"/>
          <w:lang w:val="es-PE"/>
        </w:rPr>
        <w:t xml:space="preserve">– </w:t>
      </w:r>
      <w:r w:rsidRPr="00B115C4">
        <w:rPr>
          <w:rFonts w:ascii="Times New Roman" w:hAnsi="Times New Roman" w:cs="Times New Roman"/>
          <w:b/>
          <w:bCs/>
          <w:sz w:val="24"/>
          <w:szCs w:val="24"/>
          <w:lang w:val="es-PE"/>
        </w:rPr>
        <w:t>Vocal</w:t>
      </w:r>
    </w:p>
    <w:p w14:paraId="33E0FAB8" w14:textId="77777777" w:rsidR="00C671F5" w:rsidRPr="0061360C" w:rsidRDefault="00C671F5" w:rsidP="00C671F5">
      <w:pPr>
        <w:suppressAutoHyphens/>
        <w:spacing w:after="0" w:line="360" w:lineRule="auto"/>
        <w:outlineLvl w:val="0"/>
        <w:rPr>
          <w:rFonts w:ascii="Times New Roman" w:eastAsia="Arial Unicode MS" w:hAnsi="Times New Roman" w:cs="Times New Roman"/>
          <w:lang w:val="es-PE" w:eastAsia="ar-SA"/>
        </w:rPr>
      </w:pPr>
    </w:p>
    <w:p w14:paraId="2C3A0205" w14:textId="77777777" w:rsidR="00C671F5" w:rsidRPr="0061360C" w:rsidRDefault="00C671F5" w:rsidP="00C671F5">
      <w:pPr>
        <w:rPr>
          <w:rFonts w:ascii="Times New Roman" w:eastAsia="Arial Unicode MS" w:hAnsi="Times New Roman" w:cs="Times New Roman"/>
          <w:sz w:val="24"/>
          <w:szCs w:val="24"/>
          <w:lang w:val="es-PE" w:eastAsia="ar-SA"/>
        </w:rPr>
      </w:pPr>
    </w:p>
    <w:sectPr w:rsidR="00C671F5" w:rsidRPr="0061360C" w:rsidSect="00077B6F">
      <w:headerReference w:type="default" r:id="rId8"/>
      <w:footerReference w:type="default" r:id="rId9"/>
      <w:pgSz w:w="11906" w:h="16838"/>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EFDA13" w14:textId="77777777" w:rsidR="00815D84" w:rsidRDefault="00815D84" w:rsidP="00784355">
      <w:pPr>
        <w:spacing w:after="0" w:line="240" w:lineRule="auto"/>
      </w:pPr>
      <w:r>
        <w:separator/>
      </w:r>
    </w:p>
  </w:endnote>
  <w:endnote w:type="continuationSeparator" w:id="0">
    <w:p w14:paraId="55FD90AC" w14:textId="77777777" w:rsidR="00815D84" w:rsidRDefault="00815D84" w:rsidP="007843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52618902"/>
      <w:docPartObj>
        <w:docPartGallery w:val="Page Numbers (Bottom of Page)"/>
        <w:docPartUnique/>
      </w:docPartObj>
    </w:sdtPr>
    <w:sdtEndPr/>
    <w:sdtContent>
      <w:sdt>
        <w:sdtPr>
          <w:id w:val="-1769616900"/>
          <w:docPartObj>
            <w:docPartGallery w:val="Page Numbers (Top of Page)"/>
            <w:docPartUnique/>
          </w:docPartObj>
        </w:sdtPr>
        <w:sdtEndPr/>
        <w:sdtContent>
          <w:p w14:paraId="1A7D4DE2" w14:textId="27FEA839" w:rsidR="00C671F5" w:rsidRDefault="00C671F5">
            <w:pPr>
              <w:pStyle w:val="Piedepgina"/>
              <w:jc w:val="right"/>
            </w:pPr>
            <w:r w:rsidRPr="00C01888">
              <w:rPr>
                <w:rFonts w:ascii="Times New Roman" w:hAnsi="Times New Roman" w:cs="Times New Roman"/>
                <w:sz w:val="18"/>
                <w:szCs w:val="18"/>
                <w:lang w:val="es-ES"/>
              </w:rPr>
              <w:t xml:space="preserve">Página </w:t>
            </w:r>
            <w:r w:rsidRPr="00C01888">
              <w:rPr>
                <w:rFonts w:ascii="Times New Roman" w:hAnsi="Times New Roman" w:cs="Times New Roman"/>
                <w:b/>
                <w:bCs/>
                <w:sz w:val="18"/>
                <w:szCs w:val="18"/>
              </w:rPr>
              <w:fldChar w:fldCharType="begin"/>
            </w:r>
            <w:r w:rsidRPr="00C01888">
              <w:rPr>
                <w:rFonts w:ascii="Times New Roman" w:hAnsi="Times New Roman" w:cs="Times New Roman"/>
                <w:b/>
                <w:bCs/>
                <w:sz w:val="18"/>
                <w:szCs w:val="18"/>
              </w:rPr>
              <w:instrText>PAGE</w:instrText>
            </w:r>
            <w:r w:rsidRPr="00C01888">
              <w:rPr>
                <w:rFonts w:ascii="Times New Roman" w:hAnsi="Times New Roman" w:cs="Times New Roman"/>
                <w:b/>
                <w:bCs/>
                <w:sz w:val="18"/>
                <w:szCs w:val="18"/>
              </w:rPr>
              <w:fldChar w:fldCharType="separate"/>
            </w:r>
            <w:r w:rsidRPr="00C01888">
              <w:rPr>
                <w:rFonts w:ascii="Times New Roman" w:hAnsi="Times New Roman" w:cs="Times New Roman"/>
                <w:b/>
                <w:bCs/>
                <w:sz w:val="18"/>
                <w:szCs w:val="18"/>
                <w:lang w:val="es-ES"/>
              </w:rPr>
              <w:t>2</w:t>
            </w:r>
            <w:r w:rsidRPr="00C01888">
              <w:rPr>
                <w:rFonts w:ascii="Times New Roman" w:hAnsi="Times New Roman" w:cs="Times New Roman"/>
                <w:b/>
                <w:bCs/>
                <w:sz w:val="18"/>
                <w:szCs w:val="18"/>
              </w:rPr>
              <w:fldChar w:fldCharType="end"/>
            </w:r>
            <w:r w:rsidRPr="00C01888">
              <w:rPr>
                <w:rFonts w:ascii="Times New Roman" w:hAnsi="Times New Roman" w:cs="Times New Roman"/>
                <w:sz w:val="18"/>
                <w:szCs w:val="18"/>
                <w:lang w:val="es-ES"/>
              </w:rPr>
              <w:t xml:space="preserve"> de </w:t>
            </w:r>
            <w:r w:rsidRPr="00C01888">
              <w:rPr>
                <w:rFonts w:ascii="Times New Roman" w:hAnsi="Times New Roman" w:cs="Times New Roman"/>
                <w:b/>
                <w:bCs/>
                <w:sz w:val="18"/>
                <w:szCs w:val="18"/>
              </w:rPr>
              <w:fldChar w:fldCharType="begin"/>
            </w:r>
            <w:r w:rsidRPr="00C01888">
              <w:rPr>
                <w:rFonts w:ascii="Times New Roman" w:hAnsi="Times New Roman" w:cs="Times New Roman"/>
                <w:b/>
                <w:bCs/>
                <w:sz w:val="18"/>
                <w:szCs w:val="18"/>
              </w:rPr>
              <w:instrText>NUMPAGES</w:instrText>
            </w:r>
            <w:r w:rsidRPr="00C01888">
              <w:rPr>
                <w:rFonts w:ascii="Times New Roman" w:hAnsi="Times New Roman" w:cs="Times New Roman"/>
                <w:b/>
                <w:bCs/>
                <w:sz w:val="18"/>
                <w:szCs w:val="18"/>
              </w:rPr>
              <w:fldChar w:fldCharType="separate"/>
            </w:r>
            <w:r w:rsidRPr="00C01888">
              <w:rPr>
                <w:rFonts w:ascii="Times New Roman" w:hAnsi="Times New Roman" w:cs="Times New Roman"/>
                <w:b/>
                <w:bCs/>
                <w:sz w:val="18"/>
                <w:szCs w:val="18"/>
                <w:lang w:val="es-ES"/>
              </w:rPr>
              <w:t>2</w:t>
            </w:r>
            <w:r w:rsidRPr="00C01888">
              <w:rPr>
                <w:rFonts w:ascii="Times New Roman" w:hAnsi="Times New Roman" w:cs="Times New Roman"/>
                <w:b/>
                <w:bCs/>
                <w:sz w:val="18"/>
                <w:szCs w:val="18"/>
              </w:rPr>
              <w:fldChar w:fldCharType="end"/>
            </w:r>
          </w:p>
        </w:sdtContent>
      </w:sdt>
    </w:sdtContent>
  </w:sdt>
  <w:p w14:paraId="3BA05C52" w14:textId="77777777" w:rsidR="00784355" w:rsidRDefault="0078435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1659AB" w14:textId="77777777" w:rsidR="00815D84" w:rsidRDefault="00815D84" w:rsidP="00784355">
      <w:pPr>
        <w:spacing w:after="0" w:line="240" w:lineRule="auto"/>
      </w:pPr>
      <w:r>
        <w:separator/>
      </w:r>
    </w:p>
  </w:footnote>
  <w:footnote w:type="continuationSeparator" w:id="0">
    <w:p w14:paraId="1A79587F" w14:textId="77777777" w:rsidR="00815D84" w:rsidRDefault="00815D84" w:rsidP="007843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10BC29" w14:textId="579E5393" w:rsidR="00C671F5" w:rsidRDefault="00C671F5">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14:paraId="52A8D4E0" w14:textId="77777777" w:rsidR="00C671F5" w:rsidRDefault="00C671F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456C0ACA"/>
    <w:multiLevelType w:val="hybridMultilevel"/>
    <w:tmpl w:val="486244DC"/>
    <w:lvl w:ilvl="0" w:tplc="377608F0">
      <w:start w:val="1"/>
      <w:numFmt w:val="decimal"/>
      <w:lvlText w:val="%1."/>
      <w:lvlJc w:val="left"/>
      <w:pPr>
        <w:ind w:left="720" w:hanging="360"/>
      </w:pPr>
      <w:rPr>
        <w:rFonts w:eastAsia="Arial Unicode M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 w:numId="2">
    <w:abstractNumId w:val="4"/>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2C5E"/>
    <w:rsid w:val="00005B96"/>
    <w:rsid w:val="00010987"/>
    <w:rsid w:val="00013057"/>
    <w:rsid w:val="000159CC"/>
    <w:rsid w:val="00015C22"/>
    <w:rsid w:val="000167E0"/>
    <w:rsid w:val="000235E9"/>
    <w:rsid w:val="0002637D"/>
    <w:rsid w:val="0002733C"/>
    <w:rsid w:val="00027978"/>
    <w:rsid w:val="0004480C"/>
    <w:rsid w:val="00053D16"/>
    <w:rsid w:val="00056D9F"/>
    <w:rsid w:val="00062040"/>
    <w:rsid w:val="00063183"/>
    <w:rsid w:val="0006548C"/>
    <w:rsid w:val="00070DB6"/>
    <w:rsid w:val="00071A25"/>
    <w:rsid w:val="00072C60"/>
    <w:rsid w:val="00076E73"/>
    <w:rsid w:val="00077B6F"/>
    <w:rsid w:val="00080A9A"/>
    <w:rsid w:val="000835CB"/>
    <w:rsid w:val="00083D69"/>
    <w:rsid w:val="00083F50"/>
    <w:rsid w:val="00084148"/>
    <w:rsid w:val="00092684"/>
    <w:rsid w:val="000A5666"/>
    <w:rsid w:val="000A5CAA"/>
    <w:rsid w:val="000B19A0"/>
    <w:rsid w:val="000B58D8"/>
    <w:rsid w:val="000C0734"/>
    <w:rsid w:val="000D0DFE"/>
    <w:rsid w:val="000F6340"/>
    <w:rsid w:val="0011308C"/>
    <w:rsid w:val="00125B9B"/>
    <w:rsid w:val="001320DF"/>
    <w:rsid w:val="00136E12"/>
    <w:rsid w:val="001373AF"/>
    <w:rsid w:val="001377EF"/>
    <w:rsid w:val="00150874"/>
    <w:rsid w:val="001508BC"/>
    <w:rsid w:val="001529FE"/>
    <w:rsid w:val="00161642"/>
    <w:rsid w:val="001703D8"/>
    <w:rsid w:val="00170E39"/>
    <w:rsid w:val="00174918"/>
    <w:rsid w:val="00174DA5"/>
    <w:rsid w:val="00181908"/>
    <w:rsid w:val="00181DCE"/>
    <w:rsid w:val="00187BFD"/>
    <w:rsid w:val="001A008A"/>
    <w:rsid w:val="001A3395"/>
    <w:rsid w:val="001A44E1"/>
    <w:rsid w:val="001B1E59"/>
    <w:rsid w:val="001B58A3"/>
    <w:rsid w:val="001D0EED"/>
    <w:rsid w:val="001D59D9"/>
    <w:rsid w:val="001D6136"/>
    <w:rsid w:val="001E119C"/>
    <w:rsid w:val="00201C0D"/>
    <w:rsid w:val="00204407"/>
    <w:rsid w:val="0020749F"/>
    <w:rsid w:val="002108AD"/>
    <w:rsid w:val="00211977"/>
    <w:rsid w:val="002130B0"/>
    <w:rsid w:val="0021627D"/>
    <w:rsid w:val="00225288"/>
    <w:rsid w:val="00227D02"/>
    <w:rsid w:val="00231C58"/>
    <w:rsid w:val="002331C3"/>
    <w:rsid w:val="00241719"/>
    <w:rsid w:val="00243F6B"/>
    <w:rsid w:val="0027261F"/>
    <w:rsid w:val="00272F4F"/>
    <w:rsid w:val="0027301E"/>
    <w:rsid w:val="00274985"/>
    <w:rsid w:val="002768C6"/>
    <w:rsid w:val="00276A92"/>
    <w:rsid w:val="00277667"/>
    <w:rsid w:val="00290CA4"/>
    <w:rsid w:val="00292018"/>
    <w:rsid w:val="002A31D3"/>
    <w:rsid w:val="002A7E2E"/>
    <w:rsid w:val="002B726E"/>
    <w:rsid w:val="002C2A0F"/>
    <w:rsid w:val="002D0DB0"/>
    <w:rsid w:val="002D3B01"/>
    <w:rsid w:val="002E1221"/>
    <w:rsid w:val="002E17F9"/>
    <w:rsid w:val="002F09CA"/>
    <w:rsid w:val="002F35F0"/>
    <w:rsid w:val="003045E3"/>
    <w:rsid w:val="0032132E"/>
    <w:rsid w:val="00340E4B"/>
    <w:rsid w:val="00345DF0"/>
    <w:rsid w:val="00345F7F"/>
    <w:rsid w:val="00347D7E"/>
    <w:rsid w:val="00353092"/>
    <w:rsid w:val="003544B1"/>
    <w:rsid w:val="00357D70"/>
    <w:rsid w:val="00362449"/>
    <w:rsid w:val="00364E0F"/>
    <w:rsid w:val="00366842"/>
    <w:rsid w:val="00367746"/>
    <w:rsid w:val="00377D5A"/>
    <w:rsid w:val="0038290F"/>
    <w:rsid w:val="00387D06"/>
    <w:rsid w:val="00391F72"/>
    <w:rsid w:val="00392259"/>
    <w:rsid w:val="003A3F8C"/>
    <w:rsid w:val="003B348C"/>
    <w:rsid w:val="003B3A93"/>
    <w:rsid w:val="003B41F7"/>
    <w:rsid w:val="003B798E"/>
    <w:rsid w:val="003D09A9"/>
    <w:rsid w:val="003D4684"/>
    <w:rsid w:val="003D4687"/>
    <w:rsid w:val="003E0CC2"/>
    <w:rsid w:val="003E450C"/>
    <w:rsid w:val="003F0C97"/>
    <w:rsid w:val="003F1149"/>
    <w:rsid w:val="003F1B5F"/>
    <w:rsid w:val="003F651C"/>
    <w:rsid w:val="00403814"/>
    <w:rsid w:val="004049B9"/>
    <w:rsid w:val="00414F05"/>
    <w:rsid w:val="0041626C"/>
    <w:rsid w:val="00417E23"/>
    <w:rsid w:val="00425F75"/>
    <w:rsid w:val="00440BC2"/>
    <w:rsid w:val="00444232"/>
    <w:rsid w:val="00460C30"/>
    <w:rsid w:val="00465367"/>
    <w:rsid w:val="00465FB9"/>
    <w:rsid w:val="00466302"/>
    <w:rsid w:val="0047370C"/>
    <w:rsid w:val="0047522D"/>
    <w:rsid w:val="00476BA1"/>
    <w:rsid w:val="00496A1A"/>
    <w:rsid w:val="004A3E25"/>
    <w:rsid w:val="004B51ED"/>
    <w:rsid w:val="004C51EC"/>
    <w:rsid w:val="004E65DD"/>
    <w:rsid w:val="004F549E"/>
    <w:rsid w:val="004F6BA0"/>
    <w:rsid w:val="00504C79"/>
    <w:rsid w:val="005201E9"/>
    <w:rsid w:val="00521B4C"/>
    <w:rsid w:val="00522E2A"/>
    <w:rsid w:val="005259E7"/>
    <w:rsid w:val="005265A5"/>
    <w:rsid w:val="00527B27"/>
    <w:rsid w:val="005316B2"/>
    <w:rsid w:val="00531BEE"/>
    <w:rsid w:val="005323A2"/>
    <w:rsid w:val="0053470F"/>
    <w:rsid w:val="00535473"/>
    <w:rsid w:val="00537DBF"/>
    <w:rsid w:val="00540F01"/>
    <w:rsid w:val="00544BFC"/>
    <w:rsid w:val="00545F19"/>
    <w:rsid w:val="00547EE5"/>
    <w:rsid w:val="00567DEC"/>
    <w:rsid w:val="0057035B"/>
    <w:rsid w:val="005818E3"/>
    <w:rsid w:val="00582D26"/>
    <w:rsid w:val="0058358B"/>
    <w:rsid w:val="00583A87"/>
    <w:rsid w:val="00585D65"/>
    <w:rsid w:val="005904C2"/>
    <w:rsid w:val="00592259"/>
    <w:rsid w:val="005948EF"/>
    <w:rsid w:val="00597430"/>
    <w:rsid w:val="005A0B70"/>
    <w:rsid w:val="005A782D"/>
    <w:rsid w:val="005B2924"/>
    <w:rsid w:val="005B3C4D"/>
    <w:rsid w:val="005C524E"/>
    <w:rsid w:val="005C5AB9"/>
    <w:rsid w:val="005D3E68"/>
    <w:rsid w:val="005E0EC2"/>
    <w:rsid w:val="005E2CBE"/>
    <w:rsid w:val="005E4870"/>
    <w:rsid w:val="005F4C97"/>
    <w:rsid w:val="00605902"/>
    <w:rsid w:val="00606105"/>
    <w:rsid w:val="0061360C"/>
    <w:rsid w:val="00613A39"/>
    <w:rsid w:val="00622ABC"/>
    <w:rsid w:val="00623204"/>
    <w:rsid w:val="00624034"/>
    <w:rsid w:val="006442E0"/>
    <w:rsid w:val="0064607A"/>
    <w:rsid w:val="00652672"/>
    <w:rsid w:val="0065542B"/>
    <w:rsid w:val="0065594D"/>
    <w:rsid w:val="00655A90"/>
    <w:rsid w:val="00655BA3"/>
    <w:rsid w:val="00657AD2"/>
    <w:rsid w:val="00671DB5"/>
    <w:rsid w:val="00680D8A"/>
    <w:rsid w:val="00686BB2"/>
    <w:rsid w:val="006878E1"/>
    <w:rsid w:val="0069304A"/>
    <w:rsid w:val="00697D6C"/>
    <w:rsid w:val="006A0499"/>
    <w:rsid w:val="006A4B79"/>
    <w:rsid w:val="006B5CAE"/>
    <w:rsid w:val="006C1A65"/>
    <w:rsid w:val="006C29A7"/>
    <w:rsid w:val="006C4C21"/>
    <w:rsid w:val="006C6261"/>
    <w:rsid w:val="006D2BA9"/>
    <w:rsid w:val="006D397E"/>
    <w:rsid w:val="006E2366"/>
    <w:rsid w:val="006E4547"/>
    <w:rsid w:val="006F36EF"/>
    <w:rsid w:val="006F47A8"/>
    <w:rsid w:val="006F4986"/>
    <w:rsid w:val="0070030F"/>
    <w:rsid w:val="00701598"/>
    <w:rsid w:val="00701893"/>
    <w:rsid w:val="00703430"/>
    <w:rsid w:val="00704A95"/>
    <w:rsid w:val="00706392"/>
    <w:rsid w:val="00706EB2"/>
    <w:rsid w:val="00707C99"/>
    <w:rsid w:val="00720157"/>
    <w:rsid w:val="0072050F"/>
    <w:rsid w:val="00720DBC"/>
    <w:rsid w:val="0072240A"/>
    <w:rsid w:val="007261FD"/>
    <w:rsid w:val="007300C4"/>
    <w:rsid w:val="00744447"/>
    <w:rsid w:val="00760034"/>
    <w:rsid w:val="007703E9"/>
    <w:rsid w:val="007708AB"/>
    <w:rsid w:val="00771625"/>
    <w:rsid w:val="00781235"/>
    <w:rsid w:val="00784355"/>
    <w:rsid w:val="007906AF"/>
    <w:rsid w:val="00794424"/>
    <w:rsid w:val="007950DD"/>
    <w:rsid w:val="007965C0"/>
    <w:rsid w:val="007A09BB"/>
    <w:rsid w:val="007A4108"/>
    <w:rsid w:val="007A4EA9"/>
    <w:rsid w:val="007A7F95"/>
    <w:rsid w:val="007B1018"/>
    <w:rsid w:val="007C14D0"/>
    <w:rsid w:val="007C213D"/>
    <w:rsid w:val="007C69FE"/>
    <w:rsid w:val="007D13E3"/>
    <w:rsid w:val="007D13F3"/>
    <w:rsid w:val="007D39D3"/>
    <w:rsid w:val="007D5BB1"/>
    <w:rsid w:val="007D7213"/>
    <w:rsid w:val="007E1D3A"/>
    <w:rsid w:val="007E3C96"/>
    <w:rsid w:val="007E5917"/>
    <w:rsid w:val="007F74F1"/>
    <w:rsid w:val="008010D0"/>
    <w:rsid w:val="008020A1"/>
    <w:rsid w:val="00815D84"/>
    <w:rsid w:val="00816B3F"/>
    <w:rsid w:val="0081754D"/>
    <w:rsid w:val="008177B9"/>
    <w:rsid w:val="00821801"/>
    <w:rsid w:val="00836831"/>
    <w:rsid w:val="00837DDE"/>
    <w:rsid w:val="008523F5"/>
    <w:rsid w:val="008548F9"/>
    <w:rsid w:val="0085575C"/>
    <w:rsid w:val="0085791F"/>
    <w:rsid w:val="00857988"/>
    <w:rsid w:val="0086244F"/>
    <w:rsid w:val="00864F82"/>
    <w:rsid w:val="00871F40"/>
    <w:rsid w:val="00883121"/>
    <w:rsid w:val="0088392F"/>
    <w:rsid w:val="00884426"/>
    <w:rsid w:val="00886D60"/>
    <w:rsid w:val="00887814"/>
    <w:rsid w:val="008916FF"/>
    <w:rsid w:val="00891DB3"/>
    <w:rsid w:val="00895A85"/>
    <w:rsid w:val="008A1D12"/>
    <w:rsid w:val="008A3A47"/>
    <w:rsid w:val="008D6DDF"/>
    <w:rsid w:val="008E71FA"/>
    <w:rsid w:val="008F1161"/>
    <w:rsid w:val="008F479E"/>
    <w:rsid w:val="009011F1"/>
    <w:rsid w:val="009127A6"/>
    <w:rsid w:val="0091528B"/>
    <w:rsid w:val="009157B1"/>
    <w:rsid w:val="00917CAF"/>
    <w:rsid w:val="009207A0"/>
    <w:rsid w:val="009272D7"/>
    <w:rsid w:val="00933532"/>
    <w:rsid w:val="00943343"/>
    <w:rsid w:val="00946694"/>
    <w:rsid w:val="00951B99"/>
    <w:rsid w:val="00955C03"/>
    <w:rsid w:val="00964237"/>
    <w:rsid w:val="00966813"/>
    <w:rsid w:val="00967B16"/>
    <w:rsid w:val="0097301B"/>
    <w:rsid w:val="00974D2D"/>
    <w:rsid w:val="009754DD"/>
    <w:rsid w:val="00997863"/>
    <w:rsid w:val="009A5B27"/>
    <w:rsid w:val="009A6404"/>
    <w:rsid w:val="009A701F"/>
    <w:rsid w:val="009A7E68"/>
    <w:rsid w:val="009B29C9"/>
    <w:rsid w:val="009B4291"/>
    <w:rsid w:val="009C1066"/>
    <w:rsid w:val="009C1372"/>
    <w:rsid w:val="009C5373"/>
    <w:rsid w:val="009C6404"/>
    <w:rsid w:val="009D3B98"/>
    <w:rsid w:val="009D6055"/>
    <w:rsid w:val="009E5F11"/>
    <w:rsid w:val="009E7994"/>
    <w:rsid w:val="009F143B"/>
    <w:rsid w:val="009F2EEB"/>
    <w:rsid w:val="00A02270"/>
    <w:rsid w:val="00A077D2"/>
    <w:rsid w:val="00A16942"/>
    <w:rsid w:val="00A17A72"/>
    <w:rsid w:val="00A25F51"/>
    <w:rsid w:val="00A30393"/>
    <w:rsid w:val="00A32246"/>
    <w:rsid w:val="00A328C0"/>
    <w:rsid w:val="00A3714C"/>
    <w:rsid w:val="00A427D6"/>
    <w:rsid w:val="00A46E96"/>
    <w:rsid w:val="00A51F2A"/>
    <w:rsid w:val="00A62BEC"/>
    <w:rsid w:val="00A658C1"/>
    <w:rsid w:val="00A734AD"/>
    <w:rsid w:val="00A837A0"/>
    <w:rsid w:val="00A90926"/>
    <w:rsid w:val="00A91DE9"/>
    <w:rsid w:val="00A97287"/>
    <w:rsid w:val="00AA2DED"/>
    <w:rsid w:val="00AB1C66"/>
    <w:rsid w:val="00AC5A9E"/>
    <w:rsid w:val="00AD1FEC"/>
    <w:rsid w:val="00AD2DF1"/>
    <w:rsid w:val="00AE4125"/>
    <w:rsid w:val="00AF16B6"/>
    <w:rsid w:val="00AF5E87"/>
    <w:rsid w:val="00B00552"/>
    <w:rsid w:val="00B02BEE"/>
    <w:rsid w:val="00B115C4"/>
    <w:rsid w:val="00B11C1C"/>
    <w:rsid w:val="00B17BD8"/>
    <w:rsid w:val="00B30B53"/>
    <w:rsid w:val="00B313E9"/>
    <w:rsid w:val="00B32325"/>
    <w:rsid w:val="00B340A4"/>
    <w:rsid w:val="00B45C2D"/>
    <w:rsid w:val="00B56649"/>
    <w:rsid w:val="00B625F2"/>
    <w:rsid w:val="00B663DC"/>
    <w:rsid w:val="00B669CB"/>
    <w:rsid w:val="00B710D8"/>
    <w:rsid w:val="00B73629"/>
    <w:rsid w:val="00B7466E"/>
    <w:rsid w:val="00B779BD"/>
    <w:rsid w:val="00B8021E"/>
    <w:rsid w:val="00B8028F"/>
    <w:rsid w:val="00B833BE"/>
    <w:rsid w:val="00B87B08"/>
    <w:rsid w:val="00B956C4"/>
    <w:rsid w:val="00BB2152"/>
    <w:rsid w:val="00BB2BE0"/>
    <w:rsid w:val="00BB405B"/>
    <w:rsid w:val="00BC29D0"/>
    <w:rsid w:val="00BD797F"/>
    <w:rsid w:val="00BE1470"/>
    <w:rsid w:val="00BE6FFA"/>
    <w:rsid w:val="00BE7C72"/>
    <w:rsid w:val="00BF1421"/>
    <w:rsid w:val="00BF414E"/>
    <w:rsid w:val="00BF78BF"/>
    <w:rsid w:val="00C00BBF"/>
    <w:rsid w:val="00C01888"/>
    <w:rsid w:val="00C04AA4"/>
    <w:rsid w:val="00C05445"/>
    <w:rsid w:val="00C11BCB"/>
    <w:rsid w:val="00C12CBD"/>
    <w:rsid w:val="00C134DB"/>
    <w:rsid w:val="00C25B78"/>
    <w:rsid w:val="00C32068"/>
    <w:rsid w:val="00C3269E"/>
    <w:rsid w:val="00C33FEF"/>
    <w:rsid w:val="00C4163B"/>
    <w:rsid w:val="00C41F24"/>
    <w:rsid w:val="00C47619"/>
    <w:rsid w:val="00C52848"/>
    <w:rsid w:val="00C61FF5"/>
    <w:rsid w:val="00C671F5"/>
    <w:rsid w:val="00C67E5D"/>
    <w:rsid w:val="00C70DB9"/>
    <w:rsid w:val="00C72528"/>
    <w:rsid w:val="00C748FF"/>
    <w:rsid w:val="00C74DA7"/>
    <w:rsid w:val="00C767DA"/>
    <w:rsid w:val="00C805FB"/>
    <w:rsid w:val="00C83750"/>
    <w:rsid w:val="00C8675B"/>
    <w:rsid w:val="00C86CD7"/>
    <w:rsid w:val="00C91C1D"/>
    <w:rsid w:val="00C9376B"/>
    <w:rsid w:val="00C9581A"/>
    <w:rsid w:val="00C960BE"/>
    <w:rsid w:val="00C9791B"/>
    <w:rsid w:val="00CA3682"/>
    <w:rsid w:val="00CB44BB"/>
    <w:rsid w:val="00CC4AEF"/>
    <w:rsid w:val="00CC6C0C"/>
    <w:rsid w:val="00CD4BE8"/>
    <w:rsid w:val="00CE4825"/>
    <w:rsid w:val="00CF22D3"/>
    <w:rsid w:val="00CF55D6"/>
    <w:rsid w:val="00CF78D3"/>
    <w:rsid w:val="00D006FE"/>
    <w:rsid w:val="00D01E70"/>
    <w:rsid w:val="00D10B27"/>
    <w:rsid w:val="00D12CFF"/>
    <w:rsid w:val="00D156AF"/>
    <w:rsid w:val="00D16367"/>
    <w:rsid w:val="00D2092C"/>
    <w:rsid w:val="00D22DC3"/>
    <w:rsid w:val="00D25683"/>
    <w:rsid w:val="00D27042"/>
    <w:rsid w:val="00D4253A"/>
    <w:rsid w:val="00D50B42"/>
    <w:rsid w:val="00D57228"/>
    <w:rsid w:val="00D61C6D"/>
    <w:rsid w:val="00D64034"/>
    <w:rsid w:val="00D73109"/>
    <w:rsid w:val="00D76C43"/>
    <w:rsid w:val="00D810EC"/>
    <w:rsid w:val="00D835B6"/>
    <w:rsid w:val="00D84464"/>
    <w:rsid w:val="00DA0540"/>
    <w:rsid w:val="00DA2840"/>
    <w:rsid w:val="00DA4030"/>
    <w:rsid w:val="00DB15FD"/>
    <w:rsid w:val="00DB58EC"/>
    <w:rsid w:val="00DC399B"/>
    <w:rsid w:val="00DD5E2B"/>
    <w:rsid w:val="00DE2C76"/>
    <w:rsid w:val="00DF3781"/>
    <w:rsid w:val="00DF6E69"/>
    <w:rsid w:val="00E107CA"/>
    <w:rsid w:val="00E1216B"/>
    <w:rsid w:val="00E1477F"/>
    <w:rsid w:val="00E16C63"/>
    <w:rsid w:val="00E25D54"/>
    <w:rsid w:val="00E30E76"/>
    <w:rsid w:val="00E341F5"/>
    <w:rsid w:val="00E43D94"/>
    <w:rsid w:val="00E531B9"/>
    <w:rsid w:val="00E53BC5"/>
    <w:rsid w:val="00E57869"/>
    <w:rsid w:val="00E61DBC"/>
    <w:rsid w:val="00E64057"/>
    <w:rsid w:val="00E66AFF"/>
    <w:rsid w:val="00E6771C"/>
    <w:rsid w:val="00E70381"/>
    <w:rsid w:val="00E70F8F"/>
    <w:rsid w:val="00E73DEF"/>
    <w:rsid w:val="00E80D65"/>
    <w:rsid w:val="00EA4C4B"/>
    <w:rsid w:val="00EA67A0"/>
    <w:rsid w:val="00EA77BE"/>
    <w:rsid w:val="00EC19C1"/>
    <w:rsid w:val="00EC7271"/>
    <w:rsid w:val="00ED38AF"/>
    <w:rsid w:val="00ED60A1"/>
    <w:rsid w:val="00ED6123"/>
    <w:rsid w:val="00EE1C4A"/>
    <w:rsid w:val="00EE6D21"/>
    <w:rsid w:val="00F01B55"/>
    <w:rsid w:val="00F0237B"/>
    <w:rsid w:val="00F06498"/>
    <w:rsid w:val="00F11E0A"/>
    <w:rsid w:val="00F13013"/>
    <w:rsid w:val="00F14F22"/>
    <w:rsid w:val="00F16CF9"/>
    <w:rsid w:val="00F20B09"/>
    <w:rsid w:val="00F3335E"/>
    <w:rsid w:val="00F349E0"/>
    <w:rsid w:val="00F439B5"/>
    <w:rsid w:val="00F52E75"/>
    <w:rsid w:val="00F54C75"/>
    <w:rsid w:val="00F57DED"/>
    <w:rsid w:val="00F63F49"/>
    <w:rsid w:val="00F65837"/>
    <w:rsid w:val="00F72D00"/>
    <w:rsid w:val="00F81150"/>
    <w:rsid w:val="00F833B7"/>
    <w:rsid w:val="00F83A22"/>
    <w:rsid w:val="00F84CF9"/>
    <w:rsid w:val="00F87C6C"/>
    <w:rsid w:val="00F87E38"/>
    <w:rsid w:val="00F97EA2"/>
    <w:rsid w:val="00FA155E"/>
    <w:rsid w:val="00FA2322"/>
    <w:rsid w:val="00FB4B0C"/>
    <w:rsid w:val="00FC0D10"/>
    <w:rsid w:val="00FC1934"/>
    <w:rsid w:val="00FC382A"/>
    <w:rsid w:val="00FE2121"/>
    <w:rsid w:val="00FE38F0"/>
    <w:rsid w:val="00FE43A9"/>
    <w:rsid w:val="00FF41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eastAsia="Times New Roman" w:hAnsi="Times New Roman" w:cs="Times New Roman"/>
      <w:bCs/>
      <w:sz w:val="24"/>
      <w:szCs w:val="24"/>
      <w:lang w:val="es-MX" w:eastAsia="ar-SA"/>
    </w:rPr>
  </w:style>
  <w:style w:type="character" w:customStyle="1" w:styleId="TextoindependienteCar">
    <w:name w:val="Texto independiente Car"/>
    <w:basedOn w:val="Fuentedeprrafopredeter"/>
    <w:link w:val="Textoindependiente"/>
    <w:rsid w:val="00BD797F"/>
    <w:rPr>
      <w:rFonts w:ascii="Times New Roman" w:eastAsia="Times New Roman" w:hAnsi="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customStyle="1" w:styleId="Mencionar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customStyle="1" w:styleId="Mencinsinresolver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eastAsia="Calibri" w:hAnsi="Calibri" w:cs="Times New Roman"/>
      <w:lang w:val="es-PE"/>
    </w:rPr>
  </w:style>
  <w:style w:type="character" w:customStyle="1" w:styleId="SangradetextonormalCar">
    <w:name w:val="Sangría de texto normal Car"/>
    <w:basedOn w:val="Fuentedeprrafopredeter"/>
    <w:link w:val="Sangradetextonormal"/>
    <w:uiPriority w:val="99"/>
    <w:rsid w:val="00D22DC3"/>
    <w:rPr>
      <w:rFonts w:ascii="Calibri" w:eastAsia="Calibri" w:hAnsi="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84355"/>
  </w:style>
  <w:style w:type="paragraph" w:customStyle="1" w:styleId="Default">
    <w:name w:val="Default"/>
    <w:rsid w:val="00072C60"/>
    <w:pPr>
      <w:autoSpaceDE w:val="0"/>
      <w:autoSpaceDN w:val="0"/>
      <w:adjustRightInd w:val="0"/>
      <w:spacing w:after="0" w:line="240" w:lineRule="auto"/>
    </w:pPr>
    <w:rPr>
      <w:rFonts w:ascii="Arial" w:hAnsi="Arial" w:cs="Arial"/>
      <w:color w:val="000000"/>
      <w:sz w:val="24"/>
      <w:szCs w:val="24"/>
      <w:lang w:val="es-PE"/>
    </w:rPr>
  </w:style>
  <w:style w:type="character" w:styleId="Textoennegrita">
    <w:name w:val="Strong"/>
    <w:qFormat/>
    <w:rsid w:val="0006204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16027959">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2E33566D-B9AD-4641-9B4A-C6251B1A9991}"/>
</file>

<file path=customXml/itemProps3.xml><?xml version="1.0" encoding="utf-8"?>
<ds:datastoreItem xmlns:ds="http://schemas.openxmlformats.org/officeDocument/2006/customXml" ds:itemID="{83C60F90-D974-42B4-8206-D0CED2C9E5F6}"/>
</file>

<file path=customXml/itemProps4.xml><?xml version="1.0" encoding="utf-8"?>
<ds:datastoreItem xmlns:ds="http://schemas.openxmlformats.org/officeDocument/2006/customXml" ds:itemID="{F75AD2D2-3A8C-444D-B183-801DF5461C11}"/>
</file>

<file path=docProps/app.xml><?xml version="1.0" encoding="utf-8"?>
<Properties xmlns="http://schemas.openxmlformats.org/officeDocument/2006/extended-properties" xmlns:vt="http://schemas.openxmlformats.org/officeDocument/2006/docPropsVTypes">
  <Template>Normal</Template>
  <TotalTime>121</TotalTime>
  <Pages>2</Pages>
  <Words>692</Words>
  <Characters>3806</Characters>
  <Application>Microsoft Office Word</Application>
  <DocSecurity>0</DocSecurity>
  <Lines>31</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Alicia Martín</cp:lastModifiedBy>
  <cp:revision>33</cp:revision>
  <cp:lastPrinted>2021-04-08T20:47:00Z</cp:lastPrinted>
  <dcterms:created xsi:type="dcterms:W3CDTF">2020-12-18T20:17:00Z</dcterms:created>
  <dcterms:modified xsi:type="dcterms:W3CDTF">2022-01-27T22:29:00Z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