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6E4CCE11" w:rsidR="00707C99" w:rsidRPr="00F626D4" w:rsidRDefault="00201C0D" w:rsidP="00F626D4">
      <w:pPr>
        <w:pStyle w:val="Ttulo2"/>
        <w:jc w:val="center"/>
        <w:rPr>
          <w:rFonts w:ascii="Times New Roman" w:hAnsi="Times New Roman" w:cs="Times New Roman"/>
          <w:b/>
          <w:bCs/>
          <w:lang w:val="es-PE" w:eastAsia="ar-SA"/>
        </w:rPr>
      </w:pPr>
      <w:r w:rsidRPr="00F626D4">
        <w:rPr>
          <w:rFonts w:ascii="Times New Roman" w:hAnsi="Times New Roman" w:cs="Times New Roman"/>
          <w:b/>
          <w:bCs/>
          <w:color w:val="auto"/>
          <w:lang w:val="es-PE" w:eastAsia="ar-SA"/>
        </w:rPr>
        <w:t xml:space="preserve">RESOLUCIÓN DE RECURSO IMPUGNATIVO </w:t>
      </w:r>
      <w:proofErr w:type="spellStart"/>
      <w:r w:rsidR="00707C99" w:rsidRPr="00F626D4">
        <w:rPr>
          <w:rFonts w:ascii="Times New Roman" w:hAnsi="Times New Roman" w:cs="Times New Roman"/>
          <w:b/>
          <w:bCs/>
          <w:color w:val="auto"/>
          <w:lang w:val="es-PE" w:eastAsia="ar-SA"/>
        </w:rPr>
        <w:t>N°</w:t>
      </w:r>
      <w:proofErr w:type="spellEnd"/>
      <w:r w:rsidR="00707C99" w:rsidRPr="00F626D4">
        <w:rPr>
          <w:rFonts w:ascii="Times New Roman" w:hAnsi="Times New Roman" w:cs="Times New Roman"/>
          <w:b/>
          <w:bCs/>
          <w:color w:val="auto"/>
          <w:lang w:val="es-PE" w:eastAsia="ar-SA"/>
        </w:rPr>
        <w:t xml:space="preserve"> </w:t>
      </w:r>
      <w:r w:rsidR="00C671F5" w:rsidRPr="00F626D4">
        <w:rPr>
          <w:rFonts w:ascii="Times New Roman" w:hAnsi="Times New Roman" w:cs="Times New Roman"/>
          <w:b/>
          <w:bCs/>
          <w:color w:val="auto"/>
          <w:lang w:val="es-PE" w:eastAsia="ar-SA"/>
        </w:rPr>
        <w:t>0</w:t>
      </w:r>
      <w:r w:rsidR="0033211B" w:rsidRPr="00F626D4">
        <w:rPr>
          <w:rFonts w:ascii="Times New Roman" w:hAnsi="Times New Roman" w:cs="Times New Roman"/>
          <w:b/>
          <w:bCs/>
          <w:color w:val="auto"/>
          <w:lang w:val="es-PE" w:eastAsia="ar-SA"/>
        </w:rPr>
        <w:t>2</w:t>
      </w:r>
      <w:r w:rsidR="00F626D4">
        <w:rPr>
          <w:rFonts w:ascii="Times New Roman" w:hAnsi="Times New Roman" w:cs="Times New Roman"/>
          <w:b/>
          <w:bCs/>
          <w:color w:val="auto"/>
          <w:lang w:val="es-PE" w:eastAsia="ar-SA"/>
        </w:rPr>
        <w:t>9</w:t>
      </w:r>
      <w:r w:rsidR="00C671F5" w:rsidRPr="00F626D4">
        <w:rPr>
          <w:rFonts w:ascii="Times New Roman" w:hAnsi="Times New Roman" w:cs="Times New Roman"/>
          <w:b/>
          <w:bCs/>
          <w:color w:val="auto"/>
          <w:lang w:val="es-PE" w:eastAsia="ar-SA"/>
        </w:rPr>
        <w:t>/2</w:t>
      </w:r>
      <w:r w:rsidR="00231C58" w:rsidRPr="00F626D4">
        <w:rPr>
          <w:rFonts w:ascii="Times New Roman" w:hAnsi="Times New Roman" w:cs="Times New Roman"/>
          <w:b/>
          <w:bCs/>
          <w:color w:val="auto"/>
          <w:lang w:val="es-PE" w:eastAsia="ar-SA"/>
        </w:rPr>
        <w:t>1</w:t>
      </w:r>
    </w:p>
    <w:p w14:paraId="428240E5" w14:textId="06F06948" w:rsidR="00707C99" w:rsidRPr="004A690A" w:rsidRDefault="00707C99" w:rsidP="00072C60">
      <w:pPr>
        <w:suppressAutoHyphens/>
        <w:spacing w:after="0" w:line="240" w:lineRule="auto"/>
        <w:jc w:val="both"/>
        <w:rPr>
          <w:rFonts w:ascii="Times New Roman" w:eastAsia="Times New Roman" w:hAnsi="Times New Roman" w:cs="Times New Roman"/>
          <w:b/>
          <w:bCs/>
          <w:color w:val="000000" w:themeColor="text1"/>
          <w:sz w:val="24"/>
          <w:szCs w:val="24"/>
          <w:lang w:val="es-PE" w:eastAsia="ar-SA"/>
        </w:rPr>
      </w:pPr>
    </w:p>
    <w:p w14:paraId="44E363F0" w14:textId="77777777" w:rsidR="004A690A" w:rsidRPr="00F626D4" w:rsidRDefault="004A690A" w:rsidP="004A690A">
      <w:pPr>
        <w:spacing w:after="0" w:line="240" w:lineRule="auto"/>
        <w:rPr>
          <w:rFonts w:ascii="Times New Roman" w:hAnsi="Times New Roman" w:cs="Times New Roman"/>
          <w:color w:val="000000" w:themeColor="text1"/>
          <w:sz w:val="24"/>
          <w:szCs w:val="24"/>
          <w:lang w:val="es-PE"/>
        </w:rPr>
      </w:pPr>
    </w:p>
    <w:p w14:paraId="00E1F5AA" w14:textId="77777777" w:rsidR="00F626D4" w:rsidRPr="00F626D4" w:rsidRDefault="00F626D4" w:rsidP="00F626D4">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F626D4">
        <w:rPr>
          <w:rFonts w:ascii="Times New Roman" w:eastAsia="Times New Roman" w:hAnsi="Times New Roman" w:cs="Times New Roman"/>
          <w:b/>
          <w:bCs/>
          <w:sz w:val="24"/>
          <w:szCs w:val="24"/>
          <w:lang w:val="es-MX" w:eastAsia="ar-SA"/>
        </w:rPr>
        <w:t>Vistos:</w:t>
      </w:r>
    </w:p>
    <w:p w14:paraId="779A2730" w14:textId="77777777" w:rsidR="00F626D4" w:rsidRPr="00F626D4" w:rsidRDefault="00F626D4" w:rsidP="00F626D4">
      <w:pPr>
        <w:suppressAutoHyphens/>
        <w:spacing w:after="0" w:line="240" w:lineRule="auto"/>
        <w:jc w:val="both"/>
        <w:rPr>
          <w:rFonts w:ascii="Times New Roman" w:eastAsia="Times New Roman" w:hAnsi="Times New Roman" w:cs="Times New Roman"/>
          <w:b/>
          <w:bCs/>
          <w:sz w:val="24"/>
          <w:szCs w:val="24"/>
          <w:lang w:val="es-MX" w:eastAsia="ar-SA"/>
        </w:rPr>
      </w:pPr>
      <w:r w:rsidRPr="00F626D4">
        <w:rPr>
          <w:rFonts w:ascii="Times New Roman" w:eastAsia="Times New Roman" w:hAnsi="Times New Roman" w:cs="Times New Roman"/>
          <w:b/>
          <w:bCs/>
          <w:sz w:val="24"/>
          <w:szCs w:val="24"/>
          <w:lang w:val="es-MX" w:eastAsia="ar-SA"/>
        </w:rPr>
        <w:t xml:space="preserve">   </w:t>
      </w:r>
    </w:p>
    <w:p w14:paraId="6FDE51A0" w14:textId="0E2214C2" w:rsidR="00F626D4" w:rsidRPr="00F626D4" w:rsidRDefault="00F626D4" w:rsidP="00F626D4">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sidRPr="00F626D4">
        <w:rPr>
          <w:rFonts w:ascii="Times New Roman" w:eastAsia="Times New Roman" w:hAnsi="Times New Roman" w:cs="Times New Roman"/>
          <w:sz w:val="24"/>
          <w:szCs w:val="24"/>
          <w:lang w:val="es-ES" w:eastAsia="ar-SA"/>
        </w:rPr>
        <w:t xml:space="preserve">El recurso de impugnación presentado con fecha 29 de marzo de 2021 por don </w:t>
      </w:r>
      <w:r w:rsidR="005C2407">
        <w:rPr>
          <w:rFonts w:ascii="Arial" w:hAnsi="Arial" w:cs="Arial"/>
          <w:lang w:val="es-PE"/>
        </w:rPr>
        <w:t>..................</w:t>
      </w:r>
      <w:r w:rsidRPr="00F626D4">
        <w:rPr>
          <w:rFonts w:ascii="Times New Roman" w:eastAsia="Times New Roman" w:hAnsi="Times New Roman" w:cs="Times New Roman"/>
          <w:sz w:val="24"/>
          <w:szCs w:val="24"/>
          <w:lang w:val="es-ES" w:eastAsia="ar-SA"/>
        </w:rPr>
        <w:t xml:space="preserve">respecto de la Resolución Nro. 029/21, del 19 de marzo de 2021, emitida por esta Defensoría del Asegurado (DEFASEG), que declaró INFUNDADA </w:t>
      </w:r>
      <w:r w:rsidRPr="00F626D4">
        <w:rPr>
          <w:rFonts w:ascii="Times New Roman" w:eastAsia="Arial Unicode MS" w:hAnsi="Times New Roman" w:cs="Times New Roman"/>
          <w:sz w:val="24"/>
          <w:szCs w:val="24"/>
          <w:lang w:val="es-PE"/>
        </w:rPr>
        <w:t xml:space="preserve">su reclamación contra </w:t>
      </w:r>
      <w:r w:rsidR="005C2407">
        <w:rPr>
          <w:rFonts w:ascii="Arial" w:hAnsi="Arial" w:cs="Arial"/>
          <w:lang w:val="es-PE"/>
        </w:rPr>
        <w:t>..................</w:t>
      </w:r>
      <w:r w:rsidR="005C2407">
        <w:rPr>
          <w:rFonts w:ascii="Arial" w:hAnsi="Arial" w:cs="Arial"/>
          <w:lang w:val="es-PE"/>
        </w:rPr>
        <w:t xml:space="preserve"> </w:t>
      </w:r>
      <w:r w:rsidRPr="00F626D4">
        <w:rPr>
          <w:rFonts w:ascii="Times New Roman" w:eastAsia="Times New Roman" w:hAnsi="Times New Roman" w:cs="Times New Roman"/>
          <w:sz w:val="24"/>
          <w:szCs w:val="24"/>
          <w:lang w:val="es-PE" w:eastAsia="es-ES"/>
        </w:rPr>
        <w:t>sobre otorgamiento de cobertura al siniestro</w:t>
      </w:r>
      <w:r w:rsidRPr="00F626D4">
        <w:rPr>
          <w:rFonts w:ascii="Times New Roman" w:hAnsi="Times New Roman" w:cs="Times New Roman"/>
          <w:sz w:val="24"/>
          <w:szCs w:val="24"/>
          <w:lang w:val="es-PE"/>
        </w:rPr>
        <w:t xml:space="preserve"> </w:t>
      </w:r>
      <w:r w:rsidRPr="00F626D4">
        <w:rPr>
          <w:rFonts w:ascii="Times New Roman" w:eastAsia="Times New Roman" w:hAnsi="Times New Roman" w:cs="Times New Roman"/>
          <w:sz w:val="24"/>
          <w:szCs w:val="24"/>
          <w:lang w:val="es-PE" w:eastAsia="es-ES"/>
        </w:rPr>
        <w:t>que corresponde a su declaración</w:t>
      </w:r>
      <w:r w:rsidRPr="00F626D4">
        <w:rPr>
          <w:rFonts w:ascii="Times New Roman" w:hAnsi="Times New Roman" w:cs="Times New Roman"/>
          <w:sz w:val="24"/>
          <w:szCs w:val="24"/>
          <w:lang w:val="es-ES" w:eastAsia="es-ES"/>
        </w:rPr>
        <w:t xml:space="preserve"> de incapacidad no temporal por la Comisión Médica Evaluadora y Calificadora de Incapacidades de EsSalud, de fecha</w:t>
      </w:r>
      <w:r w:rsidRPr="00F626D4">
        <w:rPr>
          <w:rFonts w:ascii="Times New Roman" w:eastAsia="Times New Roman" w:hAnsi="Times New Roman" w:cs="Times New Roman"/>
          <w:sz w:val="24"/>
          <w:szCs w:val="24"/>
          <w:lang w:val="es-PE" w:eastAsia="es-ES"/>
        </w:rPr>
        <w:t xml:space="preserve"> </w:t>
      </w:r>
      <w:r w:rsidRPr="00F626D4">
        <w:rPr>
          <w:rFonts w:ascii="Times New Roman" w:hAnsi="Times New Roman" w:cs="Times New Roman"/>
          <w:sz w:val="24"/>
          <w:szCs w:val="24"/>
          <w:lang w:val="es-ES" w:eastAsia="es-ES"/>
        </w:rPr>
        <w:t>7 de enero de 2019,</w:t>
      </w:r>
      <w:r w:rsidRPr="00F626D4">
        <w:rPr>
          <w:rFonts w:ascii="Times New Roman" w:eastAsia="Times New Roman" w:hAnsi="Times New Roman" w:cs="Times New Roman"/>
          <w:sz w:val="24"/>
          <w:szCs w:val="24"/>
          <w:lang w:val="es-PE" w:eastAsia="es-ES"/>
        </w:rPr>
        <w:t xml:space="preserve"> de acuerdo a los términos y condiciones del </w:t>
      </w:r>
      <w:r w:rsidRPr="00F626D4">
        <w:rPr>
          <w:rFonts w:ascii="Times New Roman" w:hAnsi="Times New Roman" w:cs="Times New Roman"/>
          <w:bCs/>
          <w:sz w:val="24"/>
          <w:szCs w:val="24"/>
          <w:lang w:val="es-ES"/>
        </w:rPr>
        <w:t>Seguro Múltiple, póliza g</w:t>
      </w:r>
      <w:r w:rsidRPr="00F626D4">
        <w:rPr>
          <w:rFonts w:ascii="Times New Roman" w:hAnsi="Times New Roman" w:cs="Times New Roman"/>
          <w:sz w:val="24"/>
          <w:szCs w:val="24"/>
          <w:lang w:val="es-ES"/>
        </w:rPr>
        <w:t xml:space="preserve">rupal Nro. </w:t>
      </w:r>
      <w:r w:rsidR="005C2407">
        <w:rPr>
          <w:rFonts w:ascii="Arial" w:hAnsi="Arial" w:cs="Arial"/>
          <w:lang w:val="es-PE"/>
        </w:rPr>
        <w:t>..................</w:t>
      </w:r>
      <w:r w:rsidRPr="00F626D4">
        <w:rPr>
          <w:rFonts w:ascii="Times New Roman" w:hAnsi="Times New Roman" w:cs="Times New Roman"/>
          <w:sz w:val="24"/>
          <w:szCs w:val="24"/>
          <w:lang w:val="es-ES"/>
        </w:rPr>
        <w:t>;</w:t>
      </w:r>
    </w:p>
    <w:p w14:paraId="3EEE4FCD" w14:textId="77777777" w:rsidR="00F626D4" w:rsidRPr="00F626D4" w:rsidRDefault="00F626D4" w:rsidP="00F626D4">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ES" w:eastAsia="ar-SA"/>
        </w:rPr>
      </w:pPr>
    </w:p>
    <w:p w14:paraId="57783BDF" w14:textId="743525EF" w:rsidR="00F626D4" w:rsidRPr="00F626D4" w:rsidRDefault="00F626D4" w:rsidP="00F626D4">
      <w:pPr>
        <w:suppressAutoHyphens/>
        <w:spacing w:after="0" w:line="240" w:lineRule="auto"/>
        <w:jc w:val="both"/>
        <w:rPr>
          <w:rFonts w:ascii="Times New Roman" w:eastAsia="Times New Roman" w:hAnsi="Times New Roman" w:cs="Times New Roman"/>
          <w:bCs/>
          <w:sz w:val="24"/>
          <w:szCs w:val="24"/>
          <w:lang w:val="es-MX" w:eastAsia="ar-SA"/>
        </w:rPr>
      </w:pPr>
      <w:r w:rsidRPr="00F626D4">
        <w:rPr>
          <w:rFonts w:ascii="Times New Roman" w:eastAsia="Times New Roman" w:hAnsi="Times New Roman" w:cs="Times New Roman"/>
          <w:bCs/>
          <w:sz w:val="24"/>
          <w:szCs w:val="24"/>
          <w:lang w:val="es-MX" w:eastAsia="ar-SA"/>
        </w:rPr>
        <w:t xml:space="preserve">Que, a través del señalado recurso, el asegurado cuestiona lo resuelto por la DEFASEG estimando que la resolución recurrida incurre en una exposición de fórmulas generales o vacías de fundamentación, presentando además oscuridad, vaguedad, contradicción o insuficiencia para la debida motivación del acto, lo cual corresponde a una situación no admitida conforme al artículo 6, numeral 3, de la Ley Nro. 27444 – Ley del Procedimiento Administrativo General, considerando que los riesgos aceptados deben ser conocimiento del asegurado, para que éste se los represente, siendo que </w:t>
      </w:r>
      <w:r w:rsidR="005C2407">
        <w:rPr>
          <w:rFonts w:ascii="Arial" w:hAnsi="Arial" w:cs="Arial"/>
          <w:lang w:val="es-PE"/>
        </w:rPr>
        <w:t>..................</w:t>
      </w:r>
      <w:r w:rsidR="005C2407">
        <w:rPr>
          <w:rFonts w:ascii="Arial" w:hAnsi="Arial" w:cs="Arial"/>
          <w:lang w:val="es-PE"/>
        </w:rPr>
        <w:t xml:space="preserve"> </w:t>
      </w:r>
      <w:r w:rsidRPr="00F626D4">
        <w:rPr>
          <w:rFonts w:ascii="Times New Roman" w:eastAsia="Times New Roman" w:hAnsi="Times New Roman" w:cs="Times New Roman"/>
          <w:bCs/>
          <w:sz w:val="24"/>
          <w:szCs w:val="24"/>
          <w:lang w:val="es-MX" w:eastAsia="ar-SA"/>
        </w:rPr>
        <w:t>ha violado la regla de buena fe que debe regir la relación contractual, siendo que una conducta de buena fe debe ser resguardada por las entidades llamadas a proteger al asegurado;</w:t>
      </w:r>
    </w:p>
    <w:p w14:paraId="3A9DB008" w14:textId="77777777" w:rsidR="00F626D4" w:rsidRPr="00F626D4" w:rsidRDefault="00F626D4" w:rsidP="00F626D4">
      <w:pPr>
        <w:suppressAutoHyphens/>
        <w:spacing w:after="0" w:line="240" w:lineRule="auto"/>
        <w:jc w:val="both"/>
        <w:rPr>
          <w:rFonts w:ascii="Times New Roman" w:eastAsia="Times New Roman" w:hAnsi="Times New Roman" w:cs="Times New Roman"/>
          <w:bCs/>
          <w:sz w:val="24"/>
          <w:szCs w:val="24"/>
          <w:lang w:val="es-MX" w:eastAsia="ar-SA"/>
        </w:rPr>
      </w:pPr>
    </w:p>
    <w:p w14:paraId="4E76EA76" w14:textId="6C896816" w:rsidR="00F626D4" w:rsidRPr="00F626D4" w:rsidRDefault="00F626D4" w:rsidP="00F626D4">
      <w:pPr>
        <w:suppressAutoHyphens/>
        <w:spacing w:after="0" w:line="240" w:lineRule="auto"/>
        <w:jc w:val="both"/>
        <w:rPr>
          <w:rFonts w:ascii="Times New Roman" w:eastAsia="Times New Roman" w:hAnsi="Times New Roman" w:cs="Times New Roman"/>
          <w:bCs/>
          <w:sz w:val="24"/>
          <w:szCs w:val="24"/>
          <w:lang w:val="es-MX" w:eastAsia="ar-SA"/>
        </w:rPr>
      </w:pPr>
      <w:r w:rsidRPr="00F626D4">
        <w:rPr>
          <w:rFonts w:ascii="Times New Roman" w:eastAsia="Times New Roman" w:hAnsi="Times New Roman" w:cs="Times New Roman"/>
          <w:bCs/>
          <w:sz w:val="24"/>
          <w:szCs w:val="24"/>
          <w:lang w:val="es-MX" w:eastAsia="ar-SA"/>
        </w:rPr>
        <w:t xml:space="preserve">Que, habiéndosele corrido traslado a </w:t>
      </w:r>
      <w:r w:rsidR="007741C1">
        <w:rPr>
          <w:rFonts w:ascii="Arial" w:hAnsi="Arial" w:cs="Arial"/>
          <w:lang w:val="es-PE"/>
        </w:rPr>
        <w:t>..................</w:t>
      </w:r>
      <w:r w:rsidR="007741C1">
        <w:rPr>
          <w:rFonts w:ascii="Arial" w:hAnsi="Arial" w:cs="Arial"/>
          <w:lang w:val="es-PE"/>
        </w:rPr>
        <w:t xml:space="preserve"> </w:t>
      </w:r>
      <w:r w:rsidRPr="00F626D4">
        <w:rPr>
          <w:rFonts w:ascii="Times New Roman" w:eastAsia="Times New Roman" w:hAnsi="Times New Roman" w:cs="Times New Roman"/>
          <w:bCs/>
          <w:sz w:val="24"/>
          <w:szCs w:val="24"/>
          <w:lang w:val="es-MX" w:eastAsia="ar-SA"/>
        </w:rPr>
        <w:t xml:space="preserve">de la señalada impugnación, mediante escrito presentado con fecha 8 de abril de 2021, la señalada aseguradora solicitó que el mismo sea desestimado, estimando que los fundamentos de la resolución recurrida son claros así como coherentes con su parte resolutiva, por lo que el hecho que el reclamante no esté de acuerdo con lo resuelto no significa que la resolución se haya expedido de manera indebida; se destaca que la aseguradora no sólo delimitó e informó de los riesgos aceptados en la póliza de seguro múltiple, sino que la mejor evidencia de ello es que el asegurado ha pagado mensualmente la prima durante más de diez años, ya que resultaría extraño que hubiese pagado el seguro durante dicho tiempo sin conocer las ventajas del producto.  Se destaca que la falta de presentación del certificado de seguro, suscrito por el asegurado, obedeció a que el almacén en donde estaba depositado se siniestró, destacando que la afiliación al seguro no es controvertida, de manera que la suscripción del certificado no resulta siendo controvertida.  Por último, la aseguradora sostiene que no sería aceptable afirmar que el asegurado no tenía conocimiento de los riesgos contractuales, porque durante más de 10 años bien pudo dirigirse a la aseguradora para la respectiva consulta, teniendo además al registro público de pólizas en la página web de la SBS.  Siendo que </w:t>
      </w:r>
      <w:r w:rsidR="007741C1">
        <w:rPr>
          <w:rFonts w:ascii="Arial" w:hAnsi="Arial" w:cs="Arial"/>
          <w:lang w:val="es-PE"/>
        </w:rPr>
        <w:t>..................</w:t>
      </w:r>
      <w:r w:rsidR="007741C1">
        <w:rPr>
          <w:rFonts w:ascii="Arial" w:hAnsi="Arial" w:cs="Arial"/>
          <w:lang w:val="es-PE"/>
        </w:rPr>
        <w:t xml:space="preserve"> </w:t>
      </w:r>
      <w:r w:rsidRPr="00F626D4">
        <w:rPr>
          <w:rFonts w:ascii="Times New Roman" w:eastAsia="Times New Roman" w:hAnsi="Times New Roman" w:cs="Times New Roman"/>
          <w:bCs/>
          <w:sz w:val="24"/>
          <w:szCs w:val="24"/>
          <w:lang w:val="es-MX" w:eastAsia="ar-SA"/>
        </w:rPr>
        <w:t>ha actuado en observancia de los términos y condiciones contractuales, no ha incurrido en actuación alguna contraria a la buena fe, siendo que aceptar dar cobertura fuera de las condiciones contractuales sería generar un beneficio indebido;</w:t>
      </w:r>
    </w:p>
    <w:p w14:paraId="430D9C9D" w14:textId="77777777" w:rsidR="00F626D4" w:rsidRPr="00F626D4" w:rsidRDefault="00F626D4" w:rsidP="00F626D4">
      <w:pPr>
        <w:suppressAutoHyphens/>
        <w:spacing w:after="0" w:line="240" w:lineRule="auto"/>
        <w:jc w:val="both"/>
        <w:rPr>
          <w:rFonts w:ascii="Times New Roman" w:eastAsia="Times New Roman" w:hAnsi="Times New Roman" w:cs="Times New Roman"/>
          <w:bCs/>
          <w:sz w:val="24"/>
          <w:szCs w:val="24"/>
          <w:lang w:val="es-MX" w:eastAsia="ar-SA"/>
        </w:rPr>
      </w:pPr>
    </w:p>
    <w:p w14:paraId="7C3E1483" w14:textId="77777777" w:rsidR="00F626D4" w:rsidRPr="00F626D4" w:rsidRDefault="00F626D4" w:rsidP="00F626D4">
      <w:pPr>
        <w:suppressAutoHyphens/>
        <w:spacing w:after="0" w:line="240" w:lineRule="auto"/>
        <w:jc w:val="both"/>
        <w:rPr>
          <w:rFonts w:ascii="Times New Roman" w:hAnsi="Times New Roman" w:cs="Times New Roman"/>
          <w:bCs/>
          <w:sz w:val="24"/>
          <w:szCs w:val="24"/>
          <w:lang w:val="es-ES"/>
        </w:rPr>
      </w:pPr>
      <w:r w:rsidRPr="00F626D4">
        <w:rPr>
          <w:rFonts w:ascii="Times New Roman" w:hAnsi="Times New Roman" w:cs="Times New Roman"/>
          <w:bCs/>
          <w:sz w:val="24"/>
          <w:szCs w:val="24"/>
          <w:lang w:val="es-ES"/>
        </w:rPr>
        <w:t>Que, ambas partes han tenido la oportunidad para ejercer su derecho de defensa con relación a la impugnación de la resolución recurrida, siendo que este colegiado estima que está suficientemente informado para resolver de manera definitiva;</w:t>
      </w:r>
    </w:p>
    <w:p w14:paraId="74A5F1DA" w14:textId="77777777" w:rsidR="00F626D4" w:rsidRPr="00F626D4" w:rsidRDefault="00F626D4" w:rsidP="00F626D4">
      <w:pPr>
        <w:suppressAutoHyphens/>
        <w:spacing w:after="0" w:line="240" w:lineRule="auto"/>
        <w:jc w:val="both"/>
        <w:rPr>
          <w:rFonts w:ascii="Times New Roman" w:eastAsia="Times New Roman" w:hAnsi="Times New Roman" w:cs="Times New Roman"/>
          <w:bCs/>
          <w:sz w:val="24"/>
          <w:szCs w:val="24"/>
          <w:lang w:val="es-MX" w:eastAsia="ar-SA"/>
        </w:rPr>
      </w:pPr>
    </w:p>
    <w:p w14:paraId="1D3C3999" w14:textId="77777777" w:rsidR="00F626D4" w:rsidRPr="00F626D4" w:rsidRDefault="00F626D4" w:rsidP="00F626D4">
      <w:pPr>
        <w:suppressAutoHyphens/>
        <w:spacing w:after="0" w:line="240" w:lineRule="auto"/>
        <w:jc w:val="both"/>
        <w:rPr>
          <w:rFonts w:ascii="Times New Roman" w:eastAsia="Times New Roman" w:hAnsi="Times New Roman" w:cs="Times New Roman"/>
          <w:bCs/>
          <w:sz w:val="24"/>
          <w:szCs w:val="24"/>
          <w:lang w:val="es-MX" w:eastAsia="ar-SA"/>
        </w:rPr>
      </w:pPr>
      <w:r w:rsidRPr="00F626D4">
        <w:rPr>
          <w:rFonts w:ascii="Times New Roman" w:eastAsia="Times New Roman" w:hAnsi="Times New Roman" w:cs="Times New Roman"/>
          <w:b/>
          <w:bCs/>
          <w:sz w:val="24"/>
          <w:szCs w:val="24"/>
          <w:lang w:val="es-MX" w:eastAsia="ar-SA"/>
        </w:rPr>
        <w:t>Considerando:</w:t>
      </w:r>
    </w:p>
    <w:p w14:paraId="2A7A70BC" w14:textId="77777777" w:rsidR="00F626D4" w:rsidRPr="00F626D4" w:rsidRDefault="00F626D4" w:rsidP="00F626D4">
      <w:pPr>
        <w:suppressAutoHyphens/>
        <w:spacing w:after="0" w:line="240" w:lineRule="auto"/>
        <w:jc w:val="both"/>
        <w:rPr>
          <w:rFonts w:ascii="Times New Roman" w:eastAsia="Times New Roman" w:hAnsi="Times New Roman" w:cs="Times New Roman"/>
          <w:sz w:val="24"/>
          <w:szCs w:val="24"/>
          <w:lang w:val="es-ES" w:eastAsia="ar-SA"/>
        </w:rPr>
      </w:pPr>
    </w:p>
    <w:p w14:paraId="3643A115" w14:textId="77777777" w:rsidR="00F626D4" w:rsidRPr="00F626D4" w:rsidRDefault="00F626D4" w:rsidP="00F626D4">
      <w:pPr>
        <w:spacing w:after="0" w:line="240" w:lineRule="auto"/>
        <w:jc w:val="both"/>
        <w:rPr>
          <w:rFonts w:ascii="Times New Roman" w:hAnsi="Times New Roman" w:cs="Times New Roman"/>
          <w:sz w:val="24"/>
          <w:szCs w:val="24"/>
          <w:lang w:val="es-PE"/>
        </w:rPr>
      </w:pPr>
      <w:r w:rsidRPr="00F626D4">
        <w:rPr>
          <w:rFonts w:ascii="Times New Roman" w:hAnsi="Times New Roman" w:cs="Times New Roman"/>
          <w:b/>
          <w:sz w:val="24"/>
          <w:szCs w:val="24"/>
          <w:u w:val="single"/>
          <w:lang w:val="es-PE"/>
        </w:rPr>
        <w:t>Primero</w:t>
      </w:r>
      <w:r w:rsidRPr="00F626D4">
        <w:rPr>
          <w:rFonts w:ascii="Times New Roman" w:hAnsi="Times New Roman" w:cs="Times New Roman"/>
          <w:b/>
          <w:sz w:val="24"/>
          <w:szCs w:val="24"/>
          <w:lang w:val="es-PE"/>
        </w:rPr>
        <w:t>:</w:t>
      </w:r>
      <w:r w:rsidRPr="00F626D4">
        <w:rPr>
          <w:rFonts w:ascii="Times New Roman" w:hAnsi="Times New Roman" w:cs="Times New Roman"/>
          <w:sz w:val="24"/>
          <w:szCs w:val="24"/>
          <w:lang w:val="es-PE"/>
        </w:rPr>
        <w:t xml:space="preserve"> El Reglamento de la DEFASEG </w:t>
      </w:r>
      <w:r w:rsidRPr="00F626D4">
        <w:rPr>
          <w:rFonts w:ascii="Times New Roman" w:eastAsia="Arial Unicode MS" w:hAnsi="Times New Roman" w:cs="Times New Roman"/>
          <w:sz w:val="24"/>
          <w:szCs w:val="24"/>
          <w:lang w:val="es-PE"/>
        </w:rPr>
        <w:t xml:space="preserve">(http://www.defaseg.com.pe/reglamento), en su artículo 10, </w:t>
      </w:r>
      <w:r w:rsidRPr="00F626D4">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F626D4">
        <w:rPr>
          <w:rFonts w:ascii="Times New Roman" w:hAnsi="Times New Roman" w:cs="Times New Roman"/>
          <w:sz w:val="24"/>
          <w:szCs w:val="24"/>
          <w:lang w:val="es-ES"/>
        </w:rPr>
        <w:t>usuario de seguro recurre en forma voluntaria a la Defensoría, siendo que la presentación de una reclamación n</w:t>
      </w:r>
      <w:r w:rsidRPr="00F626D4">
        <w:rPr>
          <w:rFonts w:ascii="Times New Roman" w:hAnsi="Times New Roman" w:cs="Times New Roman"/>
          <w:sz w:val="24"/>
          <w:szCs w:val="24"/>
          <w:lang w:val="es-PE"/>
        </w:rPr>
        <w:t>o limita su derecho a recurrir posteriormente ante el órgano administrativo o jurisdiccional que considere pertinente.  Conforme a lo anterior, si el asegurado no se encuentra conforme con lo que sea finalmente resuelto, la respectiva resolución no lo compromete ni le restringe la posibilidad de poder recurrir a las instancias correspondientes, a diferencia de la aseguradora que sí queda comprometida con lo resuelto por la DEFASEG.</w:t>
      </w:r>
    </w:p>
    <w:p w14:paraId="5B8772BA" w14:textId="77777777" w:rsidR="00F626D4" w:rsidRPr="00F626D4" w:rsidRDefault="00F626D4" w:rsidP="00F626D4">
      <w:pPr>
        <w:spacing w:after="0" w:line="240" w:lineRule="auto"/>
        <w:jc w:val="both"/>
        <w:rPr>
          <w:rFonts w:ascii="Times New Roman" w:hAnsi="Times New Roman" w:cs="Times New Roman"/>
          <w:sz w:val="24"/>
          <w:szCs w:val="24"/>
          <w:lang w:val="es-PE"/>
        </w:rPr>
      </w:pPr>
    </w:p>
    <w:p w14:paraId="76492A13" w14:textId="77777777" w:rsidR="00F626D4" w:rsidRPr="00F626D4" w:rsidRDefault="00F626D4" w:rsidP="00F626D4">
      <w:pPr>
        <w:tabs>
          <w:tab w:val="left" w:pos="0"/>
          <w:tab w:val="left" w:pos="2160"/>
        </w:tabs>
        <w:spacing w:after="0" w:line="240" w:lineRule="auto"/>
        <w:jc w:val="both"/>
        <w:rPr>
          <w:rFonts w:ascii="Times New Roman" w:hAnsi="Times New Roman" w:cs="Times New Roman"/>
          <w:bCs/>
          <w:sz w:val="24"/>
          <w:szCs w:val="24"/>
          <w:lang w:val="es-ES"/>
        </w:rPr>
      </w:pPr>
      <w:r w:rsidRPr="00F626D4">
        <w:rPr>
          <w:rFonts w:ascii="Times New Roman" w:hAnsi="Times New Roman" w:cs="Times New Roman"/>
          <w:b/>
          <w:sz w:val="24"/>
          <w:szCs w:val="24"/>
          <w:u w:val="single"/>
          <w:lang w:val="es-PE"/>
        </w:rPr>
        <w:t>Segundo</w:t>
      </w:r>
      <w:r w:rsidRPr="00F626D4">
        <w:rPr>
          <w:rFonts w:ascii="Times New Roman" w:hAnsi="Times New Roman" w:cs="Times New Roman"/>
          <w:b/>
          <w:sz w:val="24"/>
          <w:szCs w:val="24"/>
          <w:lang w:val="es-PE"/>
        </w:rPr>
        <w:t>:</w:t>
      </w:r>
      <w:r w:rsidRPr="00F626D4">
        <w:rPr>
          <w:rFonts w:ascii="Times New Roman" w:hAnsi="Times New Roman" w:cs="Times New Roman"/>
          <w:sz w:val="24"/>
          <w:szCs w:val="24"/>
          <w:lang w:val="es-PE"/>
        </w:rPr>
        <w:t xml:space="preserve"> Según fue analizado al expedirse la resolución recurrida, el rechazo de cobertura se encuentra final y legítimamente sustentado, ajustándose al marco legal y a los términos de la póliza contratada</w:t>
      </w:r>
      <w:r w:rsidRPr="00F626D4">
        <w:rPr>
          <w:rFonts w:ascii="Times New Roman" w:hAnsi="Times New Roman" w:cs="Times New Roman"/>
          <w:bCs/>
          <w:sz w:val="24"/>
          <w:szCs w:val="24"/>
          <w:lang w:val="es-PE"/>
        </w:rPr>
        <w:t>, por lo que disponer el otorgamiento del beneficio reclamado no sólo significaría una contravención al contrato de seguro, respecto a un riesgo no aceptado, sino porque derivaría en un enriquecimiento ilegítimo.</w:t>
      </w:r>
      <w:r w:rsidRPr="00F626D4">
        <w:rPr>
          <w:rFonts w:ascii="Times New Roman" w:hAnsi="Times New Roman" w:cs="Times New Roman"/>
          <w:bCs/>
          <w:sz w:val="24"/>
          <w:szCs w:val="24"/>
          <w:lang w:val="es-ES"/>
        </w:rPr>
        <w:t xml:space="preserve">  El reclamante no ha enervado dicho análisis, reiterando de manera genérica que le corresponde la cobertura solicitada, por lo que la impugnación se limita a ser un pedido de revisión general, para lo cual se invoca al principio de buena fe contractual.</w:t>
      </w:r>
    </w:p>
    <w:p w14:paraId="6FE0194E" w14:textId="77777777" w:rsidR="00F626D4" w:rsidRPr="00F626D4" w:rsidRDefault="00F626D4" w:rsidP="00F626D4">
      <w:pPr>
        <w:tabs>
          <w:tab w:val="left" w:pos="0"/>
          <w:tab w:val="left" w:pos="2160"/>
        </w:tabs>
        <w:spacing w:after="0" w:line="240" w:lineRule="auto"/>
        <w:jc w:val="both"/>
        <w:rPr>
          <w:rFonts w:ascii="Times New Roman" w:hAnsi="Times New Roman" w:cs="Times New Roman"/>
          <w:bCs/>
          <w:sz w:val="24"/>
          <w:szCs w:val="24"/>
          <w:lang w:val="es-ES"/>
        </w:rPr>
      </w:pPr>
    </w:p>
    <w:p w14:paraId="0337AFAA" w14:textId="715A7264" w:rsidR="00F626D4" w:rsidRPr="00F626D4" w:rsidRDefault="00F626D4" w:rsidP="00F626D4">
      <w:pPr>
        <w:tabs>
          <w:tab w:val="left" w:pos="0"/>
          <w:tab w:val="left" w:pos="2160"/>
        </w:tabs>
        <w:spacing w:after="0" w:line="240" w:lineRule="auto"/>
        <w:jc w:val="both"/>
        <w:rPr>
          <w:rFonts w:ascii="Times New Roman" w:hAnsi="Times New Roman" w:cs="Times New Roman"/>
          <w:bCs/>
          <w:sz w:val="24"/>
          <w:szCs w:val="24"/>
          <w:lang w:val="es-ES"/>
        </w:rPr>
      </w:pPr>
      <w:r w:rsidRPr="00F626D4">
        <w:rPr>
          <w:rFonts w:ascii="Times New Roman" w:hAnsi="Times New Roman" w:cs="Times New Roman"/>
          <w:b/>
          <w:sz w:val="24"/>
          <w:szCs w:val="24"/>
          <w:u w:val="single"/>
          <w:lang w:val="es-PE"/>
        </w:rPr>
        <w:t>Tercero</w:t>
      </w:r>
      <w:r w:rsidRPr="00F626D4">
        <w:rPr>
          <w:rFonts w:ascii="Times New Roman" w:hAnsi="Times New Roman" w:cs="Times New Roman"/>
          <w:b/>
          <w:sz w:val="24"/>
          <w:szCs w:val="24"/>
          <w:lang w:val="es-PE"/>
        </w:rPr>
        <w:t>:</w:t>
      </w:r>
      <w:r w:rsidRPr="00F626D4">
        <w:rPr>
          <w:rFonts w:ascii="Times New Roman" w:hAnsi="Times New Roman" w:cs="Times New Roman"/>
          <w:sz w:val="24"/>
          <w:szCs w:val="24"/>
          <w:lang w:val="es-PE"/>
        </w:rPr>
        <w:t xml:space="preserve"> </w:t>
      </w:r>
      <w:r w:rsidRPr="00F626D4">
        <w:rPr>
          <w:rFonts w:ascii="Times New Roman" w:hAnsi="Times New Roman" w:cs="Times New Roman"/>
          <w:bCs/>
          <w:sz w:val="24"/>
          <w:szCs w:val="24"/>
          <w:lang w:val="es-ES"/>
        </w:rPr>
        <w:t>Sin perjuicio de lo señalado, este colegiado estima pertinente dejar constancia de lo siguiente: (i) La DEFASEG no es una institución que se rija por la Ley del Procedimiento Administrativo General, es un organismo independente adscrito a la APESEG, de naturaleza privada, conforme se indica en los primeros considerandos de la resolución recurrida, por lo que resulta impertinente invocar las normas legales señaladas en el recurso impugnativo, al margen que la resolución recurrida está ampliamente justificada, conforme a derecho, más allá que el asegurado mantenga su propia interpretación.  (</w:t>
      </w:r>
      <w:proofErr w:type="spellStart"/>
      <w:r w:rsidRPr="00F626D4">
        <w:rPr>
          <w:rFonts w:ascii="Times New Roman" w:hAnsi="Times New Roman" w:cs="Times New Roman"/>
          <w:bCs/>
          <w:sz w:val="24"/>
          <w:szCs w:val="24"/>
          <w:lang w:val="es-ES"/>
        </w:rPr>
        <w:t>ii</w:t>
      </w:r>
      <w:proofErr w:type="spellEnd"/>
      <w:r w:rsidRPr="00F626D4">
        <w:rPr>
          <w:rFonts w:ascii="Times New Roman" w:hAnsi="Times New Roman" w:cs="Times New Roman"/>
          <w:bCs/>
          <w:sz w:val="24"/>
          <w:szCs w:val="24"/>
          <w:lang w:val="es-ES"/>
        </w:rPr>
        <w:t>) La DEFASEG tutela los intereses de los asegurados cuando impugnan un rechazo de cobertura, por lo que, al intervenir a solicitud de aquéllos, en defensa de dichos intereses, verifica si el rechazo es o no legítimo, pero ello no significa que deba incurrir en sobreprotección, disponiendo el otorgamiento de cobertura que no han sido contratadas, ya que dicha irregularidad afectaría al sistema de seguros y derivará en enriquecimiento indebido. Y (</w:t>
      </w:r>
      <w:proofErr w:type="spellStart"/>
      <w:r w:rsidRPr="00F626D4">
        <w:rPr>
          <w:rFonts w:ascii="Times New Roman" w:hAnsi="Times New Roman" w:cs="Times New Roman"/>
          <w:bCs/>
          <w:sz w:val="24"/>
          <w:szCs w:val="24"/>
          <w:lang w:val="es-ES"/>
        </w:rPr>
        <w:t>iii</w:t>
      </w:r>
      <w:proofErr w:type="spellEnd"/>
      <w:r w:rsidRPr="00F626D4">
        <w:rPr>
          <w:rFonts w:ascii="Times New Roman" w:hAnsi="Times New Roman" w:cs="Times New Roman"/>
          <w:bCs/>
          <w:sz w:val="24"/>
          <w:szCs w:val="24"/>
          <w:lang w:val="es-ES"/>
        </w:rPr>
        <w:t xml:space="preserve">) Si </w:t>
      </w:r>
      <w:r w:rsidR="007741C1">
        <w:rPr>
          <w:rFonts w:ascii="Arial" w:hAnsi="Arial" w:cs="Arial"/>
          <w:lang w:val="es-PE"/>
        </w:rPr>
        <w:t>..................</w:t>
      </w:r>
      <w:r w:rsidR="007741C1">
        <w:rPr>
          <w:rFonts w:ascii="Arial" w:hAnsi="Arial" w:cs="Arial"/>
          <w:lang w:val="es-PE"/>
        </w:rPr>
        <w:t xml:space="preserve"> </w:t>
      </w:r>
      <w:r w:rsidRPr="00F626D4">
        <w:rPr>
          <w:rFonts w:ascii="Times New Roman" w:hAnsi="Times New Roman" w:cs="Times New Roman"/>
          <w:bCs/>
          <w:sz w:val="24"/>
          <w:szCs w:val="24"/>
          <w:lang w:val="es-ES"/>
        </w:rPr>
        <w:t xml:space="preserve">sostiene que informó al asegurado y le entregó el respectivo certificado de seguro, debe probarlo; y si sostiene que dicho certificado se siniestró, debe demostrar que dicho documento estaba efectivamente en el depósito correspondiente (el cual ni siquiera identifica), por lo que no basta su sola invocación del hecho para que se asuma como cierto; menos corresponde que identifique afiliación a un seguro grupal con conocimiento de sus condiciones, o que esto lo pretenda inferir de hechos que no están relacionados a dicho conocimiento.  Queda claro que no es controvertida la afiliación al seguro, ello resulta obvio; lo controvertido es lo relativo a si </w:t>
      </w:r>
      <w:r w:rsidR="00864FFD">
        <w:rPr>
          <w:rFonts w:ascii="Arial" w:hAnsi="Arial" w:cs="Arial"/>
          <w:lang w:val="es-PE"/>
        </w:rPr>
        <w:t>..................</w:t>
      </w:r>
      <w:r w:rsidR="00864FFD">
        <w:rPr>
          <w:rFonts w:ascii="Arial" w:hAnsi="Arial" w:cs="Arial"/>
          <w:lang w:val="es-PE"/>
        </w:rPr>
        <w:t xml:space="preserve"> </w:t>
      </w:r>
      <w:r w:rsidRPr="00F626D4">
        <w:rPr>
          <w:rFonts w:ascii="Times New Roman" w:hAnsi="Times New Roman" w:cs="Times New Roman"/>
          <w:bCs/>
          <w:sz w:val="24"/>
          <w:szCs w:val="24"/>
          <w:lang w:val="es-ES"/>
        </w:rPr>
        <w:t>informó o no al asegurado sobre las condiciones contractuales, siendo que sobre la aseguradora pesa la carga de demostrarlo.  Empero, tratándose de un riesgo no aceptado, este colegiado tiene muy claro que no puede disponer que se otorgue cobertura, según ha sido analizado y concluido en la resolución recurrida, pero distinta hubiese sido la conclusión si, por ejemplo, se hubiese tratado de un tema de exclusiones, o de inobservancia de cargas. etc.</w:t>
      </w:r>
    </w:p>
    <w:p w14:paraId="0A5AB6A5" w14:textId="77777777" w:rsidR="00F626D4" w:rsidRPr="00F626D4" w:rsidRDefault="00F626D4" w:rsidP="00F626D4">
      <w:pPr>
        <w:tabs>
          <w:tab w:val="left" w:pos="2160"/>
        </w:tabs>
        <w:spacing w:after="0" w:line="240" w:lineRule="auto"/>
        <w:jc w:val="both"/>
        <w:rPr>
          <w:rFonts w:ascii="Times New Roman" w:hAnsi="Times New Roman" w:cs="Times New Roman"/>
          <w:sz w:val="24"/>
          <w:szCs w:val="24"/>
          <w:lang w:val="es-ES"/>
        </w:rPr>
      </w:pPr>
    </w:p>
    <w:p w14:paraId="551DA006" w14:textId="77777777" w:rsidR="00F626D4" w:rsidRPr="00F626D4" w:rsidRDefault="00F626D4" w:rsidP="00F626D4">
      <w:pPr>
        <w:tabs>
          <w:tab w:val="left" w:pos="2160"/>
        </w:tabs>
        <w:spacing w:after="0" w:line="240" w:lineRule="auto"/>
        <w:jc w:val="both"/>
        <w:rPr>
          <w:rFonts w:ascii="Times New Roman" w:hAnsi="Times New Roman" w:cs="Times New Roman"/>
          <w:sz w:val="24"/>
          <w:szCs w:val="24"/>
          <w:lang w:val="es-ES"/>
        </w:rPr>
      </w:pPr>
      <w:r w:rsidRPr="00F626D4">
        <w:rPr>
          <w:rFonts w:ascii="Times New Roman" w:hAnsi="Times New Roman" w:cs="Times New Roman"/>
          <w:sz w:val="24"/>
          <w:szCs w:val="24"/>
          <w:lang w:val="es-ES"/>
        </w:rPr>
        <w:t>En atención a las consideraciones precedentes, este colegiado aprecia que no existe mérito ni razón objetiva para revocar la resolución recurrida; por lo tanto,</w:t>
      </w:r>
    </w:p>
    <w:p w14:paraId="6C90ECF8" w14:textId="77777777" w:rsidR="00F626D4" w:rsidRPr="00F626D4" w:rsidRDefault="00F626D4" w:rsidP="00F626D4">
      <w:pPr>
        <w:spacing w:after="0" w:line="240" w:lineRule="auto"/>
        <w:jc w:val="both"/>
        <w:rPr>
          <w:rFonts w:ascii="Times New Roman" w:eastAsia="Times New Roman" w:hAnsi="Times New Roman" w:cs="Times New Roman"/>
          <w:bCs/>
          <w:sz w:val="24"/>
          <w:szCs w:val="24"/>
          <w:lang w:val="es-ES" w:eastAsia="ar-SA"/>
        </w:rPr>
      </w:pPr>
    </w:p>
    <w:p w14:paraId="0EDFDF1B" w14:textId="77777777" w:rsidR="00F626D4" w:rsidRPr="00F626D4" w:rsidRDefault="00F626D4" w:rsidP="00F626D4">
      <w:pPr>
        <w:spacing w:after="0" w:line="240" w:lineRule="auto"/>
        <w:jc w:val="both"/>
        <w:rPr>
          <w:rFonts w:ascii="Times New Roman" w:hAnsi="Times New Roman" w:cs="Times New Roman"/>
          <w:b/>
          <w:sz w:val="24"/>
          <w:szCs w:val="24"/>
          <w:lang w:val="es-PE"/>
        </w:rPr>
      </w:pPr>
      <w:r w:rsidRPr="00F626D4">
        <w:rPr>
          <w:rFonts w:ascii="Times New Roman" w:hAnsi="Times New Roman" w:cs="Times New Roman"/>
          <w:b/>
          <w:sz w:val="24"/>
          <w:szCs w:val="24"/>
          <w:lang w:val="es-PE"/>
        </w:rPr>
        <w:t>Atendiendo a lo expresado, conforme a su reglamento, este colegiado resuelve:</w:t>
      </w:r>
    </w:p>
    <w:p w14:paraId="3D7ECFC6" w14:textId="77777777" w:rsidR="00F626D4" w:rsidRPr="00F626D4" w:rsidRDefault="00F626D4" w:rsidP="00F626D4">
      <w:pPr>
        <w:spacing w:after="0" w:line="240" w:lineRule="auto"/>
        <w:jc w:val="both"/>
        <w:rPr>
          <w:rFonts w:ascii="Times New Roman" w:eastAsia="Arial Unicode MS" w:hAnsi="Times New Roman" w:cs="Times New Roman"/>
          <w:b/>
          <w:sz w:val="24"/>
          <w:szCs w:val="24"/>
          <w:lang w:val="es-PE"/>
        </w:rPr>
      </w:pPr>
    </w:p>
    <w:p w14:paraId="44F5A4EA" w14:textId="20D6EA33" w:rsidR="00F626D4" w:rsidRDefault="00F626D4" w:rsidP="00F626D4">
      <w:pPr>
        <w:spacing w:after="0" w:line="240" w:lineRule="auto"/>
        <w:jc w:val="both"/>
        <w:rPr>
          <w:rFonts w:ascii="Times New Roman" w:eastAsia="Times New Roman" w:hAnsi="Times New Roman" w:cs="Times New Roman"/>
          <w:sz w:val="24"/>
          <w:szCs w:val="24"/>
          <w:lang w:val="es-ES" w:eastAsia="ar-SA"/>
        </w:rPr>
      </w:pPr>
      <w:r w:rsidRPr="00F626D4">
        <w:rPr>
          <w:rFonts w:ascii="Times New Roman" w:eastAsia="Arial Unicode MS" w:hAnsi="Times New Roman" w:cs="Times New Roman"/>
          <w:b/>
          <w:sz w:val="24"/>
          <w:szCs w:val="24"/>
          <w:lang w:val="es-PE"/>
        </w:rPr>
        <w:t xml:space="preserve">Declarar INFUNDADO el recurso impugnativo </w:t>
      </w:r>
      <w:r w:rsidRPr="00F626D4">
        <w:rPr>
          <w:rFonts w:ascii="Times New Roman" w:eastAsia="Arial Unicode MS" w:hAnsi="Times New Roman" w:cs="Times New Roman"/>
          <w:sz w:val="24"/>
          <w:szCs w:val="24"/>
          <w:lang w:val="es-PE"/>
        </w:rPr>
        <w:t xml:space="preserve">interpuesto por </w:t>
      </w:r>
      <w:r w:rsidRPr="00F626D4">
        <w:rPr>
          <w:rFonts w:ascii="Times New Roman" w:eastAsia="Times New Roman" w:hAnsi="Times New Roman" w:cs="Times New Roman"/>
          <w:sz w:val="24"/>
          <w:szCs w:val="24"/>
          <w:lang w:val="es-ES" w:eastAsia="ar-SA"/>
        </w:rPr>
        <w:t xml:space="preserve">don </w:t>
      </w:r>
      <w:r w:rsidR="00864FFD">
        <w:rPr>
          <w:rFonts w:ascii="Arial" w:hAnsi="Arial" w:cs="Arial"/>
          <w:lang w:val="es-PE"/>
        </w:rPr>
        <w:t>..................</w:t>
      </w:r>
      <w:r w:rsidR="00864FFD">
        <w:rPr>
          <w:rFonts w:ascii="Arial" w:hAnsi="Arial" w:cs="Arial"/>
          <w:lang w:val="es-PE"/>
        </w:rPr>
        <w:t xml:space="preserve"> </w:t>
      </w:r>
      <w:r w:rsidRPr="00F626D4">
        <w:rPr>
          <w:rFonts w:ascii="Times New Roman" w:hAnsi="Times New Roman" w:cs="Times New Roman"/>
          <w:bCs/>
          <w:sz w:val="24"/>
          <w:szCs w:val="24"/>
          <w:lang w:val="es-ES"/>
        </w:rPr>
        <w:t>y, por consiguiente, ratificar</w:t>
      </w:r>
      <w:r w:rsidRPr="00F626D4">
        <w:rPr>
          <w:rFonts w:ascii="Times New Roman" w:eastAsia="Times New Roman" w:hAnsi="Times New Roman" w:cs="Times New Roman"/>
          <w:sz w:val="24"/>
          <w:szCs w:val="24"/>
          <w:lang w:val="es-ES" w:eastAsia="ar-SA"/>
        </w:rPr>
        <w:t xml:space="preserve"> la Resolución Nro. 029/21, del 19 de marzo de 2021.</w:t>
      </w:r>
    </w:p>
    <w:p w14:paraId="6FE36EAE" w14:textId="77777777" w:rsidR="00864FFD" w:rsidRPr="00F626D4" w:rsidRDefault="00864FFD" w:rsidP="00F626D4">
      <w:pPr>
        <w:spacing w:after="0" w:line="240" w:lineRule="auto"/>
        <w:jc w:val="both"/>
        <w:rPr>
          <w:rFonts w:ascii="Times New Roman" w:eastAsia="Times New Roman" w:hAnsi="Times New Roman" w:cs="Times New Roman"/>
          <w:sz w:val="24"/>
          <w:szCs w:val="24"/>
          <w:lang w:val="es-ES" w:eastAsia="ar-SA"/>
        </w:rPr>
      </w:pPr>
    </w:p>
    <w:p w14:paraId="486C3F46" w14:textId="15D49403" w:rsidR="00C671F5" w:rsidRPr="005A4C4E" w:rsidRDefault="0091528B" w:rsidP="009765CD">
      <w:pPr>
        <w:suppressAutoHyphens/>
        <w:spacing w:after="0" w:line="240" w:lineRule="auto"/>
        <w:jc w:val="right"/>
        <w:outlineLvl w:val="0"/>
        <w:rPr>
          <w:rFonts w:ascii="Times New Roman" w:eastAsia="Arial Unicode MS" w:hAnsi="Times New Roman" w:cs="Times New Roman"/>
          <w:sz w:val="24"/>
          <w:szCs w:val="24"/>
          <w:lang w:val="es-PE" w:eastAsia="ar-SA"/>
        </w:rPr>
      </w:pPr>
      <w:r w:rsidRPr="005A4C4E">
        <w:rPr>
          <w:rFonts w:ascii="Times New Roman" w:eastAsia="Arial Unicode MS" w:hAnsi="Times New Roman" w:cs="Times New Roman"/>
          <w:sz w:val="24"/>
          <w:szCs w:val="24"/>
          <w:lang w:val="es-PE" w:eastAsia="ar-SA"/>
        </w:rPr>
        <w:t xml:space="preserve">Lima, </w:t>
      </w:r>
      <w:r w:rsidR="00F626D4">
        <w:rPr>
          <w:rFonts w:ascii="Times New Roman" w:eastAsia="Arial Unicode MS" w:hAnsi="Times New Roman" w:cs="Times New Roman"/>
          <w:sz w:val="24"/>
          <w:szCs w:val="24"/>
          <w:lang w:val="es-PE" w:eastAsia="ar-SA"/>
        </w:rPr>
        <w:t>19</w:t>
      </w:r>
      <w:r w:rsidR="00707C99" w:rsidRPr="005A4C4E">
        <w:rPr>
          <w:rFonts w:ascii="Times New Roman" w:eastAsia="Arial Unicode MS" w:hAnsi="Times New Roman" w:cs="Times New Roman"/>
          <w:sz w:val="24"/>
          <w:szCs w:val="24"/>
          <w:lang w:val="es-PE" w:eastAsia="ar-SA"/>
        </w:rPr>
        <w:t xml:space="preserve"> de</w:t>
      </w:r>
      <w:r w:rsidR="00864B0B">
        <w:rPr>
          <w:rFonts w:ascii="Times New Roman" w:eastAsia="Arial Unicode MS" w:hAnsi="Times New Roman" w:cs="Times New Roman"/>
          <w:sz w:val="24"/>
          <w:szCs w:val="24"/>
          <w:lang w:val="es-PE" w:eastAsia="ar-SA"/>
        </w:rPr>
        <w:t xml:space="preserve"> abril</w:t>
      </w:r>
      <w:r w:rsidR="00F06498" w:rsidRPr="005A4C4E">
        <w:rPr>
          <w:rFonts w:ascii="Times New Roman" w:eastAsia="Arial Unicode MS" w:hAnsi="Times New Roman" w:cs="Times New Roman"/>
          <w:sz w:val="24"/>
          <w:szCs w:val="24"/>
          <w:lang w:val="es-PE" w:eastAsia="ar-SA"/>
        </w:rPr>
        <w:t xml:space="preserve"> de 202</w:t>
      </w:r>
      <w:r w:rsidR="00231C58" w:rsidRPr="005A4C4E">
        <w:rPr>
          <w:rFonts w:ascii="Times New Roman" w:eastAsia="Arial Unicode MS" w:hAnsi="Times New Roman" w:cs="Times New Roman"/>
          <w:sz w:val="24"/>
          <w:szCs w:val="24"/>
          <w:lang w:val="es-PE" w:eastAsia="ar-SA"/>
        </w:rPr>
        <w:t>1</w:t>
      </w:r>
      <w:r w:rsidR="00707C99" w:rsidRPr="005A4C4E">
        <w:rPr>
          <w:rFonts w:ascii="Times New Roman" w:eastAsia="Times New Roman" w:hAnsi="Times New Roman" w:cs="Times New Roman"/>
          <w:sz w:val="24"/>
          <w:szCs w:val="24"/>
          <w:lang w:val="es-PE" w:eastAsia="ar-SA"/>
        </w:rPr>
        <w:t xml:space="preserve"> </w:t>
      </w:r>
    </w:p>
    <w:p w14:paraId="2B9BAAC8" w14:textId="77777777" w:rsidR="00231C58" w:rsidRPr="005A4C4E"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5A4C4E" w:rsidRDefault="00C671F5" w:rsidP="00C671F5">
      <w:pPr>
        <w:spacing w:after="0" w:line="240" w:lineRule="auto"/>
        <w:jc w:val="both"/>
        <w:rPr>
          <w:rFonts w:ascii="Times New Roman" w:hAnsi="Times New Roman" w:cs="Times New Roman"/>
          <w:b/>
          <w:bCs/>
          <w:i/>
          <w:iCs/>
          <w:sz w:val="24"/>
          <w:szCs w:val="24"/>
          <w:lang w:val="es-PE"/>
        </w:rPr>
      </w:pPr>
      <w:r w:rsidRPr="005A4C4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08E6CE" w14:textId="77777777" w:rsidR="00C671F5" w:rsidRPr="005A4C4E" w:rsidRDefault="00C671F5" w:rsidP="00C671F5">
      <w:pPr>
        <w:spacing w:after="0" w:line="360" w:lineRule="auto"/>
        <w:jc w:val="both"/>
        <w:rPr>
          <w:rFonts w:ascii="Times New Roman" w:hAnsi="Times New Roman" w:cs="Times New Roman"/>
          <w:b/>
          <w:bCs/>
          <w:i/>
          <w:iCs/>
          <w:sz w:val="24"/>
          <w:szCs w:val="24"/>
          <w:lang w:val="es-PE"/>
        </w:rPr>
      </w:pPr>
    </w:p>
    <w:p w14:paraId="548B3E5B" w14:textId="47A8BA49" w:rsidR="00C671F5" w:rsidRPr="005A4C4E" w:rsidRDefault="00231C58"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María Eugenia Valdez Fernández Baca </w:t>
      </w:r>
      <w:r w:rsidR="00C671F5" w:rsidRPr="005A4C4E">
        <w:rPr>
          <w:rFonts w:ascii="Times New Roman" w:hAnsi="Times New Roman" w:cs="Times New Roman"/>
          <w:b/>
          <w:bCs/>
          <w:sz w:val="24"/>
          <w:szCs w:val="24"/>
          <w:lang w:val="es-PE"/>
        </w:rPr>
        <w:t xml:space="preserve">– </w:t>
      </w:r>
      <w:proofErr w:type="gramStart"/>
      <w:r w:rsidR="00C671F5" w:rsidRPr="005A4C4E">
        <w:rPr>
          <w:rFonts w:ascii="Times New Roman" w:hAnsi="Times New Roman" w:cs="Times New Roman"/>
          <w:b/>
          <w:bCs/>
          <w:sz w:val="24"/>
          <w:szCs w:val="24"/>
          <w:lang w:val="es-PE"/>
        </w:rPr>
        <w:t>Presidente</w:t>
      </w:r>
      <w:proofErr w:type="gramEnd"/>
    </w:p>
    <w:p w14:paraId="55E7D9D7" w14:textId="724A8615" w:rsidR="00C671F5" w:rsidRPr="005A4C4E" w:rsidRDefault="00C671F5" w:rsidP="00C671F5">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Marco Antonio Ortega Piana – Vocal</w:t>
      </w:r>
    </w:p>
    <w:p w14:paraId="3006BA35" w14:textId="7871895F" w:rsidR="00292018" w:rsidRPr="005A4C4E" w:rsidRDefault="00292018" w:rsidP="00292018">
      <w:pPr>
        <w:spacing w:after="0" w:line="360" w:lineRule="auto"/>
        <w:jc w:val="center"/>
        <w:rPr>
          <w:rFonts w:ascii="Times New Roman" w:hAnsi="Times New Roman" w:cs="Times New Roman"/>
          <w:b/>
          <w:bCs/>
          <w:sz w:val="24"/>
          <w:szCs w:val="24"/>
          <w:lang w:val="es-PE"/>
        </w:rPr>
      </w:pPr>
      <w:r w:rsidRPr="005A4C4E">
        <w:rPr>
          <w:rFonts w:ascii="Times New Roman" w:hAnsi="Times New Roman" w:cs="Times New Roman"/>
          <w:b/>
          <w:bCs/>
          <w:sz w:val="24"/>
          <w:szCs w:val="24"/>
          <w:lang w:val="es-PE"/>
        </w:rPr>
        <w:t xml:space="preserve">Rolando Eyzaguirre </w:t>
      </w:r>
      <w:proofErr w:type="spellStart"/>
      <w:r w:rsidRPr="005A4C4E">
        <w:rPr>
          <w:rFonts w:ascii="Times New Roman" w:hAnsi="Times New Roman" w:cs="Times New Roman"/>
          <w:b/>
          <w:bCs/>
          <w:sz w:val="24"/>
          <w:szCs w:val="24"/>
          <w:lang w:val="es-PE"/>
        </w:rPr>
        <w:t>Maccan</w:t>
      </w:r>
      <w:proofErr w:type="spellEnd"/>
      <w:r w:rsidRPr="005A4C4E">
        <w:rPr>
          <w:rFonts w:ascii="Times New Roman" w:hAnsi="Times New Roman" w:cs="Times New Roman"/>
          <w:b/>
          <w:bCs/>
          <w:sz w:val="24"/>
          <w:szCs w:val="24"/>
          <w:lang w:val="es-PE"/>
        </w:rPr>
        <w:t xml:space="preserve"> – Vocal</w:t>
      </w:r>
    </w:p>
    <w:p w14:paraId="3A9CFE9F" w14:textId="4DFF4426" w:rsidR="00C671F5" w:rsidRPr="005A4C4E" w:rsidRDefault="00C671F5" w:rsidP="00C671F5">
      <w:pPr>
        <w:spacing w:after="0" w:line="360" w:lineRule="auto"/>
        <w:jc w:val="center"/>
        <w:rPr>
          <w:rFonts w:ascii="Times New Roman" w:hAnsi="Times New Roman" w:cs="Times New Roman"/>
          <w:sz w:val="24"/>
          <w:szCs w:val="24"/>
          <w:lang w:val="es-PE"/>
        </w:rPr>
      </w:pPr>
      <w:r w:rsidRPr="005A4C4E">
        <w:rPr>
          <w:rFonts w:ascii="Times New Roman" w:hAnsi="Times New Roman" w:cs="Times New Roman"/>
          <w:b/>
          <w:bCs/>
          <w:sz w:val="24"/>
          <w:szCs w:val="24"/>
          <w:lang w:val="es-PE"/>
        </w:rPr>
        <w:t xml:space="preserve">Gonzalo Abad del Busto </w:t>
      </w:r>
      <w:r w:rsidR="00231C58" w:rsidRPr="005A4C4E">
        <w:rPr>
          <w:rFonts w:ascii="Times New Roman" w:hAnsi="Times New Roman" w:cs="Times New Roman"/>
          <w:b/>
          <w:bCs/>
          <w:sz w:val="24"/>
          <w:szCs w:val="24"/>
          <w:lang w:val="es-PE"/>
        </w:rPr>
        <w:t xml:space="preserve">– </w:t>
      </w:r>
      <w:r w:rsidRPr="005A4C4E">
        <w:rPr>
          <w:rFonts w:ascii="Times New Roman" w:hAnsi="Times New Roman" w:cs="Times New Roman"/>
          <w:b/>
          <w:bCs/>
          <w:sz w:val="24"/>
          <w:szCs w:val="24"/>
          <w:lang w:val="es-PE"/>
        </w:rPr>
        <w:t>Vocal</w:t>
      </w:r>
    </w:p>
    <w:p w14:paraId="33E0FAB8" w14:textId="77777777" w:rsidR="00C671F5" w:rsidRPr="005A4C4E" w:rsidRDefault="00C671F5" w:rsidP="00C671F5">
      <w:pPr>
        <w:suppressAutoHyphens/>
        <w:spacing w:after="0" w:line="360" w:lineRule="auto"/>
        <w:outlineLvl w:val="0"/>
        <w:rPr>
          <w:rFonts w:ascii="Times New Roman" w:eastAsia="Arial Unicode MS" w:hAnsi="Times New Roman" w:cs="Times New Roman"/>
          <w:sz w:val="24"/>
          <w:szCs w:val="24"/>
          <w:lang w:val="es-PE" w:eastAsia="ar-SA"/>
        </w:rPr>
      </w:pPr>
    </w:p>
    <w:p w14:paraId="2C3A0205" w14:textId="77777777" w:rsidR="00C671F5" w:rsidRPr="005A4C4E" w:rsidRDefault="00C671F5" w:rsidP="00C671F5">
      <w:pPr>
        <w:rPr>
          <w:rFonts w:ascii="Times New Roman" w:eastAsia="Arial Unicode MS" w:hAnsi="Times New Roman" w:cs="Times New Roman"/>
          <w:sz w:val="24"/>
          <w:szCs w:val="24"/>
          <w:lang w:val="es-PE" w:eastAsia="ar-SA"/>
        </w:rPr>
      </w:pPr>
    </w:p>
    <w:sectPr w:rsidR="00C671F5" w:rsidRPr="005A4C4E" w:rsidSect="00077B6F">
      <w:headerReference w:type="default" r:id="rId8"/>
      <w:footerReference w:type="default" r:id="rId9"/>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D2B25" w14:textId="77777777" w:rsidR="00E75EBD" w:rsidRDefault="00E75EBD" w:rsidP="00784355">
      <w:pPr>
        <w:spacing w:after="0" w:line="240" w:lineRule="auto"/>
      </w:pPr>
      <w:r>
        <w:separator/>
      </w:r>
    </w:p>
  </w:endnote>
  <w:endnote w:type="continuationSeparator" w:id="0">
    <w:p w14:paraId="3A834CED" w14:textId="77777777" w:rsidR="00E75EBD" w:rsidRDefault="00E75EBD"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14:paraId="1A7D4DE2" w14:textId="27FEA839" w:rsidR="00C671F5" w:rsidRDefault="00C671F5">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4017A" w14:textId="77777777" w:rsidR="00E75EBD" w:rsidRDefault="00E75EBD" w:rsidP="00784355">
      <w:pPr>
        <w:spacing w:after="0" w:line="240" w:lineRule="auto"/>
      </w:pPr>
      <w:r>
        <w:separator/>
      </w:r>
    </w:p>
  </w:footnote>
  <w:footnote w:type="continuationSeparator" w:id="0">
    <w:p w14:paraId="53A3BC48" w14:textId="77777777" w:rsidR="00E75EBD" w:rsidRDefault="00E75EBD"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14:paraId="52A8D4E0" w14:textId="77777777" w:rsidR="00C671F5" w:rsidRDefault="00C671F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6"/>
  </w:num>
  <w:num w:numId="4">
    <w:abstractNumId w:val="5"/>
  </w:num>
  <w:num w:numId="5">
    <w:abstractNumId w:val="7"/>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4"/>
  </w:num>
  <w:num w:numId="9">
    <w:abstractNumId w:val="10"/>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274F"/>
    <w:rsid w:val="000A5666"/>
    <w:rsid w:val="000A5CAA"/>
    <w:rsid w:val="000B19A0"/>
    <w:rsid w:val="000B58D8"/>
    <w:rsid w:val="000C0734"/>
    <w:rsid w:val="000D0DFE"/>
    <w:rsid w:val="000E1B0F"/>
    <w:rsid w:val="000E1E6F"/>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4CEE"/>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3E88"/>
    <w:rsid w:val="002A7E2E"/>
    <w:rsid w:val="002B726E"/>
    <w:rsid w:val="002C2A0F"/>
    <w:rsid w:val="002D0DB0"/>
    <w:rsid w:val="002D3B01"/>
    <w:rsid w:val="002E1221"/>
    <w:rsid w:val="002E17F9"/>
    <w:rsid w:val="002F09CA"/>
    <w:rsid w:val="002F35F0"/>
    <w:rsid w:val="002F3B75"/>
    <w:rsid w:val="003045E3"/>
    <w:rsid w:val="00310DD6"/>
    <w:rsid w:val="00313D12"/>
    <w:rsid w:val="0032132E"/>
    <w:rsid w:val="00326A2F"/>
    <w:rsid w:val="0033211B"/>
    <w:rsid w:val="00340E4B"/>
    <w:rsid w:val="00345DF0"/>
    <w:rsid w:val="00345F7F"/>
    <w:rsid w:val="00347D7E"/>
    <w:rsid w:val="00353092"/>
    <w:rsid w:val="003544B1"/>
    <w:rsid w:val="00357D70"/>
    <w:rsid w:val="00362449"/>
    <w:rsid w:val="00364E0F"/>
    <w:rsid w:val="003657C9"/>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060E9"/>
    <w:rsid w:val="00414F05"/>
    <w:rsid w:val="0041626C"/>
    <w:rsid w:val="00417E23"/>
    <w:rsid w:val="00425F75"/>
    <w:rsid w:val="00431D81"/>
    <w:rsid w:val="00440BC2"/>
    <w:rsid w:val="00444232"/>
    <w:rsid w:val="00460C30"/>
    <w:rsid w:val="00465FB9"/>
    <w:rsid w:val="00466302"/>
    <w:rsid w:val="0047370C"/>
    <w:rsid w:val="0047522D"/>
    <w:rsid w:val="00476BA1"/>
    <w:rsid w:val="00482259"/>
    <w:rsid w:val="00496A1A"/>
    <w:rsid w:val="004A3E25"/>
    <w:rsid w:val="004A690A"/>
    <w:rsid w:val="004B51ED"/>
    <w:rsid w:val="004C51EC"/>
    <w:rsid w:val="004C6983"/>
    <w:rsid w:val="004D6978"/>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2924"/>
    <w:rsid w:val="005C2407"/>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038"/>
    <w:rsid w:val="00707C99"/>
    <w:rsid w:val="0072050F"/>
    <w:rsid w:val="00720DBC"/>
    <w:rsid w:val="0072240A"/>
    <w:rsid w:val="007261FD"/>
    <w:rsid w:val="007300C4"/>
    <w:rsid w:val="00744447"/>
    <w:rsid w:val="00760034"/>
    <w:rsid w:val="007703E9"/>
    <w:rsid w:val="007708AB"/>
    <w:rsid w:val="00771625"/>
    <w:rsid w:val="007741C1"/>
    <w:rsid w:val="00781235"/>
    <w:rsid w:val="00782FF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290A"/>
    <w:rsid w:val="00836831"/>
    <w:rsid w:val="00837DDE"/>
    <w:rsid w:val="008523F5"/>
    <w:rsid w:val="008548F9"/>
    <w:rsid w:val="0085575C"/>
    <w:rsid w:val="0085791F"/>
    <w:rsid w:val="00857988"/>
    <w:rsid w:val="0086244F"/>
    <w:rsid w:val="00864B0B"/>
    <w:rsid w:val="00864FFD"/>
    <w:rsid w:val="00871F40"/>
    <w:rsid w:val="00883121"/>
    <w:rsid w:val="0088392F"/>
    <w:rsid w:val="00884426"/>
    <w:rsid w:val="00886D60"/>
    <w:rsid w:val="00887814"/>
    <w:rsid w:val="008916FF"/>
    <w:rsid w:val="00891DB3"/>
    <w:rsid w:val="00895A85"/>
    <w:rsid w:val="008A1D12"/>
    <w:rsid w:val="008A3A47"/>
    <w:rsid w:val="008C6A59"/>
    <w:rsid w:val="008D55AF"/>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97863"/>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A02104"/>
    <w:rsid w:val="00A02270"/>
    <w:rsid w:val="00A077D2"/>
    <w:rsid w:val="00A14F48"/>
    <w:rsid w:val="00A16942"/>
    <w:rsid w:val="00A17A72"/>
    <w:rsid w:val="00A23996"/>
    <w:rsid w:val="00A25F51"/>
    <w:rsid w:val="00A30393"/>
    <w:rsid w:val="00A32246"/>
    <w:rsid w:val="00A328C0"/>
    <w:rsid w:val="00A3714C"/>
    <w:rsid w:val="00A427D6"/>
    <w:rsid w:val="00A46E96"/>
    <w:rsid w:val="00A51F2A"/>
    <w:rsid w:val="00A62BEC"/>
    <w:rsid w:val="00A658C1"/>
    <w:rsid w:val="00A6710A"/>
    <w:rsid w:val="00A734AD"/>
    <w:rsid w:val="00A837A0"/>
    <w:rsid w:val="00A83AB0"/>
    <w:rsid w:val="00A83D6A"/>
    <w:rsid w:val="00A90926"/>
    <w:rsid w:val="00A97287"/>
    <w:rsid w:val="00AA2DED"/>
    <w:rsid w:val="00AB1C66"/>
    <w:rsid w:val="00AB69B3"/>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797F"/>
    <w:rsid w:val="00BE1470"/>
    <w:rsid w:val="00BE6FFA"/>
    <w:rsid w:val="00BE7C72"/>
    <w:rsid w:val="00BF1421"/>
    <w:rsid w:val="00BF414E"/>
    <w:rsid w:val="00BF5A34"/>
    <w:rsid w:val="00BF78BF"/>
    <w:rsid w:val="00C00BBF"/>
    <w:rsid w:val="00C04AA4"/>
    <w:rsid w:val="00C05445"/>
    <w:rsid w:val="00C12CBD"/>
    <w:rsid w:val="00C134DB"/>
    <w:rsid w:val="00C25B78"/>
    <w:rsid w:val="00C32068"/>
    <w:rsid w:val="00C33FEF"/>
    <w:rsid w:val="00C35DA4"/>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78D3"/>
    <w:rsid w:val="00D01E70"/>
    <w:rsid w:val="00D10B27"/>
    <w:rsid w:val="00D12CFF"/>
    <w:rsid w:val="00D156AF"/>
    <w:rsid w:val="00D16367"/>
    <w:rsid w:val="00D2092C"/>
    <w:rsid w:val="00D22AA1"/>
    <w:rsid w:val="00D22DC3"/>
    <w:rsid w:val="00D25683"/>
    <w:rsid w:val="00D27042"/>
    <w:rsid w:val="00D35EC2"/>
    <w:rsid w:val="00D4253A"/>
    <w:rsid w:val="00D50B42"/>
    <w:rsid w:val="00D57228"/>
    <w:rsid w:val="00D61C6D"/>
    <w:rsid w:val="00D64034"/>
    <w:rsid w:val="00D67F30"/>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5106"/>
    <w:rsid w:val="00E57869"/>
    <w:rsid w:val="00E61DBC"/>
    <w:rsid w:val="00E64057"/>
    <w:rsid w:val="00E66AFF"/>
    <w:rsid w:val="00E6771C"/>
    <w:rsid w:val="00E70381"/>
    <w:rsid w:val="00E70F8F"/>
    <w:rsid w:val="00E73DEF"/>
    <w:rsid w:val="00E75EBD"/>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 w:type="character" w:customStyle="1" w:styleId="Ttulo2Car">
    <w:name w:val="Título 2 Car"/>
    <w:basedOn w:val="Fuentedeprrafopredeter"/>
    <w:link w:val="Ttulo2"/>
    <w:uiPriority w:val="9"/>
    <w:rsid w:val="00F626D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828E2A6D-CC5E-464A-B88C-D15EF3F3CADD}"/>
</file>

<file path=customXml/itemProps3.xml><?xml version="1.0" encoding="utf-8"?>
<ds:datastoreItem xmlns:ds="http://schemas.openxmlformats.org/officeDocument/2006/customXml" ds:itemID="{C20B6318-0583-4073-AD53-59D55367E498}"/>
</file>

<file path=customXml/itemProps4.xml><?xml version="1.0" encoding="utf-8"?>
<ds:datastoreItem xmlns:ds="http://schemas.openxmlformats.org/officeDocument/2006/customXml" ds:itemID="{76012904-48B7-4E55-B52A-A56ACE1824CB}"/>
</file>

<file path=docProps/app.xml><?xml version="1.0" encoding="utf-8"?>
<Properties xmlns="http://schemas.openxmlformats.org/officeDocument/2006/extended-properties" xmlns:vt="http://schemas.openxmlformats.org/officeDocument/2006/docPropsVTypes">
  <Template>Normal</Template>
  <TotalTime>218</TotalTime>
  <Pages>3</Pages>
  <Words>1208</Words>
  <Characters>6646</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57</cp:revision>
  <cp:lastPrinted>2021-04-19T15:40:00Z</cp:lastPrinted>
  <dcterms:created xsi:type="dcterms:W3CDTF">2020-12-18T20:17:00Z</dcterms:created>
  <dcterms:modified xsi:type="dcterms:W3CDTF">2022-02-10T15:45:00Z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