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34E6E5E3" w:rsidR="00707C99" w:rsidRPr="00F626D4" w:rsidRDefault="00201C0D" w:rsidP="00F626D4">
      <w:pPr>
        <w:pStyle w:val="Ttulo2"/>
        <w:jc w:val="center"/>
        <w:rPr>
          <w:rFonts w:ascii="Times New Roman" w:hAnsi="Times New Roman" w:cs="Times New Roman"/>
          <w:b/>
          <w:bCs/>
          <w:lang w:val="es-PE" w:eastAsia="ar-SA"/>
        </w:rPr>
      </w:pPr>
      <w:r w:rsidRPr="00F626D4">
        <w:rPr>
          <w:rFonts w:ascii="Times New Roman" w:hAnsi="Times New Roman" w:cs="Times New Roman"/>
          <w:b/>
          <w:bCs/>
          <w:color w:val="auto"/>
          <w:lang w:val="es-PE" w:eastAsia="ar-SA"/>
        </w:rPr>
        <w:t xml:space="preserve">RESOLUCIÓN DE RECURSO IMPUGNATIVO </w:t>
      </w:r>
      <w:proofErr w:type="spellStart"/>
      <w:r w:rsidR="00707C99" w:rsidRPr="00F626D4">
        <w:rPr>
          <w:rFonts w:ascii="Times New Roman" w:hAnsi="Times New Roman" w:cs="Times New Roman"/>
          <w:b/>
          <w:bCs/>
          <w:color w:val="auto"/>
          <w:lang w:val="es-PE" w:eastAsia="ar-SA"/>
        </w:rPr>
        <w:t>N°</w:t>
      </w:r>
      <w:proofErr w:type="spellEnd"/>
      <w:r w:rsidR="00707C99" w:rsidRPr="00F626D4">
        <w:rPr>
          <w:rFonts w:ascii="Times New Roman" w:hAnsi="Times New Roman" w:cs="Times New Roman"/>
          <w:b/>
          <w:bCs/>
          <w:color w:val="auto"/>
          <w:lang w:val="es-PE" w:eastAsia="ar-SA"/>
        </w:rPr>
        <w:t xml:space="preserve"> </w:t>
      </w:r>
      <w:r w:rsidR="00C671F5" w:rsidRPr="00F626D4">
        <w:rPr>
          <w:rFonts w:ascii="Times New Roman" w:hAnsi="Times New Roman" w:cs="Times New Roman"/>
          <w:b/>
          <w:bCs/>
          <w:color w:val="auto"/>
          <w:lang w:val="es-PE" w:eastAsia="ar-SA"/>
        </w:rPr>
        <w:t>0</w:t>
      </w:r>
      <w:r w:rsidR="004A374A">
        <w:rPr>
          <w:rFonts w:ascii="Times New Roman" w:hAnsi="Times New Roman" w:cs="Times New Roman"/>
          <w:b/>
          <w:bCs/>
          <w:color w:val="auto"/>
          <w:lang w:val="es-PE" w:eastAsia="ar-SA"/>
        </w:rPr>
        <w:t>30</w:t>
      </w:r>
      <w:r w:rsidR="00C671F5" w:rsidRPr="00F626D4">
        <w:rPr>
          <w:rFonts w:ascii="Times New Roman" w:hAnsi="Times New Roman" w:cs="Times New Roman"/>
          <w:b/>
          <w:bCs/>
          <w:color w:val="auto"/>
          <w:lang w:val="es-PE" w:eastAsia="ar-SA"/>
        </w:rPr>
        <w:t>/2</w:t>
      </w:r>
      <w:r w:rsidR="00231C58" w:rsidRPr="00F626D4">
        <w:rPr>
          <w:rFonts w:ascii="Times New Roman" w:hAnsi="Times New Roman" w:cs="Times New Roman"/>
          <w:b/>
          <w:bCs/>
          <w:color w:val="auto"/>
          <w:lang w:val="es-PE" w:eastAsia="ar-SA"/>
        </w:rPr>
        <w:t>1</w:t>
      </w:r>
    </w:p>
    <w:p w14:paraId="428240E5" w14:textId="06F06948" w:rsidR="00707C99" w:rsidRPr="004A690A" w:rsidRDefault="00707C99" w:rsidP="00072C60">
      <w:pPr>
        <w:suppressAutoHyphens/>
        <w:spacing w:after="0" w:line="240" w:lineRule="auto"/>
        <w:jc w:val="both"/>
        <w:rPr>
          <w:rFonts w:ascii="Times New Roman" w:eastAsia="Times New Roman" w:hAnsi="Times New Roman" w:cs="Times New Roman"/>
          <w:b/>
          <w:bCs/>
          <w:color w:val="000000" w:themeColor="text1"/>
          <w:sz w:val="24"/>
          <w:szCs w:val="24"/>
          <w:lang w:val="es-PE" w:eastAsia="ar-SA"/>
        </w:rPr>
      </w:pPr>
    </w:p>
    <w:p w14:paraId="44E363F0" w14:textId="77777777" w:rsidR="004A690A" w:rsidRPr="00F626D4" w:rsidRDefault="004A690A" w:rsidP="004A690A">
      <w:pPr>
        <w:spacing w:after="0" w:line="240" w:lineRule="auto"/>
        <w:rPr>
          <w:rFonts w:ascii="Times New Roman" w:hAnsi="Times New Roman" w:cs="Times New Roman"/>
          <w:color w:val="000000" w:themeColor="text1"/>
          <w:sz w:val="24"/>
          <w:szCs w:val="24"/>
          <w:lang w:val="es-PE"/>
        </w:rPr>
      </w:pPr>
    </w:p>
    <w:p w14:paraId="34162819" w14:textId="77777777" w:rsidR="004A374A" w:rsidRPr="004A374A" w:rsidRDefault="004A374A" w:rsidP="004A374A">
      <w:pPr>
        <w:spacing w:line="240" w:lineRule="auto"/>
        <w:jc w:val="both"/>
        <w:outlineLvl w:val="0"/>
        <w:rPr>
          <w:rFonts w:ascii="Times New Roman" w:hAnsi="Times New Roman" w:cs="Times New Roman"/>
          <w:b/>
          <w:bCs/>
          <w:sz w:val="24"/>
          <w:szCs w:val="24"/>
          <w:lang w:val="es-PE"/>
        </w:rPr>
      </w:pPr>
      <w:r w:rsidRPr="004A374A">
        <w:rPr>
          <w:rFonts w:ascii="Times New Roman" w:hAnsi="Times New Roman" w:cs="Times New Roman"/>
          <w:b/>
          <w:bCs/>
          <w:sz w:val="24"/>
          <w:szCs w:val="24"/>
          <w:lang w:val="es-PE"/>
        </w:rPr>
        <w:t>VISTOS:</w:t>
      </w:r>
    </w:p>
    <w:p w14:paraId="7C4536FA" w14:textId="73ACBE78" w:rsidR="004A374A" w:rsidRPr="004A374A" w:rsidRDefault="004A374A" w:rsidP="004A374A">
      <w:pPr>
        <w:pStyle w:val="Default"/>
        <w:jc w:val="both"/>
        <w:rPr>
          <w:rFonts w:ascii="Times New Roman" w:hAnsi="Times New Roman" w:cs="Times New Roman"/>
        </w:rPr>
      </w:pPr>
      <w:r w:rsidRPr="004A374A">
        <w:rPr>
          <w:rFonts w:ascii="Times New Roman" w:hAnsi="Times New Roman" w:cs="Times New Roman"/>
        </w:rPr>
        <w:t xml:space="preserve">El recurso de impugnación presentado por </w:t>
      </w:r>
      <w:r w:rsidR="001D1C50" w:rsidRPr="0037740B">
        <w:t>...................</w:t>
      </w:r>
      <w:r w:rsidR="001D1C50">
        <w:t xml:space="preserve"> </w:t>
      </w:r>
      <w:r w:rsidRPr="004A374A">
        <w:rPr>
          <w:rFonts w:ascii="Times New Roman" w:hAnsi="Times New Roman" w:cs="Times New Roman"/>
        </w:rPr>
        <w:t>respecto de la Resolución Nro. 013/21, expedida por esta Defensoría del Asegurado (DEFASEG), conforme a la cual se declaró FUNDADA la reclamación interpuesta por</w:t>
      </w:r>
      <w:r>
        <w:rPr>
          <w:rFonts w:ascii="Times New Roman" w:hAnsi="Times New Roman" w:cs="Times New Roman"/>
        </w:rPr>
        <w:t xml:space="preserve"> </w:t>
      </w:r>
      <w:r w:rsidR="001D1C50" w:rsidRPr="0037740B">
        <w:t>...................</w:t>
      </w:r>
      <w:r w:rsidRPr="004A374A">
        <w:rPr>
          <w:rFonts w:ascii="Times New Roman" w:hAnsi="Times New Roman" w:cs="Times New Roman"/>
        </w:rPr>
        <w:t xml:space="preserve">respecto a los </w:t>
      </w:r>
      <w:r w:rsidRPr="004A374A">
        <w:rPr>
          <w:rFonts w:ascii="Times New Roman" w:hAnsi="Times New Roman" w:cs="Times New Roman"/>
          <w:b/>
          <w:bCs/>
        </w:rPr>
        <w:t xml:space="preserve">SEGUROS DE DESGRAVAMEN - PÓLIZA No </w:t>
      </w:r>
      <w:r w:rsidR="001D1C50" w:rsidRPr="0037740B">
        <w:t>...................</w:t>
      </w:r>
      <w:r w:rsidRPr="004A374A">
        <w:rPr>
          <w:rFonts w:ascii="Times New Roman" w:hAnsi="Times New Roman" w:cs="Times New Roman"/>
          <w:b/>
          <w:bCs/>
        </w:rPr>
        <w:t xml:space="preserve"> y No </w:t>
      </w:r>
      <w:r w:rsidR="001D1C50" w:rsidRPr="0037740B">
        <w:t>...................</w:t>
      </w:r>
      <w:r w:rsidRPr="004A374A">
        <w:rPr>
          <w:rFonts w:ascii="Times New Roman" w:hAnsi="Times New Roman" w:cs="Times New Roman"/>
        </w:rPr>
        <w:t xml:space="preserve">, como consecuencia del fallecimiento de su padre </w:t>
      </w:r>
      <w:r w:rsidR="001D1C50" w:rsidRPr="0037740B">
        <w:t>...................</w:t>
      </w:r>
      <w:r w:rsidRPr="004A374A">
        <w:rPr>
          <w:rFonts w:ascii="Times New Roman" w:hAnsi="Times New Roman" w:cs="Times New Roman"/>
        </w:rPr>
        <w:t>.</w:t>
      </w:r>
    </w:p>
    <w:p w14:paraId="6706B030" w14:textId="77777777" w:rsidR="004A374A" w:rsidRDefault="004A374A" w:rsidP="004A374A">
      <w:pPr>
        <w:pStyle w:val="Textoindependiente"/>
        <w:rPr>
          <w:lang w:val="es-PE"/>
        </w:rPr>
      </w:pPr>
    </w:p>
    <w:p w14:paraId="6E73623C" w14:textId="10506E7A" w:rsidR="004A374A" w:rsidRPr="004A374A" w:rsidRDefault="004A374A" w:rsidP="004A374A">
      <w:pPr>
        <w:pStyle w:val="Textoindependiente"/>
        <w:rPr>
          <w:lang w:val="es-PE"/>
        </w:rPr>
      </w:pPr>
      <w:r w:rsidRPr="004A374A">
        <w:rPr>
          <w:lang w:val="es-PE"/>
        </w:rPr>
        <w:t xml:space="preserve">Que, el indicado recurso se sustenta resumidamente en lo siguiente: (1) en cuanto al seguro de desgravamen de crédito personal presenta el certificado de seguro No </w:t>
      </w:r>
      <w:r w:rsidR="00F45DCA" w:rsidRPr="0037740B">
        <w:rPr>
          <w:rFonts w:ascii="Arial" w:hAnsi="Arial" w:cs="Arial"/>
          <w:lang w:val="es-PE"/>
        </w:rPr>
        <w:t>...................</w:t>
      </w:r>
      <w:r w:rsidRPr="004A374A">
        <w:rPr>
          <w:lang w:val="es-PE"/>
        </w:rPr>
        <w:t xml:space="preserve"> para el crédito personal, en el que consta la exclusión invocada como fundamento del rechazo de cobertura, esto es enfermedades contagiosas que sean declaradas por el ministerio de salud como epidemias; (2) el asegurado falleció a consecuencia de la COVID-19, que en marzo del año 2020 la epidemia del COVID-19 fue declarada como pandemia por la OMS; (3)en ese contexto, la alerta epidemiológica activada en nuestro país motivó la aplicación de medidas de prevención a través del Decreto Supremo No 008-2020-SA, mediante el cual el Ministerio de Salud declaró la Emergencia Sanitaria en el territorio nacional; (4) en relación al seguro de desgravamen de crédito hipotecario también  presenta el certificado de seguro No </w:t>
      </w:r>
      <w:r w:rsidR="00F45DCA" w:rsidRPr="0037740B">
        <w:rPr>
          <w:rFonts w:ascii="Arial" w:hAnsi="Arial" w:cs="Arial"/>
          <w:lang w:val="es-PE"/>
        </w:rPr>
        <w:t>...................</w:t>
      </w:r>
      <w:r w:rsidRPr="004A374A">
        <w:rPr>
          <w:lang w:val="es-PE"/>
        </w:rPr>
        <w:t xml:space="preserve"> para el crédito hipotecario, pero precisa que respecto de esa póliza no ha efectuado ningún rechazo de cobertura puesto que solicitó mayor documentación para pronunciarse, de manera que la aseguradora está a la espera de la mayor documentación solicitada.</w:t>
      </w:r>
    </w:p>
    <w:p w14:paraId="5B8C9454" w14:textId="77777777" w:rsidR="004A374A" w:rsidRPr="004A374A" w:rsidRDefault="004A374A" w:rsidP="004A374A">
      <w:pPr>
        <w:pStyle w:val="Default"/>
        <w:rPr>
          <w:rFonts w:ascii="Times New Roman" w:hAnsi="Times New Roman" w:cs="Times New Roman"/>
        </w:rPr>
      </w:pPr>
    </w:p>
    <w:p w14:paraId="3B233029" w14:textId="52E02ED3" w:rsidR="004A374A" w:rsidRPr="004A374A" w:rsidRDefault="004A374A" w:rsidP="004A374A">
      <w:pPr>
        <w:pStyle w:val="Textoindependiente"/>
        <w:rPr>
          <w:bCs w:val="0"/>
          <w:color w:val="000000"/>
          <w:lang w:val="es-PE" w:eastAsia="es-PE"/>
        </w:rPr>
      </w:pPr>
      <w:r w:rsidRPr="004A374A">
        <w:rPr>
          <w:lang w:val="es-PE"/>
        </w:rPr>
        <w:t xml:space="preserve">Que, el reclamante absolvió el traslado del recurso interpuesto, indicando en síntesis lo siguiente: (1) observa que en </w:t>
      </w:r>
      <w:r w:rsidRPr="004A374A">
        <w:rPr>
          <w:bCs w:val="0"/>
          <w:color w:val="000000"/>
          <w:lang w:val="es-PE" w:eastAsia="es-PE"/>
        </w:rPr>
        <w:t xml:space="preserve">los certificados de seguro de ambos prestamos, tanto personal como hipotecario, con el mismo número de grupo de póliza </w:t>
      </w:r>
      <w:proofErr w:type="spellStart"/>
      <w:r w:rsidRPr="004A374A">
        <w:rPr>
          <w:bCs w:val="0"/>
          <w:color w:val="000000"/>
          <w:lang w:val="es-PE" w:eastAsia="es-PE"/>
        </w:rPr>
        <w:t>N°</w:t>
      </w:r>
      <w:proofErr w:type="spellEnd"/>
      <w:r w:rsidRPr="004A374A">
        <w:rPr>
          <w:bCs w:val="0"/>
          <w:color w:val="000000"/>
          <w:lang w:val="es-PE" w:eastAsia="es-PE"/>
        </w:rPr>
        <w:t xml:space="preserve"> </w:t>
      </w:r>
      <w:r w:rsidR="00F45DCA" w:rsidRPr="0037740B">
        <w:rPr>
          <w:rFonts w:ascii="Arial" w:hAnsi="Arial" w:cs="Arial"/>
          <w:lang w:val="es-PE"/>
        </w:rPr>
        <w:t>...................</w:t>
      </w:r>
      <w:r w:rsidRPr="004A374A">
        <w:rPr>
          <w:bCs w:val="0"/>
          <w:color w:val="000000"/>
          <w:lang w:val="es-PE" w:eastAsia="es-PE"/>
        </w:rPr>
        <w:t xml:space="preserve"> y </w:t>
      </w:r>
      <w:r w:rsidR="00F45DCA" w:rsidRPr="0037740B">
        <w:rPr>
          <w:rFonts w:ascii="Arial" w:hAnsi="Arial" w:cs="Arial"/>
          <w:lang w:val="es-PE"/>
        </w:rPr>
        <w:t>...................</w:t>
      </w:r>
      <w:r w:rsidRPr="004A374A">
        <w:rPr>
          <w:bCs w:val="0"/>
          <w:color w:val="000000"/>
          <w:lang w:val="es-PE" w:eastAsia="es-PE"/>
        </w:rPr>
        <w:t xml:space="preserve">, se detalla una variación en las exclusiones, donde se precisa lo mencionado por </w:t>
      </w:r>
      <w:r w:rsidR="00F45DCA" w:rsidRPr="0037740B">
        <w:rPr>
          <w:rFonts w:ascii="Arial" w:hAnsi="Arial" w:cs="Arial"/>
          <w:lang w:val="es-PE"/>
        </w:rPr>
        <w:t>...................</w:t>
      </w:r>
      <w:r w:rsidRPr="004A374A">
        <w:rPr>
          <w:bCs w:val="0"/>
          <w:color w:val="000000"/>
          <w:lang w:val="es-PE" w:eastAsia="es-PE"/>
        </w:rPr>
        <w:t>; (2) se debe revisar la información proporcionada para verificar que esta sea correcta; (3) sobre el seguro de crédito hipotecario, informa que la historia clínica foliada y fedateada se entregó una vez que se le comunicó por parte de la Caja Sullana el requerimiento de la aseguradora, esto es, fue presentada el día 12 de octubre de 2020, a las 15:56; (4) en la audiencia virtual llevada a cabo el día 29 de diciembre de 2020, se entregó a la aseguradora la documentación entregada a la entidad financiera, por lo que la aseguradora tenía acceso a la información requerida.</w:t>
      </w:r>
    </w:p>
    <w:p w14:paraId="7A393BA2" w14:textId="77777777" w:rsidR="004A374A" w:rsidRDefault="004A374A" w:rsidP="004A374A">
      <w:pPr>
        <w:pStyle w:val="Textoindependiente"/>
        <w:tabs>
          <w:tab w:val="left" w:pos="930"/>
        </w:tabs>
        <w:rPr>
          <w:lang w:val="es-PE"/>
        </w:rPr>
      </w:pPr>
    </w:p>
    <w:p w14:paraId="799DAD71" w14:textId="392276ED" w:rsidR="004A374A" w:rsidRPr="004A374A" w:rsidRDefault="004A374A" w:rsidP="004A374A">
      <w:pPr>
        <w:pStyle w:val="Textoindependiente"/>
        <w:tabs>
          <w:tab w:val="left" w:pos="930"/>
        </w:tabs>
        <w:rPr>
          <w:lang w:val="es-PE"/>
        </w:rPr>
      </w:pPr>
      <w:r w:rsidRPr="004A374A">
        <w:rPr>
          <w:lang w:val="es-PE"/>
        </w:rPr>
        <w:t>Que, atendiendo a lo expuesto, esta Defensoría resuelve finalmente lo siguiente:</w:t>
      </w:r>
    </w:p>
    <w:p w14:paraId="4FA0A356" w14:textId="77777777" w:rsidR="004A374A" w:rsidRDefault="004A374A" w:rsidP="004A374A">
      <w:pPr>
        <w:spacing w:line="240" w:lineRule="auto"/>
        <w:jc w:val="both"/>
        <w:rPr>
          <w:rFonts w:ascii="Times New Roman" w:hAnsi="Times New Roman" w:cs="Times New Roman"/>
          <w:b/>
          <w:sz w:val="24"/>
          <w:szCs w:val="24"/>
          <w:u w:val="single"/>
          <w:lang w:val="es-PE"/>
        </w:rPr>
      </w:pPr>
    </w:p>
    <w:p w14:paraId="5FD38D53" w14:textId="63F52BDD" w:rsidR="004A374A" w:rsidRPr="004A374A" w:rsidRDefault="004A374A" w:rsidP="004A374A">
      <w:pPr>
        <w:spacing w:line="240" w:lineRule="auto"/>
        <w:jc w:val="both"/>
        <w:rPr>
          <w:rFonts w:ascii="Times New Roman" w:hAnsi="Times New Roman" w:cs="Times New Roman"/>
          <w:sz w:val="24"/>
          <w:szCs w:val="24"/>
          <w:lang w:val="es-PE"/>
        </w:rPr>
      </w:pPr>
      <w:r w:rsidRPr="004A374A">
        <w:rPr>
          <w:rFonts w:ascii="Times New Roman" w:hAnsi="Times New Roman" w:cs="Times New Roman"/>
          <w:b/>
          <w:sz w:val="24"/>
          <w:szCs w:val="24"/>
          <w:u w:val="single"/>
          <w:lang w:val="es-PE"/>
        </w:rPr>
        <w:t>PRIMERO</w:t>
      </w:r>
      <w:r w:rsidRPr="004A374A">
        <w:rPr>
          <w:rFonts w:ascii="Times New Roman" w:hAnsi="Times New Roman" w:cs="Times New Roman"/>
          <w:b/>
          <w:sz w:val="24"/>
          <w:szCs w:val="24"/>
          <w:lang w:val="es-PE"/>
        </w:rPr>
        <w:t>:</w:t>
      </w:r>
      <w:r w:rsidRPr="004A374A">
        <w:rPr>
          <w:rFonts w:ascii="Times New Roman" w:hAnsi="Times New Roman" w:cs="Times New Roman"/>
          <w:sz w:val="24"/>
          <w:szCs w:val="24"/>
          <w:lang w:val="es-PE"/>
        </w:rPr>
        <w:t xml:space="preserve"> El artículo 10 (Procedimiento) del Reglamento de la DEFASEG </w:t>
      </w:r>
      <w:r w:rsidRPr="004A374A">
        <w:rPr>
          <w:rFonts w:ascii="Times New Roman" w:eastAsia="Arial Unicode MS" w:hAnsi="Times New Roman" w:cs="Times New Roman"/>
          <w:sz w:val="24"/>
          <w:szCs w:val="24"/>
          <w:lang w:val="es-PE"/>
        </w:rPr>
        <w:t>(http://www.defaseg.com.pe/reglamento)</w:t>
      </w:r>
      <w:r w:rsidRPr="004A374A">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14:paraId="578A0C7B" w14:textId="77777777" w:rsidR="004A374A" w:rsidRPr="004A374A" w:rsidRDefault="004A374A" w:rsidP="004A374A">
      <w:pPr>
        <w:spacing w:line="240" w:lineRule="auto"/>
        <w:jc w:val="both"/>
        <w:rPr>
          <w:rFonts w:ascii="Times New Roman" w:hAnsi="Times New Roman" w:cs="Times New Roman"/>
          <w:sz w:val="24"/>
          <w:szCs w:val="24"/>
          <w:lang w:val="es-PE"/>
        </w:rPr>
      </w:pPr>
      <w:r w:rsidRPr="004A374A">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14:paraId="37AC34FA" w14:textId="77777777" w:rsidR="004A374A" w:rsidRPr="004A374A" w:rsidRDefault="004A374A" w:rsidP="004A374A">
      <w:pPr>
        <w:spacing w:line="240" w:lineRule="auto"/>
        <w:jc w:val="both"/>
        <w:rPr>
          <w:rFonts w:ascii="Times New Roman" w:hAnsi="Times New Roman" w:cs="Times New Roman"/>
          <w:bCs/>
          <w:sz w:val="24"/>
          <w:szCs w:val="24"/>
          <w:lang w:val="es-PE"/>
        </w:rPr>
      </w:pPr>
      <w:r w:rsidRPr="004A374A">
        <w:rPr>
          <w:rFonts w:ascii="Times New Roman" w:hAnsi="Times New Roman" w:cs="Times New Roman"/>
          <w:b/>
          <w:bCs/>
          <w:sz w:val="24"/>
          <w:szCs w:val="24"/>
          <w:u w:val="single"/>
          <w:lang w:val="es-PE"/>
        </w:rPr>
        <w:lastRenderedPageBreak/>
        <w:t>SEGUNDO</w:t>
      </w:r>
      <w:r w:rsidRPr="004A374A">
        <w:rPr>
          <w:rFonts w:ascii="Times New Roman" w:hAnsi="Times New Roman" w:cs="Times New Roman"/>
          <w:b/>
          <w:bCs/>
          <w:sz w:val="24"/>
          <w:szCs w:val="24"/>
          <w:lang w:val="es-PE"/>
        </w:rPr>
        <w:t>:</w:t>
      </w:r>
      <w:r w:rsidRPr="004A374A">
        <w:rPr>
          <w:rFonts w:ascii="Times New Roman" w:hAnsi="Times New Roman" w:cs="Times New Roman"/>
          <w:bCs/>
          <w:sz w:val="24"/>
          <w:szCs w:val="24"/>
          <w:lang w:val="es-PE"/>
        </w:rPr>
        <w:t xml:space="preserve"> Que el recurso de impugnación presentado por la aseguradora está referido tanto al Seguro de Desgravamen correspondiente al Crédito Personal como al Crédito Hipotecario.</w:t>
      </w:r>
    </w:p>
    <w:p w14:paraId="1892ACD2" w14:textId="77777777" w:rsidR="004A374A" w:rsidRPr="004A374A" w:rsidRDefault="004A374A" w:rsidP="004A374A">
      <w:pPr>
        <w:spacing w:line="240" w:lineRule="auto"/>
        <w:jc w:val="both"/>
        <w:rPr>
          <w:rFonts w:ascii="Times New Roman" w:hAnsi="Times New Roman" w:cs="Times New Roman"/>
          <w:bCs/>
          <w:sz w:val="24"/>
          <w:szCs w:val="24"/>
          <w:lang w:val="es-PE"/>
        </w:rPr>
      </w:pPr>
      <w:r w:rsidRPr="004A374A">
        <w:rPr>
          <w:rFonts w:ascii="Times New Roman" w:hAnsi="Times New Roman" w:cs="Times New Roman"/>
          <w:bCs/>
          <w:sz w:val="24"/>
          <w:szCs w:val="24"/>
          <w:lang w:val="es-PE"/>
        </w:rPr>
        <w:t>Respecto del primer extremo se sustenta en nueva prueba instrumental para acreditar que sí cumplió con informar al asegurado de los alcances del seguro contratado, y puntualmente la exclusión invocada. En cuanto al segundo extremo, se sustenta en que no se ha pronunciado la aseguradora por cuanto solicitó la Historia Clínica y está pendiente de entrega.</w:t>
      </w:r>
    </w:p>
    <w:p w14:paraId="71553505" w14:textId="77777777" w:rsidR="004A374A" w:rsidRPr="004A374A" w:rsidRDefault="004A374A" w:rsidP="004A374A">
      <w:pPr>
        <w:spacing w:line="240" w:lineRule="auto"/>
        <w:jc w:val="both"/>
        <w:rPr>
          <w:rFonts w:ascii="Times New Roman" w:hAnsi="Times New Roman" w:cs="Times New Roman"/>
          <w:bCs/>
          <w:sz w:val="24"/>
          <w:szCs w:val="24"/>
          <w:lang w:val="es-PE"/>
        </w:rPr>
      </w:pPr>
      <w:proofErr w:type="gramStart"/>
      <w:r w:rsidRPr="004A374A">
        <w:rPr>
          <w:rFonts w:ascii="Times New Roman" w:hAnsi="Times New Roman" w:cs="Times New Roman"/>
          <w:bCs/>
          <w:sz w:val="24"/>
          <w:szCs w:val="24"/>
          <w:lang w:val="es-PE"/>
        </w:rPr>
        <w:t>De acuerdo a</w:t>
      </w:r>
      <w:proofErr w:type="gramEnd"/>
      <w:r w:rsidRPr="004A374A">
        <w:rPr>
          <w:rFonts w:ascii="Times New Roman" w:hAnsi="Times New Roman" w:cs="Times New Roman"/>
          <w:bCs/>
          <w:sz w:val="24"/>
          <w:szCs w:val="24"/>
          <w:lang w:val="es-PE"/>
        </w:rPr>
        <w:t xml:space="preserve"> la resolución impugnada, la reclamación fue amparada por cuanto la aseguradora no cumplió con acreditar que las Pólizas de Seguro de Desgravamen estipulan como exclusión de cobertura, los siniestros relacionados con enfermedades contagiosas que sean declaradas por el Ministerio de Salud como epidemias.</w:t>
      </w:r>
    </w:p>
    <w:p w14:paraId="0CEB7817" w14:textId="4D4DC1B3" w:rsidR="004A374A" w:rsidRDefault="004A374A" w:rsidP="004A374A">
      <w:pPr>
        <w:spacing w:line="240" w:lineRule="auto"/>
        <w:jc w:val="both"/>
        <w:rPr>
          <w:rFonts w:ascii="Times New Roman" w:hAnsi="Times New Roman" w:cs="Times New Roman"/>
          <w:bCs/>
          <w:sz w:val="24"/>
          <w:szCs w:val="24"/>
          <w:lang w:val="es-PE"/>
        </w:rPr>
      </w:pPr>
      <w:r w:rsidRPr="004A374A">
        <w:rPr>
          <w:rFonts w:ascii="Times New Roman" w:hAnsi="Times New Roman" w:cs="Times New Roman"/>
          <w:bCs/>
          <w:sz w:val="24"/>
          <w:szCs w:val="24"/>
          <w:lang w:val="es-PE"/>
        </w:rPr>
        <w:t>Con ocasión de la interposición del recurso de impugnación, la aseguradora ha probado la existencia de la exclusión invocada como fundamento del rechazo de cobertura, al presentar copia del Certificado de Seguro debidamente firmado por el asegurado, en el que consta la exclusión invocada:</w:t>
      </w:r>
    </w:p>
    <w:p w14:paraId="3B0CCF43" w14:textId="7E38E6C5" w:rsidR="004A374A" w:rsidRPr="004A374A" w:rsidRDefault="003D1F34" w:rsidP="004A374A">
      <w:pPr>
        <w:spacing w:line="240" w:lineRule="auto"/>
        <w:jc w:val="both"/>
        <w:rPr>
          <w:rFonts w:ascii="Times New Roman" w:hAnsi="Times New Roman" w:cs="Times New Roman"/>
          <w:bCs/>
          <w:sz w:val="24"/>
          <w:szCs w:val="24"/>
          <w:lang w:val="es-PE"/>
        </w:rPr>
      </w:pPr>
      <w:r w:rsidRPr="0037740B">
        <w:rPr>
          <w:rFonts w:ascii="Arial" w:hAnsi="Arial" w:cs="Arial"/>
          <w:lang w:val="es-PE"/>
        </w:rPr>
        <w:t>...................</w:t>
      </w:r>
    </w:p>
    <w:p w14:paraId="406AC327" w14:textId="1CDFADDD" w:rsidR="004A374A" w:rsidRPr="004A374A" w:rsidRDefault="003D1F34" w:rsidP="004A374A">
      <w:pPr>
        <w:spacing w:line="240" w:lineRule="auto"/>
        <w:jc w:val="both"/>
        <w:rPr>
          <w:rFonts w:ascii="Times New Roman" w:hAnsi="Times New Roman" w:cs="Times New Roman"/>
          <w:bCs/>
          <w:sz w:val="24"/>
          <w:szCs w:val="24"/>
          <w:lang w:val="es-PE"/>
        </w:rPr>
      </w:pPr>
      <w:r w:rsidRPr="0037740B">
        <w:rPr>
          <w:rFonts w:ascii="Arial" w:hAnsi="Arial" w:cs="Arial"/>
          <w:lang w:val="es-PE"/>
        </w:rPr>
        <w:t>...................</w:t>
      </w:r>
    </w:p>
    <w:p w14:paraId="5ACD7CDE" w14:textId="552D6A43" w:rsidR="004A374A" w:rsidRPr="004A374A" w:rsidRDefault="003D1F34" w:rsidP="004A374A">
      <w:pPr>
        <w:spacing w:line="240" w:lineRule="auto"/>
        <w:jc w:val="both"/>
        <w:rPr>
          <w:rFonts w:ascii="Times New Roman" w:hAnsi="Times New Roman" w:cs="Times New Roman"/>
          <w:bCs/>
          <w:sz w:val="24"/>
          <w:szCs w:val="24"/>
          <w:lang w:val="es-PE"/>
        </w:rPr>
      </w:pPr>
      <w:r w:rsidRPr="0037740B">
        <w:rPr>
          <w:rFonts w:ascii="Arial" w:hAnsi="Arial" w:cs="Arial"/>
          <w:lang w:val="es-PE"/>
        </w:rPr>
        <w:t>...................</w:t>
      </w:r>
    </w:p>
    <w:p w14:paraId="6C1F706B" w14:textId="77777777" w:rsidR="004A374A" w:rsidRPr="004A374A" w:rsidRDefault="004A374A" w:rsidP="004A374A">
      <w:pPr>
        <w:tabs>
          <w:tab w:val="left" w:pos="2160"/>
        </w:tabs>
        <w:spacing w:line="240" w:lineRule="auto"/>
        <w:jc w:val="both"/>
        <w:rPr>
          <w:rFonts w:ascii="Times New Roman" w:hAnsi="Times New Roman" w:cs="Times New Roman"/>
          <w:bCs/>
          <w:sz w:val="24"/>
          <w:szCs w:val="24"/>
          <w:lang w:val="es-PE"/>
        </w:rPr>
      </w:pPr>
      <w:r w:rsidRPr="004A374A">
        <w:rPr>
          <w:rFonts w:ascii="Times New Roman" w:hAnsi="Times New Roman" w:cs="Times New Roman"/>
          <w:bCs/>
          <w:sz w:val="24"/>
          <w:szCs w:val="24"/>
          <w:lang w:val="es-PE"/>
        </w:rPr>
        <w:t>Es evidente que el COVID-19 ha sido declarado pandemia, la cuestión radica en determinar si a su vez constituye una epidemia y por tanto un supuesto excluido de la cobertura de seguro. De acuerdo con el diccionario de la Real Academia la pandemia es definida como “</w:t>
      </w:r>
      <w:r w:rsidRPr="004A374A">
        <w:rPr>
          <w:rFonts w:ascii="Times New Roman" w:hAnsi="Times New Roman" w:cs="Times New Roman"/>
          <w:bCs/>
          <w:i/>
          <w:iCs/>
          <w:sz w:val="24"/>
          <w:szCs w:val="24"/>
          <w:lang w:val="es-PE"/>
        </w:rPr>
        <w:t>enfermedad epidémica”</w:t>
      </w:r>
      <w:r w:rsidRPr="004A374A">
        <w:rPr>
          <w:rFonts w:ascii="Times New Roman" w:hAnsi="Times New Roman" w:cs="Times New Roman"/>
          <w:bCs/>
          <w:sz w:val="24"/>
          <w:szCs w:val="24"/>
          <w:lang w:val="es-PE"/>
        </w:rPr>
        <w:t>.  Por lo tanto, en ambos casos estamos ante enfermedades epidémicas, siendo que la distinción entre uno y otro término depende si dicha enfermedad epidémica (de propagación simultánea, intensa e indiscriminada) se da dentro de un país, o se extiende a más de un país.</w:t>
      </w:r>
    </w:p>
    <w:p w14:paraId="69D03395" w14:textId="77777777" w:rsidR="004A374A" w:rsidRPr="004A374A" w:rsidRDefault="004A374A" w:rsidP="004A374A">
      <w:pPr>
        <w:tabs>
          <w:tab w:val="left" w:pos="2160"/>
        </w:tabs>
        <w:spacing w:line="240" w:lineRule="auto"/>
        <w:jc w:val="both"/>
        <w:rPr>
          <w:rFonts w:ascii="Times New Roman" w:hAnsi="Times New Roman" w:cs="Times New Roman"/>
          <w:bCs/>
          <w:sz w:val="24"/>
          <w:szCs w:val="24"/>
          <w:lang w:val="es-PE"/>
        </w:rPr>
      </w:pPr>
      <w:r w:rsidRPr="004A374A">
        <w:rPr>
          <w:rFonts w:ascii="Times New Roman" w:hAnsi="Times New Roman" w:cs="Times New Roman"/>
          <w:bCs/>
          <w:sz w:val="24"/>
          <w:szCs w:val="24"/>
          <w:lang w:val="es-PE"/>
        </w:rPr>
        <w:t xml:space="preserve">En el caso que nos ocupa del COVID-19, el brote epidémico (la epidemia) fue identificado originalmente en Wuhan, China, siendo reportado por la OMS en enero de 2020, posteriormente cuando la expansión de la enfermedad se extendió fuera de dicho país, fue </w:t>
      </w:r>
      <w:proofErr w:type="gramStart"/>
      <w:r w:rsidRPr="004A374A">
        <w:rPr>
          <w:rFonts w:ascii="Times New Roman" w:hAnsi="Times New Roman" w:cs="Times New Roman"/>
          <w:bCs/>
          <w:sz w:val="24"/>
          <w:szCs w:val="24"/>
          <w:lang w:val="es-PE"/>
        </w:rPr>
        <w:t>declarada como</w:t>
      </w:r>
      <w:proofErr w:type="gramEnd"/>
      <w:r w:rsidRPr="004A374A">
        <w:rPr>
          <w:rFonts w:ascii="Times New Roman" w:hAnsi="Times New Roman" w:cs="Times New Roman"/>
          <w:bCs/>
          <w:sz w:val="24"/>
          <w:szCs w:val="24"/>
          <w:lang w:val="es-PE"/>
        </w:rPr>
        <w:t xml:space="preserve"> pandemia por la OMS, siendo actualmente una pandemia Mundial (no solo abarca continentes, sino que debido a la globalización se extendió rápidamente por todo el mundo con las consecuencias por todos conocidas). Por lo tanto, el Ministerio de Salud al reconocer al COVID-19 como una pandemia, está reconociendo la existencia de una enfermedad epidémica, es decir de una epidemia, con la magnitud que el término pandemia lleva implícito. </w:t>
      </w:r>
    </w:p>
    <w:p w14:paraId="093BE372" w14:textId="77777777" w:rsidR="004A374A" w:rsidRPr="004A374A" w:rsidRDefault="004A374A" w:rsidP="004A374A">
      <w:pPr>
        <w:tabs>
          <w:tab w:val="left" w:pos="2160"/>
        </w:tabs>
        <w:spacing w:line="240" w:lineRule="auto"/>
        <w:jc w:val="both"/>
        <w:rPr>
          <w:rFonts w:ascii="Times New Roman" w:hAnsi="Times New Roman" w:cs="Times New Roman"/>
          <w:bCs/>
          <w:sz w:val="24"/>
          <w:szCs w:val="24"/>
          <w:lang w:val="es-PE"/>
        </w:rPr>
      </w:pPr>
      <w:r w:rsidRPr="004A374A">
        <w:rPr>
          <w:rFonts w:ascii="Times New Roman" w:hAnsi="Times New Roman" w:cs="Times New Roman"/>
          <w:bCs/>
          <w:sz w:val="24"/>
          <w:szCs w:val="24"/>
          <w:lang w:val="es-PE"/>
        </w:rPr>
        <w:t>En este orden de ideas, este Colegiado considera que sí se ha configurado el supuesto de exclusión previsto en la póliza de Desgravamen de Crédito Personal y por tanto el rechazo de cobertura en este extremo, basado en esta causal resulta legítimo.</w:t>
      </w:r>
    </w:p>
    <w:p w14:paraId="099D7CDF" w14:textId="75781202" w:rsidR="004A374A" w:rsidRDefault="004A374A" w:rsidP="004A374A">
      <w:pPr>
        <w:tabs>
          <w:tab w:val="left" w:pos="2160"/>
        </w:tabs>
        <w:spacing w:line="240" w:lineRule="auto"/>
        <w:jc w:val="both"/>
        <w:rPr>
          <w:rFonts w:ascii="Times New Roman" w:hAnsi="Times New Roman" w:cs="Times New Roman"/>
          <w:bCs/>
          <w:sz w:val="24"/>
          <w:szCs w:val="24"/>
          <w:lang w:val="es-PE"/>
        </w:rPr>
      </w:pPr>
      <w:r w:rsidRPr="004A374A">
        <w:rPr>
          <w:rFonts w:ascii="Times New Roman" w:hAnsi="Times New Roman" w:cs="Times New Roman"/>
          <w:bCs/>
          <w:sz w:val="24"/>
          <w:szCs w:val="24"/>
          <w:lang w:val="es-PE"/>
        </w:rPr>
        <w:t xml:space="preserve">En cuanto al Seguro de Desgravamen de Crédito Hipotecario, la aseguradora no ha emitido un pronunciamiento respecto de la solicitud de cobertura, ya que mediante comunicación de octubre del 2020 solicitó la presentación de la Historia Clínica del asegurado: </w:t>
      </w:r>
    </w:p>
    <w:p w14:paraId="79CC2B4F" w14:textId="2FD8E7F4" w:rsidR="004A374A" w:rsidRPr="004A374A" w:rsidRDefault="004A374A" w:rsidP="004A374A">
      <w:pPr>
        <w:spacing w:line="240" w:lineRule="auto"/>
        <w:jc w:val="both"/>
        <w:rPr>
          <w:rFonts w:ascii="Times New Roman" w:hAnsi="Times New Roman" w:cs="Times New Roman"/>
          <w:bCs/>
          <w:sz w:val="24"/>
          <w:szCs w:val="24"/>
          <w:lang w:val="es-PE"/>
        </w:rPr>
      </w:pPr>
    </w:p>
    <w:p w14:paraId="28A66DA9" w14:textId="5D680FB6" w:rsidR="004A374A" w:rsidRDefault="002917A1" w:rsidP="004A374A">
      <w:pPr>
        <w:spacing w:line="240" w:lineRule="auto"/>
        <w:jc w:val="both"/>
        <w:rPr>
          <w:rFonts w:ascii="Times New Roman" w:hAnsi="Times New Roman" w:cs="Times New Roman"/>
          <w:bCs/>
          <w:sz w:val="24"/>
          <w:szCs w:val="24"/>
          <w:lang w:val="es-PE"/>
        </w:rPr>
      </w:pPr>
      <w:r w:rsidRPr="0037740B">
        <w:rPr>
          <w:rFonts w:ascii="Arial" w:hAnsi="Arial" w:cs="Arial"/>
          <w:lang w:val="es-PE"/>
        </w:rPr>
        <w:t>...................</w:t>
      </w:r>
    </w:p>
    <w:p w14:paraId="52FCE161" w14:textId="77777777" w:rsidR="004A374A" w:rsidRPr="004A374A" w:rsidRDefault="004A374A" w:rsidP="004A374A">
      <w:pPr>
        <w:spacing w:line="240" w:lineRule="auto"/>
        <w:jc w:val="both"/>
        <w:rPr>
          <w:rFonts w:ascii="Times New Roman" w:hAnsi="Times New Roman" w:cs="Times New Roman"/>
          <w:bCs/>
          <w:sz w:val="24"/>
          <w:szCs w:val="24"/>
          <w:lang w:val="es-PE"/>
        </w:rPr>
      </w:pPr>
    </w:p>
    <w:p w14:paraId="326AF4B3" w14:textId="20341330" w:rsidR="004A374A" w:rsidRPr="004A374A" w:rsidRDefault="004A374A" w:rsidP="004A374A">
      <w:pPr>
        <w:spacing w:line="240" w:lineRule="auto"/>
        <w:jc w:val="both"/>
        <w:rPr>
          <w:rFonts w:ascii="Times New Roman" w:hAnsi="Times New Roman" w:cs="Times New Roman"/>
          <w:bCs/>
          <w:sz w:val="24"/>
          <w:szCs w:val="24"/>
          <w:lang w:val="es-PE"/>
        </w:rPr>
      </w:pPr>
      <w:r w:rsidRPr="004A374A">
        <w:rPr>
          <w:rFonts w:ascii="Times New Roman" w:hAnsi="Times New Roman" w:cs="Times New Roman"/>
          <w:bCs/>
          <w:sz w:val="24"/>
          <w:szCs w:val="24"/>
          <w:lang w:val="es-PE"/>
        </w:rPr>
        <w:lastRenderedPageBreak/>
        <w:t>El reclamante sostiene que la Historia Clínica solicitada por la asegurada fue presentada a la Caja Sullana el 12 de octubre del 2020, a este efecto presenta una hoja, poco legible, en la que figura un sello de esa entidad financiera:</w:t>
      </w:r>
    </w:p>
    <w:p w14:paraId="4C3A46E7" w14:textId="262B923D" w:rsidR="004A374A" w:rsidRDefault="002917A1" w:rsidP="004A374A">
      <w:pPr>
        <w:spacing w:line="240" w:lineRule="auto"/>
        <w:jc w:val="both"/>
        <w:rPr>
          <w:rFonts w:ascii="Times New Roman" w:hAnsi="Times New Roman" w:cs="Times New Roman"/>
          <w:bCs/>
          <w:sz w:val="24"/>
          <w:szCs w:val="24"/>
          <w:lang w:val="es-PE"/>
        </w:rPr>
      </w:pPr>
      <w:r w:rsidRPr="0037740B">
        <w:rPr>
          <w:rFonts w:ascii="Arial" w:hAnsi="Arial" w:cs="Arial"/>
          <w:lang w:val="es-PE"/>
        </w:rPr>
        <w:t>...................</w:t>
      </w:r>
    </w:p>
    <w:p w14:paraId="2D28F876" w14:textId="77777777" w:rsidR="004A374A" w:rsidRPr="004A374A" w:rsidRDefault="004A374A" w:rsidP="004A374A">
      <w:pPr>
        <w:spacing w:line="240" w:lineRule="auto"/>
        <w:jc w:val="both"/>
        <w:rPr>
          <w:rFonts w:ascii="Times New Roman" w:hAnsi="Times New Roman" w:cs="Times New Roman"/>
          <w:bCs/>
          <w:sz w:val="24"/>
          <w:szCs w:val="24"/>
          <w:lang w:val="es-PE"/>
        </w:rPr>
      </w:pPr>
    </w:p>
    <w:p w14:paraId="3AD294F8" w14:textId="77777777" w:rsidR="004A374A" w:rsidRPr="004A374A" w:rsidRDefault="004A374A" w:rsidP="004A374A">
      <w:pPr>
        <w:spacing w:line="240" w:lineRule="auto"/>
        <w:jc w:val="both"/>
        <w:rPr>
          <w:rFonts w:ascii="Times New Roman" w:hAnsi="Times New Roman" w:cs="Times New Roman"/>
          <w:bCs/>
          <w:sz w:val="24"/>
          <w:szCs w:val="24"/>
          <w:lang w:val="es-PE"/>
        </w:rPr>
      </w:pPr>
      <w:r w:rsidRPr="004A374A">
        <w:rPr>
          <w:rFonts w:ascii="Times New Roman" w:hAnsi="Times New Roman" w:cs="Times New Roman"/>
          <w:bCs/>
          <w:sz w:val="24"/>
          <w:szCs w:val="24"/>
          <w:lang w:val="es-PE"/>
        </w:rPr>
        <w:t xml:space="preserve">Conforme al artículo 16 del Reglamento de Comercialización de Productos de Seguros - Resolución SBS </w:t>
      </w:r>
      <w:proofErr w:type="spellStart"/>
      <w:r w:rsidRPr="004A374A">
        <w:rPr>
          <w:rFonts w:ascii="Times New Roman" w:hAnsi="Times New Roman" w:cs="Times New Roman"/>
          <w:bCs/>
          <w:sz w:val="24"/>
          <w:szCs w:val="24"/>
          <w:lang w:val="es-PE"/>
        </w:rPr>
        <w:t>N°</w:t>
      </w:r>
      <w:proofErr w:type="spellEnd"/>
      <w:r w:rsidRPr="004A374A">
        <w:rPr>
          <w:rFonts w:ascii="Times New Roman" w:hAnsi="Times New Roman" w:cs="Times New Roman"/>
          <w:bCs/>
          <w:sz w:val="24"/>
          <w:szCs w:val="24"/>
          <w:lang w:val="es-PE"/>
        </w:rPr>
        <w:t xml:space="preserve"> 1121-2017- las comunicaciones cursadas al comercializador tiene los mismos efectos que si hubieran sido presentadas a la empresa aseguradora.</w:t>
      </w:r>
    </w:p>
    <w:p w14:paraId="7A7F17F8" w14:textId="77777777" w:rsidR="004A374A" w:rsidRPr="004A374A" w:rsidRDefault="004A374A" w:rsidP="004A374A">
      <w:pPr>
        <w:spacing w:line="240" w:lineRule="auto"/>
        <w:jc w:val="both"/>
        <w:rPr>
          <w:rFonts w:ascii="Times New Roman" w:hAnsi="Times New Roman" w:cs="Times New Roman"/>
          <w:bCs/>
          <w:sz w:val="24"/>
          <w:szCs w:val="24"/>
          <w:lang w:val="es-PE"/>
        </w:rPr>
      </w:pPr>
      <w:r w:rsidRPr="004A374A">
        <w:rPr>
          <w:rFonts w:ascii="Times New Roman" w:hAnsi="Times New Roman" w:cs="Times New Roman"/>
          <w:bCs/>
          <w:sz w:val="24"/>
          <w:szCs w:val="24"/>
          <w:lang w:val="es-PE"/>
        </w:rPr>
        <w:t>Al respecto, esta Defensoría observa que, en la hoja adjuntada por el reclamante no se puede corroborar que se haya cumplido con presentar la Historia Clínica completa. En efecto, no se acompaña un cargo en el que se identifique el número de folios que comprende dicha historia y que se habría presentado a la CMAC.</w:t>
      </w:r>
    </w:p>
    <w:p w14:paraId="17887AD9" w14:textId="77777777" w:rsidR="004A374A" w:rsidRPr="004A374A" w:rsidRDefault="004A374A" w:rsidP="004A374A">
      <w:pPr>
        <w:spacing w:line="240" w:lineRule="auto"/>
        <w:jc w:val="both"/>
        <w:rPr>
          <w:rFonts w:ascii="Times New Roman" w:hAnsi="Times New Roman" w:cs="Times New Roman"/>
          <w:sz w:val="24"/>
          <w:szCs w:val="24"/>
          <w:lang w:val="es-PE" w:eastAsia="es-ES"/>
        </w:rPr>
      </w:pPr>
      <w:r w:rsidRPr="004A374A">
        <w:rPr>
          <w:rFonts w:ascii="Times New Roman" w:hAnsi="Times New Roman" w:cs="Times New Roman"/>
          <w:sz w:val="24"/>
          <w:szCs w:val="24"/>
          <w:lang w:val="es-PE"/>
        </w:rPr>
        <w:t>En esa medida, en este caso no puede verificarse que se cumplió con remitir la documentación complementaria para que la aseguradora se pronuncie, de manera que no existe rechazo de cobertura, estando suspendido el pronunciamiento sobre la solicitud de cobertura del Seguro de Desgravamen de Crédito Hipotecario</w:t>
      </w:r>
      <w:r w:rsidRPr="004A374A">
        <w:rPr>
          <w:rFonts w:ascii="Times New Roman" w:hAnsi="Times New Roman" w:cs="Times New Roman"/>
          <w:sz w:val="24"/>
          <w:szCs w:val="24"/>
          <w:lang w:val="es-PE" w:eastAsia="es-ES"/>
        </w:rPr>
        <w:t>.</w:t>
      </w:r>
    </w:p>
    <w:p w14:paraId="737745B6" w14:textId="77777777" w:rsidR="004A374A" w:rsidRPr="004A374A" w:rsidRDefault="004A374A" w:rsidP="004A374A">
      <w:pPr>
        <w:spacing w:line="240" w:lineRule="auto"/>
        <w:jc w:val="both"/>
        <w:rPr>
          <w:rFonts w:ascii="Times New Roman" w:hAnsi="Times New Roman" w:cs="Times New Roman"/>
          <w:sz w:val="24"/>
          <w:szCs w:val="24"/>
          <w:lang w:val="es-PE"/>
        </w:rPr>
      </w:pPr>
      <w:r w:rsidRPr="004A374A">
        <w:rPr>
          <w:rFonts w:ascii="Times New Roman" w:hAnsi="Times New Roman" w:cs="Times New Roman"/>
          <w:b/>
          <w:sz w:val="24"/>
          <w:szCs w:val="24"/>
          <w:u w:val="single"/>
          <w:lang w:val="es-PE"/>
        </w:rPr>
        <w:t>TERCERO</w:t>
      </w:r>
      <w:r w:rsidRPr="004A374A">
        <w:rPr>
          <w:rFonts w:ascii="Times New Roman" w:hAnsi="Times New Roman" w:cs="Times New Roman"/>
          <w:b/>
          <w:sz w:val="24"/>
          <w:szCs w:val="24"/>
          <w:lang w:val="es-PE"/>
        </w:rPr>
        <w:t>:</w:t>
      </w:r>
      <w:r w:rsidRPr="004A374A">
        <w:rPr>
          <w:rFonts w:ascii="Times New Roman" w:hAnsi="Times New Roman" w:cs="Times New Roman"/>
          <w:sz w:val="24"/>
          <w:szCs w:val="24"/>
          <w:lang w:val="es-PE"/>
        </w:rPr>
        <w:t xml:space="preserve"> En atención a las consideraciones precedentes, este Colegiado aprecia finalmente que se ha evidenciado la existencia de nuevas pruebas, por lo que existe mérito suficiente y razón objetiva para revocar la resolución recurrida.</w:t>
      </w:r>
    </w:p>
    <w:p w14:paraId="2566EE85" w14:textId="77777777" w:rsidR="004A374A" w:rsidRPr="004A374A" w:rsidRDefault="004A374A" w:rsidP="004A374A">
      <w:pPr>
        <w:spacing w:line="240" w:lineRule="auto"/>
        <w:jc w:val="both"/>
        <w:rPr>
          <w:rFonts w:ascii="Times New Roman" w:hAnsi="Times New Roman" w:cs="Times New Roman"/>
          <w:b/>
          <w:sz w:val="24"/>
          <w:szCs w:val="24"/>
          <w:lang w:val="es-PE"/>
        </w:rPr>
      </w:pPr>
      <w:r w:rsidRPr="004A374A">
        <w:rPr>
          <w:rFonts w:ascii="Times New Roman" w:hAnsi="Times New Roman" w:cs="Times New Roman"/>
          <w:b/>
          <w:sz w:val="24"/>
          <w:szCs w:val="24"/>
          <w:lang w:val="es-PE"/>
        </w:rPr>
        <w:t>ATENDIENDO A LO EXPRESADO, CONFORME A SU REGLAMENTO, ESTE COLEGIADO RESUELVE:</w:t>
      </w:r>
    </w:p>
    <w:p w14:paraId="3E60D6AA" w14:textId="45AD2ADE" w:rsidR="004A374A" w:rsidRPr="004A374A" w:rsidRDefault="004A374A" w:rsidP="004A374A">
      <w:pPr>
        <w:pStyle w:val="Default"/>
        <w:jc w:val="both"/>
        <w:rPr>
          <w:rFonts w:ascii="Times New Roman" w:hAnsi="Times New Roman" w:cs="Times New Roman"/>
        </w:rPr>
      </w:pPr>
      <w:r w:rsidRPr="004A374A">
        <w:rPr>
          <w:rFonts w:ascii="Times New Roman" w:hAnsi="Times New Roman" w:cs="Times New Roman"/>
          <w:b/>
        </w:rPr>
        <w:t xml:space="preserve">DECLARAR FUNDADO </w:t>
      </w:r>
      <w:r w:rsidRPr="004A374A">
        <w:rPr>
          <w:rFonts w:ascii="Times New Roman" w:hAnsi="Times New Roman" w:cs="Times New Roman"/>
        </w:rPr>
        <w:t xml:space="preserve">el recurso de impugnación interpuesto por </w:t>
      </w:r>
      <w:r w:rsidR="00A4517D" w:rsidRPr="0037740B">
        <w:t>...................</w:t>
      </w:r>
      <w:r w:rsidR="00A4517D">
        <w:t xml:space="preserve"> </w:t>
      </w:r>
      <w:r w:rsidRPr="004A374A">
        <w:rPr>
          <w:rFonts w:ascii="Times New Roman" w:hAnsi="Times New Roman" w:cs="Times New Roman"/>
        </w:rPr>
        <w:t xml:space="preserve">y, por consiguiente, </w:t>
      </w:r>
      <w:r w:rsidRPr="004A374A">
        <w:rPr>
          <w:rFonts w:ascii="Times New Roman" w:hAnsi="Times New Roman" w:cs="Times New Roman"/>
          <w:b/>
        </w:rPr>
        <w:t xml:space="preserve">REVOCAR </w:t>
      </w:r>
      <w:r w:rsidRPr="004A374A">
        <w:rPr>
          <w:rFonts w:ascii="Times New Roman" w:hAnsi="Times New Roman" w:cs="Times New Roman"/>
        </w:rPr>
        <w:t xml:space="preserve">la Resolución </w:t>
      </w:r>
      <w:proofErr w:type="spellStart"/>
      <w:r w:rsidRPr="004A374A">
        <w:rPr>
          <w:rFonts w:ascii="Times New Roman" w:hAnsi="Times New Roman" w:cs="Times New Roman"/>
        </w:rPr>
        <w:t>N°</w:t>
      </w:r>
      <w:proofErr w:type="spellEnd"/>
      <w:r w:rsidRPr="004A374A">
        <w:rPr>
          <w:rFonts w:ascii="Times New Roman" w:hAnsi="Times New Roman" w:cs="Times New Roman"/>
        </w:rPr>
        <w:t xml:space="preserve"> 013/21; en consecuencia, declarar </w:t>
      </w:r>
      <w:r w:rsidRPr="004A374A">
        <w:rPr>
          <w:rFonts w:ascii="Times New Roman" w:hAnsi="Times New Roman" w:cs="Times New Roman"/>
          <w:b/>
        </w:rPr>
        <w:t>INFUNDADA</w:t>
      </w:r>
      <w:r w:rsidRPr="004A374A">
        <w:rPr>
          <w:rFonts w:ascii="Times New Roman" w:hAnsi="Times New Roman" w:cs="Times New Roman"/>
        </w:rPr>
        <w:t xml:space="preserve"> la reclamación interpuesta por </w:t>
      </w:r>
      <w:r w:rsidR="002917A1" w:rsidRPr="0037740B">
        <w:t>...................</w:t>
      </w:r>
      <w:r w:rsidR="002917A1">
        <w:t xml:space="preserve"> </w:t>
      </w:r>
      <w:r w:rsidRPr="004A374A">
        <w:rPr>
          <w:rFonts w:ascii="Times New Roman" w:hAnsi="Times New Roman" w:cs="Times New Roman"/>
        </w:rPr>
        <w:t xml:space="preserve">respecto a los </w:t>
      </w:r>
      <w:r w:rsidRPr="004A374A">
        <w:rPr>
          <w:rFonts w:ascii="Times New Roman" w:hAnsi="Times New Roman" w:cs="Times New Roman"/>
          <w:b/>
          <w:bCs/>
        </w:rPr>
        <w:t xml:space="preserve">SEGUROS DE DESGRAVAMEN - PÓLIZA No </w:t>
      </w:r>
      <w:r w:rsidR="002917A1" w:rsidRPr="0037740B">
        <w:t>...................</w:t>
      </w:r>
      <w:r w:rsidRPr="004A374A">
        <w:rPr>
          <w:rFonts w:ascii="Times New Roman" w:hAnsi="Times New Roman" w:cs="Times New Roman"/>
          <w:b/>
          <w:bCs/>
        </w:rPr>
        <w:t xml:space="preserve"> y No </w:t>
      </w:r>
      <w:r w:rsidR="002917A1" w:rsidRPr="0037740B">
        <w:t>...................</w:t>
      </w:r>
      <w:r w:rsidRPr="004A374A">
        <w:rPr>
          <w:rFonts w:ascii="Times New Roman" w:hAnsi="Times New Roman" w:cs="Times New Roman"/>
        </w:rPr>
        <w:t xml:space="preserve">, como consecuencia del fallecimiento de su padre </w:t>
      </w:r>
      <w:r w:rsidR="002917A1" w:rsidRPr="0037740B">
        <w:t>...................</w:t>
      </w:r>
      <w:r w:rsidRPr="004A374A">
        <w:rPr>
          <w:rFonts w:ascii="Times New Roman" w:hAnsi="Times New Roman" w:cs="Times New Roman"/>
        </w:rPr>
        <w:t>, y quedando a salvo el derecho del reclamante de recurrir ante las instancias que considere pertinentes.</w:t>
      </w:r>
    </w:p>
    <w:p w14:paraId="486C3F46" w14:textId="0F5DB2BF" w:rsidR="00C671F5" w:rsidRPr="005A4C4E" w:rsidRDefault="0091528B" w:rsidP="004A374A">
      <w:pPr>
        <w:suppressAutoHyphens/>
        <w:spacing w:after="0" w:line="240" w:lineRule="auto"/>
        <w:jc w:val="right"/>
        <w:outlineLvl w:val="0"/>
        <w:rPr>
          <w:rFonts w:ascii="Times New Roman" w:eastAsia="Arial Unicode MS" w:hAnsi="Times New Roman" w:cs="Times New Roman"/>
          <w:sz w:val="24"/>
          <w:szCs w:val="24"/>
          <w:lang w:val="es-PE" w:eastAsia="ar-SA"/>
        </w:rPr>
      </w:pPr>
      <w:r w:rsidRPr="005A4C4E">
        <w:rPr>
          <w:rFonts w:ascii="Times New Roman" w:eastAsia="Arial Unicode MS" w:hAnsi="Times New Roman" w:cs="Times New Roman"/>
          <w:sz w:val="24"/>
          <w:szCs w:val="24"/>
          <w:lang w:val="es-PE" w:eastAsia="ar-SA"/>
        </w:rPr>
        <w:t xml:space="preserve">Lima, </w:t>
      </w:r>
      <w:r w:rsidR="004A374A">
        <w:rPr>
          <w:rFonts w:ascii="Times New Roman" w:eastAsia="Arial Unicode MS" w:hAnsi="Times New Roman" w:cs="Times New Roman"/>
          <w:sz w:val="24"/>
          <w:szCs w:val="24"/>
          <w:lang w:val="es-PE" w:eastAsia="ar-SA"/>
        </w:rPr>
        <w:t>20</w:t>
      </w:r>
      <w:r w:rsidR="00707C99" w:rsidRPr="005A4C4E">
        <w:rPr>
          <w:rFonts w:ascii="Times New Roman" w:eastAsia="Arial Unicode MS" w:hAnsi="Times New Roman" w:cs="Times New Roman"/>
          <w:sz w:val="24"/>
          <w:szCs w:val="24"/>
          <w:lang w:val="es-PE" w:eastAsia="ar-SA"/>
        </w:rPr>
        <w:t xml:space="preserve"> de</w:t>
      </w:r>
      <w:r w:rsidR="00864B0B">
        <w:rPr>
          <w:rFonts w:ascii="Times New Roman" w:eastAsia="Arial Unicode MS" w:hAnsi="Times New Roman" w:cs="Times New Roman"/>
          <w:sz w:val="24"/>
          <w:szCs w:val="24"/>
          <w:lang w:val="es-PE" w:eastAsia="ar-SA"/>
        </w:rPr>
        <w:t xml:space="preserve"> abril</w:t>
      </w:r>
      <w:r w:rsidR="00F06498" w:rsidRPr="005A4C4E">
        <w:rPr>
          <w:rFonts w:ascii="Times New Roman" w:eastAsia="Arial Unicode MS" w:hAnsi="Times New Roman" w:cs="Times New Roman"/>
          <w:sz w:val="24"/>
          <w:szCs w:val="24"/>
          <w:lang w:val="es-PE" w:eastAsia="ar-SA"/>
        </w:rPr>
        <w:t xml:space="preserve"> de 202</w:t>
      </w:r>
      <w:r w:rsidR="00231C58" w:rsidRPr="005A4C4E">
        <w:rPr>
          <w:rFonts w:ascii="Times New Roman" w:eastAsia="Arial Unicode MS" w:hAnsi="Times New Roman" w:cs="Times New Roman"/>
          <w:sz w:val="24"/>
          <w:szCs w:val="24"/>
          <w:lang w:val="es-PE" w:eastAsia="ar-SA"/>
        </w:rPr>
        <w:t>1</w:t>
      </w:r>
      <w:r w:rsidR="00707C99" w:rsidRPr="005A4C4E">
        <w:rPr>
          <w:rFonts w:ascii="Times New Roman" w:eastAsia="Times New Roman" w:hAnsi="Times New Roman" w:cs="Times New Roman"/>
          <w:sz w:val="24"/>
          <w:szCs w:val="24"/>
          <w:lang w:val="es-PE" w:eastAsia="ar-SA"/>
        </w:rPr>
        <w:t xml:space="preserve"> </w:t>
      </w:r>
    </w:p>
    <w:p w14:paraId="2B9BAAC8" w14:textId="77777777" w:rsidR="00231C58" w:rsidRPr="005A4C4E" w:rsidRDefault="00231C58" w:rsidP="004A374A">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5A4C4E" w:rsidRDefault="00C671F5" w:rsidP="004A374A">
      <w:pPr>
        <w:spacing w:after="0" w:line="240" w:lineRule="auto"/>
        <w:jc w:val="both"/>
        <w:rPr>
          <w:rFonts w:ascii="Times New Roman" w:hAnsi="Times New Roman" w:cs="Times New Roman"/>
          <w:b/>
          <w:bCs/>
          <w:i/>
          <w:iCs/>
          <w:sz w:val="24"/>
          <w:szCs w:val="24"/>
          <w:lang w:val="es-PE"/>
        </w:rPr>
      </w:pPr>
      <w:r w:rsidRPr="005A4C4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5A4C4E" w:rsidRDefault="00C671F5" w:rsidP="004A374A">
      <w:pPr>
        <w:spacing w:after="0" w:line="240" w:lineRule="auto"/>
        <w:jc w:val="both"/>
        <w:rPr>
          <w:rFonts w:ascii="Times New Roman" w:hAnsi="Times New Roman" w:cs="Times New Roman"/>
          <w:b/>
          <w:bCs/>
          <w:i/>
          <w:iCs/>
          <w:sz w:val="24"/>
          <w:szCs w:val="24"/>
          <w:lang w:val="es-PE"/>
        </w:rPr>
      </w:pPr>
    </w:p>
    <w:p w14:paraId="548B3E5B" w14:textId="47A8BA49" w:rsidR="00C671F5" w:rsidRPr="005A4C4E" w:rsidRDefault="00231C58" w:rsidP="004A374A">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María Eugenia Valdez Fernández Baca </w:t>
      </w:r>
      <w:r w:rsidR="00C671F5" w:rsidRPr="005A4C4E">
        <w:rPr>
          <w:rFonts w:ascii="Times New Roman" w:hAnsi="Times New Roman" w:cs="Times New Roman"/>
          <w:b/>
          <w:bCs/>
          <w:sz w:val="24"/>
          <w:szCs w:val="24"/>
          <w:lang w:val="es-PE"/>
        </w:rPr>
        <w:t xml:space="preserve">– </w:t>
      </w:r>
      <w:proofErr w:type="gramStart"/>
      <w:r w:rsidR="00C671F5" w:rsidRPr="005A4C4E">
        <w:rPr>
          <w:rFonts w:ascii="Times New Roman" w:hAnsi="Times New Roman" w:cs="Times New Roman"/>
          <w:b/>
          <w:bCs/>
          <w:sz w:val="24"/>
          <w:szCs w:val="24"/>
          <w:lang w:val="es-PE"/>
        </w:rPr>
        <w:t>Presidente</w:t>
      </w:r>
      <w:proofErr w:type="gramEnd"/>
    </w:p>
    <w:p w14:paraId="55E7D9D7" w14:textId="724A8615" w:rsidR="00C671F5" w:rsidRPr="005A4C4E" w:rsidRDefault="00C671F5" w:rsidP="004A374A">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Marco Antonio Ortega Piana – Vocal</w:t>
      </w:r>
    </w:p>
    <w:p w14:paraId="3006BA35" w14:textId="7871895F" w:rsidR="00292018" w:rsidRPr="005A4C4E" w:rsidRDefault="00292018" w:rsidP="004A374A">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Rolando Eyzaguirre </w:t>
      </w:r>
      <w:proofErr w:type="spellStart"/>
      <w:r w:rsidRPr="005A4C4E">
        <w:rPr>
          <w:rFonts w:ascii="Times New Roman" w:hAnsi="Times New Roman" w:cs="Times New Roman"/>
          <w:b/>
          <w:bCs/>
          <w:sz w:val="24"/>
          <w:szCs w:val="24"/>
          <w:lang w:val="es-PE"/>
        </w:rPr>
        <w:t>Maccan</w:t>
      </w:r>
      <w:proofErr w:type="spellEnd"/>
      <w:r w:rsidRPr="005A4C4E">
        <w:rPr>
          <w:rFonts w:ascii="Times New Roman" w:hAnsi="Times New Roman" w:cs="Times New Roman"/>
          <w:b/>
          <w:bCs/>
          <w:sz w:val="24"/>
          <w:szCs w:val="24"/>
          <w:lang w:val="es-PE"/>
        </w:rPr>
        <w:t xml:space="preserve"> – Vocal</w:t>
      </w:r>
    </w:p>
    <w:p w14:paraId="3A9CFE9F" w14:textId="4DFF4426" w:rsidR="00C671F5" w:rsidRPr="005A4C4E" w:rsidRDefault="00C671F5" w:rsidP="004A374A">
      <w:pPr>
        <w:spacing w:after="0" w:line="360" w:lineRule="auto"/>
        <w:jc w:val="center"/>
        <w:rPr>
          <w:rFonts w:ascii="Times New Roman" w:hAnsi="Times New Roman" w:cs="Times New Roman"/>
          <w:sz w:val="24"/>
          <w:szCs w:val="24"/>
          <w:lang w:val="es-PE"/>
        </w:rPr>
      </w:pPr>
      <w:r w:rsidRPr="005A4C4E">
        <w:rPr>
          <w:rFonts w:ascii="Times New Roman" w:hAnsi="Times New Roman" w:cs="Times New Roman"/>
          <w:b/>
          <w:bCs/>
          <w:sz w:val="24"/>
          <w:szCs w:val="24"/>
          <w:lang w:val="es-PE"/>
        </w:rPr>
        <w:t xml:space="preserve">Gonzalo Abad del Busto </w:t>
      </w:r>
      <w:r w:rsidR="00231C58" w:rsidRPr="005A4C4E">
        <w:rPr>
          <w:rFonts w:ascii="Times New Roman" w:hAnsi="Times New Roman" w:cs="Times New Roman"/>
          <w:b/>
          <w:bCs/>
          <w:sz w:val="24"/>
          <w:szCs w:val="24"/>
          <w:lang w:val="es-PE"/>
        </w:rPr>
        <w:t xml:space="preserve">– </w:t>
      </w:r>
      <w:r w:rsidRPr="005A4C4E">
        <w:rPr>
          <w:rFonts w:ascii="Times New Roman" w:hAnsi="Times New Roman" w:cs="Times New Roman"/>
          <w:b/>
          <w:bCs/>
          <w:sz w:val="24"/>
          <w:szCs w:val="24"/>
          <w:lang w:val="es-PE"/>
        </w:rPr>
        <w:t>Vocal</w:t>
      </w:r>
    </w:p>
    <w:p w14:paraId="33E0FAB8" w14:textId="77777777" w:rsidR="00C671F5" w:rsidRPr="005A4C4E" w:rsidRDefault="00C671F5" w:rsidP="004A374A">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5A4C4E" w:rsidRDefault="00C671F5" w:rsidP="004A374A">
      <w:pPr>
        <w:spacing w:line="240" w:lineRule="auto"/>
        <w:rPr>
          <w:rFonts w:ascii="Times New Roman" w:eastAsia="Arial Unicode MS" w:hAnsi="Times New Roman" w:cs="Times New Roman"/>
          <w:sz w:val="24"/>
          <w:szCs w:val="24"/>
          <w:lang w:val="es-PE" w:eastAsia="ar-SA"/>
        </w:rPr>
      </w:pPr>
    </w:p>
    <w:sectPr w:rsidR="00C671F5" w:rsidRPr="005A4C4E"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B78DD" w14:textId="77777777" w:rsidR="00D56F67" w:rsidRDefault="00D56F67" w:rsidP="00784355">
      <w:pPr>
        <w:spacing w:after="0" w:line="240" w:lineRule="auto"/>
      </w:pPr>
      <w:r>
        <w:separator/>
      </w:r>
    </w:p>
  </w:endnote>
  <w:endnote w:type="continuationSeparator" w:id="0">
    <w:p w14:paraId="5C09329D" w14:textId="77777777" w:rsidR="00D56F67" w:rsidRDefault="00D56F67"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295E2" w14:textId="77777777" w:rsidR="00D56F67" w:rsidRDefault="00D56F67" w:rsidP="00784355">
      <w:pPr>
        <w:spacing w:after="0" w:line="240" w:lineRule="auto"/>
      </w:pPr>
      <w:r>
        <w:separator/>
      </w:r>
    </w:p>
  </w:footnote>
  <w:footnote w:type="continuationSeparator" w:id="0">
    <w:p w14:paraId="11EB3D9E" w14:textId="77777777" w:rsidR="00D56F67" w:rsidRDefault="00D56F67"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4DB5"/>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1C50"/>
    <w:rsid w:val="001D59D9"/>
    <w:rsid w:val="001D6136"/>
    <w:rsid w:val="001E119C"/>
    <w:rsid w:val="00201C0D"/>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17A1"/>
    <w:rsid w:val="00292018"/>
    <w:rsid w:val="0029331C"/>
    <w:rsid w:val="002A31D3"/>
    <w:rsid w:val="002A3E88"/>
    <w:rsid w:val="002A7E2E"/>
    <w:rsid w:val="002B726E"/>
    <w:rsid w:val="002C2A0F"/>
    <w:rsid w:val="002D0DB0"/>
    <w:rsid w:val="002D3B01"/>
    <w:rsid w:val="002E1221"/>
    <w:rsid w:val="002E17F9"/>
    <w:rsid w:val="002F09CA"/>
    <w:rsid w:val="002F35F0"/>
    <w:rsid w:val="002F3B75"/>
    <w:rsid w:val="003045E3"/>
    <w:rsid w:val="00310DD6"/>
    <w:rsid w:val="00313D12"/>
    <w:rsid w:val="0032132E"/>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1F34"/>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517D"/>
    <w:rsid w:val="00A46E96"/>
    <w:rsid w:val="00A51F2A"/>
    <w:rsid w:val="00A62BEC"/>
    <w:rsid w:val="00A658C1"/>
    <w:rsid w:val="00A6710A"/>
    <w:rsid w:val="00A734AD"/>
    <w:rsid w:val="00A837A0"/>
    <w:rsid w:val="00A83AB0"/>
    <w:rsid w:val="00A83D6A"/>
    <w:rsid w:val="00A90926"/>
    <w:rsid w:val="00A97287"/>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5106"/>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45DCA"/>
    <w:rsid w:val="00F52E75"/>
    <w:rsid w:val="00F54C75"/>
    <w:rsid w:val="00F57DED"/>
    <w:rsid w:val="00F626D4"/>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customStyle="1" w:styleId="Ttulo2Car">
    <w:name w:val="Título 2 Car"/>
    <w:basedOn w:val="Fuentedeprrafopredeter"/>
    <w:link w:val="Ttulo2"/>
    <w:uiPriority w:val="9"/>
    <w:rsid w:val="00F626D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85571C3-8D47-4559-816B-463B005BA567}"/>
</file>

<file path=customXml/itemProps3.xml><?xml version="1.0" encoding="utf-8"?>
<ds:datastoreItem xmlns:ds="http://schemas.openxmlformats.org/officeDocument/2006/customXml" ds:itemID="{F563D1E8-1312-4887-90EC-E7A3078F8562}"/>
</file>

<file path=customXml/itemProps4.xml><?xml version="1.0" encoding="utf-8"?>
<ds:datastoreItem xmlns:ds="http://schemas.openxmlformats.org/officeDocument/2006/customXml" ds:itemID="{88699824-E23A-42AC-A317-10996BC43248}"/>
</file>

<file path=docProps/app.xml><?xml version="1.0" encoding="utf-8"?>
<Properties xmlns="http://schemas.openxmlformats.org/officeDocument/2006/extended-properties" xmlns:vt="http://schemas.openxmlformats.org/officeDocument/2006/docPropsVTypes">
  <Template>Normal</Template>
  <TotalTime>225</TotalTime>
  <Pages>3</Pages>
  <Words>1297</Words>
  <Characters>7136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61</cp:revision>
  <cp:lastPrinted>2021-04-21T13:20:00Z</cp:lastPrinted>
  <dcterms:created xsi:type="dcterms:W3CDTF">2020-12-18T20:17:00Z</dcterms:created>
  <dcterms:modified xsi:type="dcterms:W3CDTF">2022-01-27T22:01:00Z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