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4D32B65F" w:rsidR="00707C99" w:rsidRPr="00F626D4" w:rsidRDefault="00201C0D" w:rsidP="00F626D4">
      <w:pPr>
        <w:pStyle w:val="Ttulo2"/>
        <w:jc w:val="center"/>
        <w:rPr>
          <w:rFonts w:ascii="Times New Roman" w:hAnsi="Times New Roman" w:cs="Times New Roman"/>
          <w:b/>
          <w:bCs/>
          <w:lang w:val="es-PE" w:eastAsia="ar-SA"/>
        </w:rPr>
      </w:pPr>
      <w:r w:rsidRPr="00F626D4">
        <w:rPr>
          <w:rFonts w:ascii="Times New Roman" w:hAnsi="Times New Roman" w:cs="Times New Roman"/>
          <w:b/>
          <w:bCs/>
          <w:color w:val="auto"/>
          <w:lang w:val="es-PE" w:eastAsia="ar-SA"/>
        </w:rPr>
        <w:t xml:space="preserve">RESOLUCIÓN DE RECURSO IMPUGNATIVO </w:t>
      </w:r>
      <w:proofErr w:type="spellStart"/>
      <w:r w:rsidR="00707C99" w:rsidRPr="00F626D4">
        <w:rPr>
          <w:rFonts w:ascii="Times New Roman" w:hAnsi="Times New Roman" w:cs="Times New Roman"/>
          <w:b/>
          <w:bCs/>
          <w:color w:val="auto"/>
          <w:lang w:val="es-PE" w:eastAsia="ar-SA"/>
        </w:rPr>
        <w:t>N°</w:t>
      </w:r>
      <w:proofErr w:type="spellEnd"/>
      <w:r w:rsidR="00707C99" w:rsidRPr="00F626D4">
        <w:rPr>
          <w:rFonts w:ascii="Times New Roman" w:hAnsi="Times New Roman" w:cs="Times New Roman"/>
          <w:b/>
          <w:bCs/>
          <w:color w:val="auto"/>
          <w:lang w:val="es-PE" w:eastAsia="ar-SA"/>
        </w:rPr>
        <w:t xml:space="preserve"> </w:t>
      </w:r>
      <w:r w:rsidR="00C671F5" w:rsidRPr="00F626D4">
        <w:rPr>
          <w:rFonts w:ascii="Times New Roman" w:hAnsi="Times New Roman" w:cs="Times New Roman"/>
          <w:b/>
          <w:bCs/>
          <w:color w:val="auto"/>
          <w:lang w:val="es-PE" w:eastAsia="ar-SA"/>
        </w:rPr>
        <w:t>0</w:t>
      </w:r>
      <w:r w:rsidR="004A374A">
        <w:rPr>
          <w:rFonts w:ascii="Times New Roman" w:hAnsi="Times New Roman" w:cs="Times New Roman"/>
          <w:b/>
          <w:bCs/>
          <w:color w:val="auto"/>
          <w:lang w:val="es-PE" w:eastAsia="ar-SA"/>
        </w:rPr>
        <w:t>3</w:t>
      </w:r>
      <w:r w:rsidR="005E398E">
        <w:rPr>
          <w:rFonts w:ascii="Times New Roman" w:hAnsi="Times New Roman" w:cs="Times New Roman"/>
          <w:b/>
          <w:bCs/>
          <w:color w:val="auto"/>
          <w:lang w:val="es-PE" w:eastAsia="ar-SA"/>
        </w:rPr>
        <w:t>1</w:t>
      </w:r>
      <w:r w:rsidR="00C671F5" w:rsidRPr="00F626D4">
        <w:rPr>
          <w:rFonts w:ascii="Times New Roman" w:hAnsi="Times New Roman" w:cs="Times New Roman"/>
          <w:b/>
          <w:bCs/>
          <w:color w:val="auto"/>
          <w:lang w:val="es-PE" w:eastAsia="ar-SA"/>
        </w:rPr>
        <w:t>/2</w:t>
      </w:r>
      <w:r w:rsidR="00231C58" w:rsidRPr="00F626D4">
        <w:rPr>
          <w:rFonts w:ascii="Times New Roman" w:hAnsi="Times New Roman" w:cs="Times New Roman"/>
          <w:b/>
          <w:bCs/>
          <w:color w:val="auto"/>
          <w:lang w:val="es-PE" w:eastAsia="ar-SA"/>
        </w:rPr>
        <w:t>1</w:t>
      </w:r>
    </w:p>
    <w:p w14:paraId="428240E5" w14:textId="06F06948" w:rsidR="00707C99" w:rsidRPr="005E398E"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44E363F0" w14:textId="77777777" w:rsidR="004A690A" w:rsidRPr="005E398E" w:rsidRDefault="004A690A" w:rsidP="004A690A">
      <w:pPr>
        <w:spacing w:after="0" w:line="240" w:lineRule="auto"/>
        <w:rPr>
          <w:rFonts w:ascii="Times New Roman" w:hAnsi="Times New Roman" w:cs="Times New Roman"/>
          <w:color w:val="000000" w:themeColor="text1"/>
          <w:sz w:val="24"/>
          <w:szCs w:val="24"/>
          <w:lang w:val="es-PE"/>
        </w:rPr>
      </w:pPr>
    </w:p>
    <w:p w14:paraId="4BEE5723" w14:textId="77777777" w:rsidR="005E398E" w:rsidRPr="005E398E" w:rsidRDefault="005E398E" w:rsidP="005E398E">
      <w:pPr>
        <w:jc w:val="both"/>
        <w:outlineLvl w:val="0"/>
        <w:rPr>
          <w:rFonts w:ascii="Times New Roman" w:hAnsi="Times New Roman" w:cs="Times New Roman"/>
          <w:b/>
          <w:sz w:val="24"/>
          <w:szCs w:val="24"/>
          <w:lang w:val="es-PE"/>
        </w:rPr>
      </w:pPr>
      <w:r w:rsidRPr="005E398E">
        <w:rPr>
          <w:rFonts w:ascii="Times New Roman" w:hAnsi="Times New Roman" w:cs="Times New Roman"/>
          <w:b/>
          <w:sz w:val="24"/>
          <w:szCs w:val="24"/>
          <w:lang w:val="es-PE"/>
        </w:rPr>
        <w:t>VISTOS:</w:t>
      </w:r>
    </w:p>
    <w:p w14:paraId="1E54583E" w14:textId="0F925C09" w:rsidR="005E398E" w:rsidRPr="005E398E" w:rsidRDefault="005E398E" w:rsidP="005E398E">
      <w:pPr>
        <w:jc w:val="both"/>
        <w:rPr>
          <w:rFonts w:ascii="Times New Roman" w:hAnsi="Times New Roman" w:cs="Times New Roman"/>
          <w:bCs/>
          <w:sz w:val="24"/>
          <w:szCs w:val="24"/>
          <w:lang w:val="es-PE"/>
        </w:rPr>
      </w:pPr>
      <w:r w:rsidRPr="005E398E">
        <w:rPr>
          <w:rFonts w:ascii="Times New Roman" w:hAnsi="Times New Roman" w:cs="Times New Roman"/>
          <w:bCs/>
          <w:sz w:val="24"/>
          <w:szCs w:val="24"/>
          <w:lang w:val="es-PE"/>
        </w:rPr>
        <w:t xml:space="preserve">El recurso de impugnación presentado el 15 de abril de 2021 por doña </w:t>
      </w:r>
      <w:r w:rsidR="006533FF" w:rsidRPr="006533FF">
        <w:rPr>
          <w:lang w:val="es-PE"/>
        </w:rPr>
        <w:t>...................</w:t>
      </w:r>
      <w:r w:rsidR="006533FF">
        <w:rPr>
          <w:lang w:val="es-PE"/>
        </w:rPr>
        <w:t xml:space="preserve"> </w:t>
      </w:r>
      <w:r w:rsidRPr="005E398E">
        <w:rPr>
          <w:rFonts w:ascii="Times New Roman" w:hAnsi="Times New Roman" w:cs="Times New Roman"/>
          <w:bCs/>
          <w:sz w:val="24"/>
          <w:szCs w:val="24"/>
          <w:lang w:val="es-PE"/>
        </w:rPr>
        <w:t xml:space="preserve">representada por </w:t>
      </w:r>
      <w:r w:rsidR="006533FF" w:rsidRPr="006533FF">
        <w:rPr>
          <w:lang w:val="es-PE"/>
        </w:rPr>
        <w:t>...................</w:t>
      </w:r>
      <w:r w:rsidR="006533FF" w:rsidRPr="006533FF">
        <w:rPr>
          <w:lang w:val="es-PE"/>
        </w:rPr>
        <w:t xml:space="preserve"> </w:t>
      </w:r>
      <w:r w:rsidRPr="005E398E">
        <w:rPr>
          <w:rFonts w:ascii="Times New Roman" w:hAnsi="Times New Roman" w:cs="Times New Roman"/>
          <w:bCs/>
          <w:sz w:val="24"/>
          <w:szCs w:val="24"/>
          <w:lang w:val="es-PE"/>
        </w:rPr>
        <w:t xml:space="preserve">respecto de la Resolución Nro. 041/21 de fecha 08 de abril de 2021, expedida por esta Defensoría del Asegurado (DEFASEG), conforme a la cual se declaró NULO el contrato de seguro correspondiente a la Póliza </w:t>
      </w:r>
      <w:proofErr w:type="spellStart"/>
      <w:r w:rsidRPr="005E398E">
        <w:rPr>
          <w:rFonts w:ascii="Times New Roman" w:hAnsi="Times New Roman" w:cs="Times New Roman"/>
          <w:bCs/>
          <w:sz w:val="24"/>
          <w:szCs w:val="24"/>
          <w:lang w:val="es-PE"/>
        </w:rPr>
        <w:t>Nº</w:t>
      </w:r>
      <w:proofErr w:type="spellEnd"/>
      <w:r w:rsidRPr="005E398E">
        <w:rPr>
          <w:rFonts w:ascii="Times New Roman" w:hAnsi="Times New Roman" w:cs="Times New Roman"/>
          <w:bCs/>
          <w:sz w:val="24"/>
          <w:szCs w:val="24"/>
          <w:lang w:val="es-PE"/>
        </w:rPr>
        <w:t xml:space="preserve"> </w:t>
      </w:r>
      <w:r w:rsidR="006533FF" w:rsidRPr="006533FF">
        <w:rPr>
          <w:lang w:val="es-PE"/>
        </w:rPr>
        <w:t>...................</w:t>
      </w:r>
      <w:r w:rsidRPr="005E398E">
        <w:rPr>
          <w:rFonts w:ascii="Times New Roman" w:hAnsi="Times New Roman" w:cs="Times New Roman"/>
          <w:bCs/>
          <w:sz w:val="24"/>
          <w:szCs w:val="24"/>
          <w:lang w:val="es-PE"/>
        </w:rPr>
        <w:t xml:space="preserve"> e improcedente la reclamación interpuesta contra </w:t>
      </w:r>
      <w:bookmarkStart w:id="0" w:name="OLE_LINK2"/>
      <w:r w:rsidR="006533FF" w:rsidRPr="006533FF">
        <w:rPr>
          <w:lang w:val="es-PE"/>
        </w:rPr>
        <w:t>...................</w:t>
      </w:r>
      <w:r w:rsidRPr="005E398E">
        <w:rPr>
          <w:rFonts w:ascii="Times New Roman" w:hAnsi="Times New Roman" w:cs="Times New Roman"/>
          <w:bCs/>
          <w:sz w:val="24"/>
          <w:szCs w:val="24"/>
          <w:lang w:val="es-PE"/>
        </w:rPr>
        <w:t>.</w:t>
      </w:r>
    </w:p>
    <w:bookmarkEnd w:id="0"/>
    <w:p w14:paraId="74D219F1" w14:textId="57E51EC7" w:rsidR="005E398E" w:rsidRPr="005E398E" w:rsidRDefault="005E398E" w:rsidP="005E398E">
      <w:pPr>
        <w:pStyle w:val="Textoindependiente"/>
        <w:rPr>
          <w:lang w:val="es-PE"/>
        </w:rPr>
      </w:pPr>
      <w:r w:rsidRPr="005E398E">
        <w:rPr>
          <w:lang w:val="es-PE"/>
        </w:rPr>
        <w:t xml:space="preserve">Que, el indicado recurso se sustenta resumidamente en lo siguiente: a) que las enfermedades presentadas no son preexistentes, que solo hubo dos atenciones previas a la contratación por dolores de cabeza por lo que se tomó pastillas hipertensivas para controlar la presión siendo que dicha hipertensión ya había sido superada por la paciente y no podía ser tomada como preexistencia para la nulidad del seguro; b) que la presidenta de la DEFASEG no sería imparcial por cuanto trabajó en la compañía </w:t>
      </w:r>
      <w:r w:rsidR="006533FF" w:rsidRPr="0037740B">
        <w:t>...................</w:t>
      </w:r>
      <w:r w:rsidRPr="005E398E">
        <w:rPr>
          <w:lang w:val="es-PE"/>
        </w:rPr>
        <w:t>.</w:t>
      </w:r>
    </w:p>
    <w:p w14:paraId="3B3A3082" w14:textId="77777777" w:rsidR="005E398E" w:rsidRPr="005E398E" w:rsidRDefault="005E398E" w:rsidP="005E398E">
      <w:pPr>
        <w:pStyle w:val="Textoindependiente"/>
        <w:rPr>
          <w:lang w:val="es-PE"/>
        </w:rPr>
      </w:pPr>
    </w:p>
    <w:p w14:paraId="4263ABBD" w14:textId="77777777" w:rsidR="005E398E" w:rsidRPr="005E398E" w:rsidRDefault="005E398E" w:rsidP="005E398E">
      <w:pPr>
        <w:pStyle w:val="Default"/>
        <w:jc w:val="both"/>
        <w:rPr>
          <w:rFonts w:ascii="Times New Roman" w:hAnsi="Times New Roman" w:cs="Times New Roman"/>
          <w:bCs/>
        </w:rPr>
      </w:pPr>
      <w:r w:rsidRPr="005E398E">
        <w:rPr>
          <w:rFonts w:ascii="Times New Roman" w:hAnsi="Times New Roman" w:cs="Times New Roman"/>
          <w:bCs/>
        </w:rPr>
        <w:t>Que, habiéndose corrido traslado de la respectiva impugnación a la empresa aseguradora, esta cumplió con absolverla señalando lo siguiente: a) que únicamente se ha cuestionado la nulidad del contrato de seguro; no obstante o se ha efectuado cuestionamiento alguno sobre el rechazo de cobertura por haberse encontrado dentro del periodo de carencia; b) que respecto a la hipertensión no se aportado prueba alguna que corrobore que ya había sido superada por la paciente; c) que se vuelven a reiterar las atenciones médicas de la paciente y las referencias a que la hipertensión arterial que se presentó hace 10 años, siendo falso que ya había sido superada, que dichas dolencias y condiciones no fueron declaradas y por lo tanto estamos ante un supuesto de reticencia que determina la nulidad del contrato de seguro; d) que el cuestionamiento a la imparcialidad carece de sustento en tanto los vocales son profesionales independientes e imparciales a las compañías de seguros.</w:t>
      </w:r>
    </w:p>
    <w:p w14:paraId="409ED503" w14:textId="77777777" w:rsidR="005E398E" w:rsidRDefault="005E398E" w:rsidP="005E398E">
      <w:pPr>
        <w:pStyle w:val="Textoindependiente"/>
        <w:tabs>
          <w:tab w:val="left" w:pos="930"/>
        </w:tabs>
        <w:rPr>
          <w:lang w:val="es-PE"/>
        </w:rPr>
      </w:pPr>
    </w:p>
    <w:p w14:paraId="625F052D" w14:textId="19B49AAE" w:rsidR="005E398E" w:rsidRPr="005E398E" w:rsidRDefault="005E398E" w:rsidP="005E398E">
      <w:pPr>
        <w:pStyle w:val="Textoindependiente"/>
        <w:tabs>
          <w:tab w:val="left" w:pos="930"/>
        </w:tabs>
        <w:rPr>
          <w:lang w:val="es-PE"/>
        </w:rPr>
      </w:pPr>
      <w:r w:rsidRPr="005E398E">
        <w:rPr>
          <w:lang w:val="es-PE"/>
        </w:rPr>
        <w:t>Atendiendo a lo expuesto, esta Defensoría resuelve finalmente lo siguiente:</w:t>
      </w:r>
    </w:p>
    <w:p w14:paraId="72567865" w14:textId="77777777" w:rsidR="005E398E" w:rsidRPr="005E398E" w:rsidRDefault="005E398E" w:rsidP="005E398E">
      <w:pPr>
        <w:pStyle w:val="Default"/>
        <w:jc w:val="both"/>
        <w:rPr>
          <w:rFonts w:ascii="Times New Roman" w:hAnsi="Times New Roman" w:cs="Times New Roman"/>
          <w:bCs/>
        </w:rPr>
      </w:pPr>
    </w:p>
    <w:p w14:paraId="7A55ADDA" w14:textId="77777777" w:rsidR="005E398E" w:rsidRPr="005E398E" w:rsidRDefault="005E398E" w:rsidP="005E398E">
      <w:pPr>
        <w:jc w:val="both"/>
        <w:rPr>
          <w:rFonts w:ascii="Times New Roman" w:hAnsi="Times New Roman" w:cs="Times New Roman"/>
          <w:bCs/>
          <w:sz w:val="24"/>
          <w:szCs w:val="24"/>
          <w:lang w:val="es-PE"/>
        </w:rPr>
      </w:pPr>
      <w:r w:rsidRPr="005E398E">
        <w:rPr>
          <w:rFonts w:ascii="Times New Roman" w:hAnsi="Times New Roman" w:cs="Times New Roman"/>
          <w:b/>
          <w:sz w:val="24"/>
          <w:szCs w:val="24"/>
          <w:u w:val="single"/>
          <w:lang w:val="es-PE"/>
        </w:rPr>
        <w:t>PRIMERO</w:t>
      </w:r>
      <w:r w:rsidRPr="005E398E">
        <w:rPr>
          <w:rFonts w:ascii="Times New Roman" w:hAnsi="Times New Roman" w:cs="Times New Roman"/>
          <w:b/>
          <w:sz w:val="24"/>
          <w:szCs w:val="24"/>
          <w:lang w:val="es-PE"/>
        </w:rPr>
        <w:t>:</w:t>
      </w:r>
      <w:r w:rsidRPr="005E398E">
        <w:rPr>
          <w:rFonts w:ascii="Times New Roman" w:hAnsi="Times New Roman" w:cs="Times New Roman"/>
          <w:bCs/>
          <w:sz w:val="24"/>
          <w:szCs w:val="24"/>
          <w:lang w:val="es-PE"/>
        </w:rPr>
        <w:t xml:space="preserve"> El artículo 10 (Procedimiento) del Reglamento de la DEFASEG </w:t>
      </w:r>
      <w:r w:rsidRPr="005E398E">
        <w:rPr>
          <w:rFonts w:ascii="Times New Roman" w:eastAsia="Arial Unicode MS" w:hAnsi="Times New Roman" w:cs="Times New Roman"/>
          <w:bCs/>
          <w:sz w:val="24"/>
          <w:szCs w:val="24"/>
          <w:lang w:val="es-PE"/>
        </w:rPr>
        <w:t>(http://www.defaseg.com.pe/reglamento)</w:t>
      </w:r>
      <w:r w:rsidRPr="005E398E">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242142A6" w14:textId="77777777" w:rsidR="005E398E" w:rsidRPr="005E398E" w:rsidRDefault="005E398E" w:rsidP="005E398E">
      <w:pPr>
        <w:jc w:val="both"/>
        <w:rPr>
          <w:rFonts w:ascii="Times New Roman" w:hAnsi="Times New Roman" w:cs="Times New Roman"/>
          <w:bCs/>
          <w:sz w:val="24"/>
          <w:szCs w:val="24"/>
          <w:lang w:val="es-PE"/>
        </w:rPr>
      </w:pPr>
      <w:r w:rsidRPr="005E398E">
        <w:rPr>
          <w:rFonts w:ascii="Times New Roman" w:hAnsi="Times New Roman" w:cs="Times New Roman"/>
          <w:bCs/>
          <w:sz w:val="24"/>
          <w:szCs w:val="24"/>
          <w:lang w:val="es-PE"/>
        </w:rPr>
        <w:t>Conforme a ello, en el caso concreto, al interponer el recurso de impugnación la reclamante ha ejercido formalmente su derecho a contradecir lo resuelto por la Defensoría.</w:t>
      </w:r>
    </w:p>
    <w:p w14:paraId="35E45E8B" w14:textId="77777777" w:rsidR="005E398E" w:rsidRPr="005E398E" w:rsidRDefault="005E398E" w:rsidP="005E398E">
      <w:pPr>
        <w:jc w:val="both"/>
        <w:rPr>
          <w:rFonts w:ascii="Times New Roman" w:hAnsi="Times New Roman" w:cs="Times New Roman"/>
          <w:sz w:val="24"/>
          <w:szCs w:val="24"/>
          <w:lang w:val="es-PE"/>
        </w:rPr>
      </w:pPr>
      <w:r w:rsidRPr="005E398E">
        <w:rPr>
          <w:rFonts w:ascii="Times New Roman" w:hAnsi="Times New Roman" w:cs="Times New Roman"/>
          <w:b/>
          <w:sz w:val="24"/>
          <w:szCs w:val="24"/>
          <w:u w:val="single"/>
          <w:lang w:val="es-PE"/>
        </w:rPr>
        <w:t>SEGUNDO:</w:t>
      </w:r>
      <w:r w:rsidRPr="005E398E">
        <w:rPr>
          <w:rFonts w:ascii="Times New Roman" w:hAnsi="Times New Roman" w:cs="Times New Roman"/>
          <w:bCs/>
          <w:sz w:val="24"/>
          <w:szCs w:val="24"/>
          <w:lang w:val="es-PE"/>
        </w:rPr>
        <w:t xml:space="preserve">  </w:t>
      </w:r>
      <w:r w:rsidRPr="005E398E">
        <w:rPr>
          <w:rFonts w:ascii="Times New Roman" w:hAnsi="Times New Roman" w:cs="Times New Roman"/>
          <w:sz w:val="24"/>
          <w:szCs w:val="24"/>
          <w:lang w:val="es-PE"/>
        </w:rPr>
        <w:t>Que si bien la reclamante expresa su posición y manifiesta las razones por las cuales discrepa de lo resuelto por esta Defensoría, la impugnación no desvirtúa el análisis contenido en la resolución impugnada, resolución que analiza detenidamente las razones por las cuales concluye en la existencia de una omisión e inexactitud relevante al contratar el seguro que determina la nulidad del contrato de seguro. Del mismo modo, la resolución impugnada analiza las razones por las cuales concluye que -aún en el supuesto que se hubiera determinado que el contrato fuera válido- el rechazo de cobertura resultaba legítimo basado en la aplicación del periodo de carencia, aspecto este último sobre el cual no se ha pronunciado la reclamante.</w:t>
      </w:r>
    </w:p>
    <w:p w14:paraId="01F1D803" w14:textId="77777777" w:rsidR="005E398E" w:rsidRPr="005E398E" w:rsidRDefault="005E398E" w:rsidP="005E398E">
      <w:pPr>
        <w:jc w:val="both"/>
        <w:rPr>
          <w:rFonts w:ascii="Times New Roman" w:hAnsi="Times New Roman" w:cs="Times New Roman"/>
          <w:sz w:val="24"/>
          <w:szCs w:val="24"/>
          <w:lang w:val="es-PE"/>
        </w:rPr>
      </w:pPr>
      <w:r w:rsidRPr="005E398E">
        <w:rPr>
          <w:rFonts w:ascii="Times New Roman" w:hAnsi="Times New Roman" w:cs="Times New Roman"/>
          <w:sz w:val="24"/>
          <w:szCs w:val="24"/>
          <w:lang w:val="es-PE"/>
        </w:rPr>
        <w:lastRenderedPageBreak/>
        <w:t xml:space="preserve">Que la reclamante además cuestiona la imparcialidad de uno de los miembros de la Defensoría por el solo hecho de haber trabajado en una compañía de seguros; hecho que no afecta la imparcialidad de los miembros de la DEFASEG, en tanto se trata de una relación previa al inicio de sus funciones como vocal en esta Defensoría, siendo que el Reglamento de la DEFASEG establece que los vocales son profesionales calificados con experiencia en el ámbito de seguros, elegidos por su reconocida solvencia moral y profesional, que resuelven los casos sometidos a su decisión de acuerdo a derecho. Que mal puede cuestionarse los argumentos de la resolución emitida en base a un argumento subjetivo sin sustento y sin pronunciarse sobre todos los aspectos de fondo que aborda la resolución, la cual fue aprobada en forma unánime por el colegiado. Por lo que esta Defensoría rechaza dicho cuestionamiento. </w:t>
      </w:r>
    </w:p>
    <w:p w14:paraId="05913D80" w14:textId="285E98BA" w:rsidR="005E398E" w:rsidRPr="005E398E" w:rsidRDefault="005E398E" w:rsidP="005E398E">
      <w:pPr>
        <w:jc w:val="both"/>
        <w:rPr>
          <w:rFonts w:ascii="Times New Roman" w:hAnsi="Times New Roman" w:cs="Times New Roman"/>
          <w:sz w:val="24"/>
          <w:szCs w:val="24"/>
          <w:lang w:val="es-PE"/>
        </w:rPr>
      </w:pPr>
      <w:r w:rsidRPr="005E398E">
        <w:rPr>
          <w:rFonts w:ascii="Times New Roman" w:hAnsi="Times New Roman" w:cs="Times New Roman"/>
          <w:sz w:val="24"/>
          <w:szCs w:val="24"/>
          <w:lang w:val="es-PE"/>
        </w:rPr>
        <w:t>Que, en lo respecta al fondo del asunto, la reclamante confunde la preexistencia con la nulidad del contrato de seguro. Al respecto, nos remitimos a lo expuesto en la resolución impugnada que señala lo siguiente:</w:t>
      </w:r>
    </w:p>
    <w:p w14:paraId="4B30E229" w14:textId="5015D9BB" w:rsidR="005E398E" w:rsidRP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 xml:space="preserve">“La reclamante refiere que la enfermedad que motivó el rechazo de la carta de garantía no fue por una condición preexistente. Al respecto, es importante precisar que para la nulidad del contrato de seguro no se está invocando una condición preexistente, lo que determina la nulidad del contrato de seguro no es que estemos ante una causa preexistente de un tratamiento, sino el que se haya incurrido en un vicio de voluntad, en una omisión/inexactitud relevante, que fue materia de una pregunta expresa respondida en forma negativa y que impidió conocer el verdadero estado de riesgo, lo que hubiera determinado que se otorgue la póliza en diferentes condiciones o se tome la decisión de no emitirla. </w:t>
      </w:r>
    </w:p>
    <w:p w14:paraId="7EF66D60" w14:textId="714EC3AE" w:rsidR="005E398E" w:rsidRP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 xml:space="preserve">En efecto, dicha inexactitud en la declaración hecha con dolo o culpa inexcusable ha impedido de manera objetiva que la aseguradora conozca el verdadero estado del riesgo asegurado en el caso concreto. Como señala NICOLAS H. BARBATO, “la existencia de culpa grave produce una intensificación desorbitada del riesgo, que lo convierte en técnicamente no asegurable”. </w:t>
      </w:r>
    </w:p>
    <w:p w14:paraId="4ECEE646" w14:textId="77777777" w:rsidR="005E398E" w:rsidRP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En esa medida, al ser el seguro un contrato de suma buena fe, estructurado sobre la base de la confianza, resulta probado que no se informó adecuada y suficientemente a la aseguradora sobre el real estado de salud de la asegurada, por lo que debido a la falta de un elemental e injustificado cuidado del declarante se habría incurrido en declaración inexacta y, en consecuencia, en causal de nulidad del contrato celebrado de conformidad con lo dispuesto en el artículo 8 de la Ley del Contrato de Seguro. Ello cobra mayor relevancia siendo que las atenciones ocurrieron en el mes de la solicitud de seguro, y continuaron en los días siguientes, lo que no se condice con la buena fe que debe existir en una contratación de seguro y por el contrario evidencia una situación que impidió a la aseguradora conocer el verdadero estado de riesgo”.</w:t>
      </w:r>
    </w:p>
    <w:p w14:paraId="2354DE65" w14:textId="77777777" w:rsidR="005E398E" w:rsidRPr="005E398E" w:rsidRDefault="005E398E" w:rsidP="005E398E">
      <w:pPr>
        <w:jc w:val="both"/>
        <w:rPr>
          <w:rFonts w:ascii="Times New Roman" w:hAnsi="Times New Roman" w:cs="Times New Roman"/>
          <w:bCs/>
          <w:sz w:val="24"/>
          <w:szCs w:val="24"/>
          <w:lang w:val="es-PE"/>
        </w:rPr>
      </w:pPr>
      <w:r w:rsidRPr="005E398E">
        <w:rPr>
          <w:rFonts w:ascii="Times New Roman" w:hAnsi="Times New Roman" w:cs="Times New Roman"/>
          <w:bCs/>
          <w:sz w:val="24"/>
          <w:szCs w:val="24"/>
          <w:lang w:val="es-PE"/>
        </w:rPr>
        <w:t xml:space="preserve">Es importante mencionar que la resolución impugnada señaló que, habiéndose determinado la nulidad del contrato de seguro carecería de sentido pronunciarse sobre el rechazo de cobertura; no obstante, se pasó a analizar dicho extremo, teniendo en cuenta que la reclamante podía manifestar su discrepancia respecto de la nulidad del contrato vía impugnación; y, al respecto </w:t>
      </w:r>
      <w:r w:rsidRPr="005E398E">
        <w:rPr>
          <w:rFonts w:ascii="Times New Roman" w:hAnsi="Times New Roman" w:cs="Times New Roman"/>
          <w:bCs/>
          <w:sz w:val="24"/>
          <w:szCs w:val="24"/>
          <w:lang w:val="es-PE"/>
        </w:rPr>
        <w:lastRenderedPageBreak/>
        <w:t>se analizó si resultaba válido el rechazo por: (i) preexistencia; o (</w:t>
      </w:r>
      <w:proofErr w:type="spellStart"/>
      <w:r w:rsidRPr="005E398E">
        <w:rPr>
          <w:rFonts w:ascii="Times New Roman" w:hAnsi="Times New Roman" w:cs="Times New Roman"/>
          <w:bCs/>
          <w:sz w:val="24"/>
          <w:szCs w:val="24"/>
          <w:lang w:val="es-PE"/>
        </w:rPr>
        <w:t>ii</w:t>
      </w:r>
      <w:proofErr w:type="spellEnd"/>
      <w:r w:rsidRPr="005E398E">
        <w:rPr>
          <w:rFonts w:ascii="Times New Roman" w:hAnsi="Times New Roman" w:cs="Times New Roman"/>
          <w:bCs/>
          <w:sz w:val="24"/>
          <w:szCs w:val="24"/>
          <w:lang w:val="es-PE"/>
        </w:rPr>
        <w:t>) por aplicación del periodo de carencia.</w:t>
      </w:r>
    </w:p>
    <w:p w14:paraId="4E00C987" w14:textId="75B5E7DD" w:rsidR="005E398E" w:rsidRPr="005E398E" w:rsidRDefault="005E398E" w:rsidP="005E398E">
      <w:pPr>
        <w:jc w:val="both"/>
        <w:rPr>
          <w:rFonts w:ascii="Times New Roman" w:hAnsi="Times New Roman" w:cs="Times New Roman"/>
          <w:bCs/>
          <w:sz w:val="24"/>
          <w:szCs w:val="24"/>
          <w:lang w:val="es-PE"/>
        </w:rPr>
      </w:pPr>
      <w:r w:rsidRPr="005E398E">
        <w:rPr>
          <w:rFonts w:ascii="Times New Roman" w:hAnsi="Times New Roman" w:cs="Times New Roman"/>
          <w:bCs/>
          <w:sz w:val="24"/>
          <w:szCs w:val="24"/>
          <w:lang w:val="es-PE"/>
        </w:rPr>
        <w:t>En lo que respecta a la preexistencia, se concluyó que la misma no se encontraba acreditada, y por lo tanto si el contrato hubiera sido válido (y esta hubiera sido la única causal de rechazo), la denegatoria de cobertura hubiera sido ilegítima. A continuación, transcribimos parte pertinente de la resolución impugnada.</w:t>
      </w:r>
    </w:p>
    <w:p w14:paraId="0F4019A9" w14:textId="77777777" w:rsidR="005E398E" w:rsidRP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 xml:space="preserve">“Conforme ha sido expresado en el considerando anterior, este colegiado concluyó que la solicitud de seguro no fue presentada el 21 de septiembre de 2020 sino antes del 30 de agosto de 2020, por lo que habiendo sido el diagnóstico de la </w:t>
      </w:r>
      <w:proofErr w:type="spellStart"/>
      <w:r w:rsidRPr="005E398E">
        <w:rPr>
          <w:rFonts w:ascii="Times New Roman" w:hAnsi="Times New Roman" w:cs="Times New Roman"/>
          <w:i/>
          <w:iCs/>
          <w:sz w:val="24"/>
          <w:szCs w:val="24"/>
          <w:lang w:val="es-PE"/>
        </w:rPr>
        <w:t>mielinolisis</w:t>
      </w:r>
      <w:proofErr w:type="spellEnd"/>
      <w:r w:rsidRPr="005E398E">
        <w:rPr>
          <w:rFonts w:ascii="Times New Roman" w:hAnsi="Times New Roman" w:cs="Times New Roman"/>
          <w:i/>
          <w:iCs/>
          <w:sz w:val="24"/>
          <w:szCs w:val="24"/>
          <w:lang w:val="es-PE"/>
        </w:rPr>
        <w:t xml:space="preserve"> </w:t>
      </w:r>
      <w:proofErr w:type="spellStart"/>
      <w:r w:rsidRPr="005E398E">
        <w:rPr>
          <w:rFonts w:ascii="Times New Roman" w:hAnsi="Times New Roman" w:cs="Times New Roman"/>
          <w:i/>
          <w:iCs/>
          <w:sz w:val="24"/>
          <w:szCs w:val="24"/>
          <w:lang w:val="es-PE"/>
        </w:rPr>
        <w:t>pontina</w:t>
      </w:r>
      <w:proofErr w:type="spellEnd"/>
      <w:r w:rsidRPr="005E398E">
        <w:rPr>
          <w:rFonts w:ascii="Times New Roman" w:hAnsi="Times New Roman" w:cs="Times New Roman"/>
          <w:i/>
          <w:iCs/>
          <w:sz w:val="24"/>
          <w:szCs w:val="24"/>
          <w:lang w:val="es-PE"/>
        </w:rPr>
        <w:t xml:space="preserve"> dictaminado en setiembre de 2020, ya no estaríamos ante una condición preexistente excluida del seguro, en tanto este solo excluye las preexistencias conocidas y no resultas en un momento previo a la presentación de la declaración jurada de salud inserta en la solicitud de seguro, conforme se establece en la respectiva póliza de seguro, presentada por la aseguradora, lo que no ocurre en este caso; y, en consecuencia, el rechazo de cobertura basada en una condición preexistente no resulta legítimo.”</w:t>
      </w:r>
    </w:p>
    <w:p w14:paraId="1A075C69" w14:textId="5E8CFAA6" w:rsidR="005E398E" w:rsidRPr="005E398E" w:rsidRDefault="005E398E" w:rsidP="005E398E">
      <w:pPr>
        <w:jc w:val="both"/>
        <w:rPr>
          <w:rFonts w:ascii="Times New Roman" w:hAnsi="Times New Roman" w:cs="Times New Roman"/>
          <w:bCs/>
          <w:sz w:val="24"/>
          <w:szCs w:val="24"/>
          <w:lang w:val="es-PE"/>
        </w:rPr>
      </w:pPr>
      <w:r w:rsidRPr="005E398E">
        <w:rPr>
          <w:rFonts w:ascii="Times New Roman" w:hAnsi="Times New Roman" w:cs="Times New Roman"/>
          <w:bCs/>
          <w:sz w:val="24"/>
          <w:szCs w:val="24"/>
          <w:lang w:val="es-PE"/>
        </w:rPr>
        <w:t xml:space="preserve">En lo que respecta a la aplicación del periodo de carencia, se concluyó que el mismo sí resulta aplicable, </w:t>
      </w:r>
      <w:proofErr w:type="gramStart"/>
      <w:r w:rsidRPr="005E398E">
        <w:rPr>
          <w:rFonts w:ascii="Times New Roman" w:hAnsi="Times New Roman" w:cs="Times New Roman"/>
          <w:bCs/>
          <w:sz w:val="24"/>
          <w:szCs w:val="24"/>
          <w:lang w:val="es-PE"/>
        </w:rPr>
        <w:t>y</w:t>
      </w:r>
      <w:proofErr w:type="gramEnd"/>
      <w:r w:rsidRPr="005E398E">
        <w:rPr>
          <w:rFonts w:ascii="Times New Roman" w:hAnsi="Times New Roman" w:cs="Times New Roman"/>
          <w:bCs/>
          <w:sz w:val="24"/>
          <w:szCs w:val="24"/>
          <w:lang w:val="es-PE"/>
        </w:rPr>
        <w:t xml:space="preserve"> por lo tanto, aun cuando se hubiera determinado que el contrato fuera válido, el rechazo sí hubiera resultado legítimo. A continuación, transcribimos parte pertinente de la resolución impugnada:</w:t>
      </w:r>
    </w:p>
    <w:p w14:paraId="2F1F1A83" w14:textId="6178ABC3" w:rsidR="005E398E" w:rsidRP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 xml:space="preserve">“Sin embargo, las cartas de garantía fueron rechazadas no solo por tratarse de una preexistencia, sino también por periodo de carencia, tal como se refiere en el detalle de observaciones de la carta de garantía rechazada. </w:t>
      </w:r>
    </w:p>
    <w:p w14:paraId="2400042D" w14:textId="6D624289" w:rsidR="005E398E" w:rsidRP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 xml:space="preserve">El periodo de carencia es una situación adicional que puede ser incluso distinta a la preexistencia. Tal como se da cuenta en la misma carta de garantía rechazada, y como se consigna en la póliza de seguro: “es el periodo de tiempo establecido en las CONDICIONES PARTICULARES, contado desde la fecha de ingreso del ASEGURADO a la Póliza para tener derecho a los beneficios”. </w:t>
      </w:r>
    </w:p>
    <w:p w14:paraId="1C6BC29B" w14:textId="6D9F74C8" w:rsidR="005E398E" w:rsidRP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De acuerdo con lo consignado en la póliza el periodo de carencia es de 30 días. Asimismo, las condiciones generales de la póliza establecen lo siguiente respecto del periodo de carencia, distinguiéndolo del periodo de espera:</w:t>
      </w:r>
    </w:p>
    <w:p w14:paraId="0DE2738B" w14:textId="77777777" w:rsid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w:t>
      </w:r>
    </w:p>
    <w:p w14:paraId="1D2108A8" w14:textId="77777777" w:rsidR="005E398E" w:rsidRDefault="005E398E" w:rsidP="005E398E">
      <w:pPr>
        <w:ind w:left="720"/>
        <w:jc w:val="both"/>
        <w:rPr>
          <w:rFonts w:ascii="Times New Roman" w:hAnsi="Times New Roman" w:cs="Times New Roman"/>
          <w:i/>
          <w:iCs/>
          <w:sz w:val="24"/>
          <w:szCs w:val="24"/>
          <w:lang w:val="es-PE"/>
        </w:rPr>
      </w:pPr>
      <w:r w:rsidRPr="005E398E">
        <w:rPr>
          <w:rFonts w:ascii="Times New Roman" w:hAnsi="Times New Roman" w:cs="Times New Roman"/>
          <w:i/>
          <w:iCs/>
          <w:sz w:val="24"/>
          <w:szCs w:val="24"/>
          <w:lang w:val="es-PE"/>
        </w:rPr>
        <w:t xml:space="preserve">Por lo que siendo que la </w:t>
      </w:r>
      <w:proofErr w:type="spellStart"/>
      <w:r w:rsidRPr="005E398E">
        <w:rPr>
          <w:rFonts w:ascii="Times New Roman" w:hAnsi="Times New Roman" w:cs="Times New Roman"/>
          <w:i/>
          <w:iCs/>
          <w:sz w:val="24"/>
          <w:szCs w:val="24"/>
          <w:lang w:val="es-PE"/>
        </w:rPr>
        <w:t>mielinolisis</w:t>
      </w:r>
      <w:proofErr w:type="spellEnd"/>
      <w:r w:rsidRPr="005E398E">
        <w:rPr>
          <w:rFonts w:ascii="Times New Roman" w:hAnsi="Times New Roman" w:cs="Times New Roman"/>
          <w:i/>
          <w:iCs/>
          <w:sz w:val="24"/>
          <w:szCs w:val="24"/>
          <w:lang w:val="es-PE"/>
        </w:rPr>
        <w:t xml:space="preserve"> </w:t>
      </w:r>
      <w:proofErr w:type="spellStart"/>
      <w:r w:rsidRPr="005E398E">
        <w:rPr>
          <w:rFonts w:ascii="Times New Roman" w:hAnsi="Times New Roman" w:cs="Times New Roman"/>
          <w:i/>
          <w:iCs/>
          <w:sz w:val="24"/>
          <w:szCs w:val="24"/>
          <w:lang w:val="es-PE"/>
        </w:rPr>
        <w:t>pontina</w:t>
      </w:r>
      <w:proofErr w:type="spellEnd"/>
      <w:r w:rsidRPr="005E398E">
        <w:rPr>
          <w:rFonts w:ascii="Times New Roman" w:hAnsi="Times New Roman" w:cs="Times New Roman"/>
          <w:i/>
          <w:iCs/>
          <w:sz w:val="24"/>
          <w:szCs w:val="24"/>
          <w:lang w:val="es-PE"/>
        </w:rPr>
        <w:t xml:space="preserve"> una condición que se presentó durante el periodo de carencia de la póliza, sus consecuencias no son cubiertas durante la vigencia de la póliza (a diferencia del periodo de espera que sí otorga cobertura a las mismas luego de vencido el periodo de espera). Por lo que el rechazo de las cartas de garantía derivadas de dicho diagnóstico sí resultaban legítimos.”</w:t>
      </w:r>
    </w:p>
    <w:p w14:paraId="75A65EA7" w14:textId="51574C90" w:rsidR="005E398E" w:rsidRPr="005E398E" w:rsidRDefault="005E398E" w:rsidP="005E398E">
      <w:pPr>
        <w:jc w:val="both"/>
        <w:rPr>
          <w:rFonts w:ascii="Times New Roman" w:hAnsi="Times New Roman" w:cs="Times New Roman"/>
          <w:i/>
          <w:iCs/>
          <w:sz w:val="24"/>
          <w:szCs w:val="24"/>
          <w:lang w:val="es-PE"/>
        </w:rPr>
      </w:pPr>
      <w:r w:rsidRPr="005E398E">
        <w:rPr>
          <w:rFonts w:ascii="Times New Roman" w:hAnsi="Times New Roman" w:cs="Times New Roman"/>
          <w:bCs/>
          <w:sz w:val="24"/>
          <w:szCs w:val="24"/>
          <w:lang w:val="es-PE"/>
        </w:rPr>
        <w:t xml:space="preserve">En el recurso impugnatorio, la recurrente se ha limitado a señalar que no se trata de una condición preexistente, sin exponer razones suficientes que lleven a este colegiado a pensar que el contrato de seguro resulta válido; y, sin contradecir las razones por las cuales no operaría el </w:t>
      </w:r>
      <w:r w:rsidRPr="005E398E">
        <w:rPr>
          <w:rFonts w:ascii="Times New Roman" w:hAnsi="Times New Roman" w:cs="Times New Roman"/>
          <w:bCs/>
          <w:sz w:val="24"/>
          <w:szCs w:val="24"/>
          <w:lang w:val="es-PE"/>
        </w:rPr>
        <w:lastRenderedPageBreak/>
        <w:t>periodo de espera previsto en la póliza (en el supuesto que se hubiera concluido que el contrato es válido).</w:t>
      </w:r>
    </w:p>
    <w:p w14:paraId="6DAF6962" w14:textId="77777777" w:rsidR="005E398E" w:rsidRPr="005E398E" w:rsidRDefault="005E398E" w:rsidP="005E398E">
      <w:pPr>
        <w:jc w:val="both"/>
        <w:rPr>
          <w:rFonts w:ascii="Times New Roman" w:hAnsi="Times New Roman" w:cs="Times New Roman"/>
          <w:bCs/>
          <w:sz w:val="24"/>
          <w:szCs w:val="24"/>
          <w:lang w:val="es-PE"/>
        </w:rPr>
      </w:pPr>
      <w:proofErr w:type="gramStart"/>
      <w:r w:rsidRPr="005E398E">
        <w:rPr>
          <w:rFonts w:ascii="Times New Roman" w:hAnsi="Times New Roman" w:cs="Times New Roman"/>
          <w:bCs/>
          <w:sz w:val="24"/>
          <w:szCs w:val="24"/>
          <w:lang w:val="es-PE"/>
        </w:rPr>
        <w:t>En virtud a</w:t>
      </w:r>
      <w:proofErr w:type="gramEnd"/>
      <w:r w:rsidRPr="005E398E">
        <w:rPr>
          <w:rFonts w:ascii="Times New Roman" w:hAnsi="Times New Roman" w:cs="Times New Roman"/>
          <w:bCs/>
          <w:sz w:val="24"/>
          <w:szCs w:val="24"/>
          <w:lang w:val="es-PE"/>
        </w:rPr>
        <w:t xml:space="preserve"> lo expuesto, este colegiado considera que no se han presentado pruebas que permitan evidenciar que se ha cometido un error en la resolución impugnada; en consecuencia, el recurso impugnativo interpuesto puede ser categorizado, por su contenido mismo, como una solicitud de revisión general, sustentado en el muy respetable criterio de la reclamante que este colegiado no comparte.</w:t>
      </w:r>
    </w:p>
    <w:p w14:paraId="03EBF1C3" w14:textId="77777777" w:rsidR="005E398E" w:rsidRPr="005E398E" w:rsidRDefault="005E398E" w:rsidP="005E398E">
      <w:pPr>
        <w:jc w:val="both"/>
        <w:rPr>
          <w:rFonts w:ascii="Times New Roman" w:hAnsi="Times New Roman" w:cs="Times New Roman"/>
          <w:b/>
          <w:sz w:val="24"/>
          <w:szCs w:val="24"/>
          <w:lang w:val="es-PE"/>
        </w:rPr>
      </w:pPr>
      <w:r w:rsidRPr="005E398E">
        <w:rPr>
          <w:rFonts w:ascii="Times New Roman" w:hAnsi="Times New Roman" w:cs="Times New Roman"/>
          <w:b/>
          <w:sz w:val="24"/>
          <w:szCs w:val="24"/>
          <w:lang w:val="es-PE"/>
        </w:rPr>
        <w:t>Atendiendo a lo expresado, conforme a su Reglamento, este colegiado resuelve:</w:t>
      </w:r>
    </w:p>
    <w:p w14:paraId="75141BB3" w14:textId="6120726D" w:rsidR="005E398E" w:rsidRPr="005E398E" w:rsidRDefault="005E398E" w:rsidP="005E398E">
      <w:pPr>
        <w:suppressAutoHyphens/>
        <w:spacing w:after="0" w:line="240" w:lineRule="auto"/>
        <w:jc w:val="both"/>
        <w:outlineLvl w:val="0"/>
        <w:rPr>
          <w:rFonts w:ascii="Times New Roman" w:eastAsia="Arial Unicode MS" w:hAnsi="Times New Roman" w:cs="Times New Roman"/>
          <w:bCs/>
          <w:sz w:val="24"/>
          <w:szCs w:val="24"/>
          <w:lang w:val="es-PE"/>
        </w:rPr>
      </w:pPr>
      <w:r w:rsidRPr="005E398E">
        <w:rPr>
          <w:rFonts w:ascii="Times New Roman" w:eastAsia="Arial Unicode MS" w:hAnsi="Times New Roman" w:cs="Times New Roman"/>
          <w:bCs/>
          <w:sz w:val="24"/>
          <w:szCs w:val="24"/>
          <w:lang w:val="es-PE"/>
        </w:rPr>
        <w:t xml:space="preserve">Declarar </w:t>
      </w:r>
      <w:r w:rsidRPr="005E398E">
        <w:rPr>
          <w:rFonts w:ascii="Times New Roman" w:eastAsia="Arial Unicode MS" w:hAnsi="Times New Roman" w:cs="Times New Roman"/>
          <w:b/>
          <w:sz w:val="24"/>
          <w:szCs w:val="24"/>
          <w:lang w:val="es-PE"/>
        </w:rPr>
        <w:t xml:space="preserve">INFUNDADO </w:t>
      </w:r>
      <w:r w:rsidRPr="005E398E">
        <w:rPr>
          <w:rFonts w:ascii="Times New Roman" w:eastAsia="Arial Unicode MS" w:hAnsi="Times New Roman" w:cs="Times New Roman"/>
          <w:bCs/>
          <w:sz w:val="24"/>
          <w:szCs w:val="24"/>
          <w:lang w:val="es-PE"/>
        </w:rPr>
        <w:t xml:space="preserve">el recurso de impugnación interpuesto y confirmar la Resolución </w:t>
      </w:r>
      <w:proofErr w:type="spellStart"/>
      <w:r w:rsidRPr="005E398E">
        <w:rPr>
          <w:rFonts w:ascii="Times New Roman" w:eastAsia="Arial Unicode MS" w:hAnsi="Times New Roman" w:cs="Times New Roman"/>
          <w:bCs/>
          <w:sz w:val="24"/>
          <w:szCs w:val="24"/>
          <w:lang w:val="es-PE"/>
        </w:rPr>
        <w:t>Nº</w:t>
      </w:r>
      <w:proofErr w:type="spellEnd"/>
      <w:r w:rsidRPr="005E398E">
        <w:rPr>
          <w:rFonts w:ascii="Times New Roman" w:eastAsia="Arial Unicode MS" w:hAnsi="Times New Roman" w:cs="Times New Roman"/>
          <w:bCs/>
          <w:sz w:val="24"/>
          <w:szCs w:val="24"/>
          <w:lang w:val="es-PE"/>
        </w:rPr>
        <w:t xml:space="preserve"> 041/21 de fecha 08 de abril de 2021 que declaro nulo el contrato el seguro e improcedente el reclamo interpuesto por doña </w:t>
      </w:r>
      <w:r w:rsidR="006533FF" w:rsidRPr="006533FF">
        <w:rPr>
          <w:lang w:val="es-PE"/>
        </w:rPr>
        <w:t>...................</w:t>
      </w:r>
      <w:r w:rsidR="006533FF" w:rsidRPr="006533FF">
        <w:rPr>
          <w:lang w:val="es-PE"/>
        </w:rPr>
        <w:t xml:space="preserve"> </w:t>
      </w:r>
      <w:r w:rsidRPr="005E398E">
        <w:rPr>
          <w:rFonts w:ascii="Times New Roman" w:eastAsia="Arial Unicode MS" w:hAnsi="Times New Roman" w:cs="Times New Roman"/>
          <w:bCs/>
          <w:sz w:val="24"/>
          <w:szCs w:val="24"/>
          <w:lang w:val="es-PE"/>
        </w:rPr>
        <w:t xml:space="preserve">contra </w:t>
      </w:r>
      <w:r w:rsidR="006533FF" w:rsidRPr="006533FF">
        <w:rPr>
          <w:lang w:val="es-PE"/>
        </w:rPr>
        <w:t>...................</w:t>
      </w:r>
      <w:r w:rsidRPr="005E398E">
        <w:rPr>
          <w:rFonts w:ascii="Times New Roman" w:eastAsia="Arial Unicode MS" w:hAnsi="Times New Roman" w:cs="Times New Roman"/>
          <w:bCs/>
          <w:sz w:val="24"/>
          <w:szCs w:val="24"/>
          <w:lang w:val="es-PE"/>
        </w:rPr>
        <w:t>, dejando a salvo el derecho de</w:t>
      </w:r>
      <w:r>
        <w:rPr>
          <w:rFonts w:ascii="Times New Roman" w:eastAsia="Arial Unicode MS" w:hAnsi="Times New Roman" w:cs="Times New Roman"/>
          <w:bCs/>
          <w:sz w:val="24"/>
          <w:szCs w:val="24"/>
          <w:lang w:val="es-PE"/>
        </w:rPr>
        <w:t xml:space="preserve"> </w:t>
      </w:r>
      <w:r w:rsidRPr="005E398E">
        <w:rPr>
          <w:rFonts w:ascii="Times New Roman" w:eastAsia="Arial Unicode MS" w:hAnsi="Times New Roman" w:cs="Times New Roman"/>
          <w:bCs/>
          <w:sz w:val="24"/>
          <w:szCs w:val="24"/>
          <w:lang w:val="es-PE"/>
        </w:rPr>
        <w:t>la reclamante de recurrir ante las instancias que estime pertinentes.</w:t>
      </w:r>
    </w:p>
    <w:p w14:paraId="489525D7" w14:textId="77777777" w:rsidR="005E398E" w:rsidRDefault="005E398E" w:rsidP="005E398E">
      <w:pPr>
        <w:suppressAutoHyphens/>
        <w:spacing w:after="0" w:line="240" w:lineRule="auto"/>
        <w:jc w:val="right"/>
        <w:outlineLvl w:val="0"/>
        <w:rPr>
          <w:rFonts w:ascii="Arial" w:eastAsia="Arial Unicode MS" w:hAnsi="Arial" w:cs="Arial"/>
          <w:bCs/>
          <w:lang w:val="es-PE"/>
        </w:rPr>
      </w:pPr>
    </w:p>
    <w:p w14:paraId="486C3F46" w14:textId="7CD43C24" w:rsidR="00C671F5" w:rsidRPr="005A4C4E"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4A374A">
        <w:rPr>
          <w:rFonts w:ascii="Times New Roman" w:eastAsia="Arial Unicode MS" w:hAnsi="Times New Roman" w:cs="Times New Roman"/>
          <w:sz w:val="24"/>
          <w:szCs w:val="24"/>
          <w:lang w:val="es-PE" w:eastAsia="ar-SA"/>
        </w:rPr>
        <w:t>2</w:t>
      </w:r>
      <w:r w:rsidR="005E398E">
        <w:rPr>
          <w:rFonts w:ascii="Times New Roman" w:eastAsia="Arial Unicode MS" w:hAnsi="Times New Roman" w:cs="Times New Roman"/>
          <w:sz w:val="24"/>
          <w:szCs w:val="24"/>
          <w:lang w:val="es-PE" w:eastAsia="ar-SA"/>
        </w:rPr>
        <w:t xml:space="preserve">9 </w:t>
      </w:r>
      <w:r w:rsidR="00707C99" w:rsidRPr="005A4C4E">
        <w:rPr>
          <w:rFonts w:ascii="Times New Roman" w:eastAsia="Arial Unicode MS" w:hAnsi="Times New Roman" w:cs="Times New Roman"/>
          <w:sz w:val="24"/>
          <w:szCs w:val="24"/>
          <w:lang w:val="es-PE" w:eastAsia="ar-SA"/>
        </w:rPr>
        <w:t>de</w:t>
      </w:r>
      <w:r w:rsidR="00864B0B">
        <w:rPr>
          <w:rFonts w:ascii="Times New Roman" w:eastAsia="Arial Unicode MS" w:hAnsi="Times New Roman" w:cs="Times New Roman"/>
          <w:sz w:val="24"/>
          <w:szCs w:val="24"/>
          <w:lang w:val="es-PE" w:eastAsia="ar-SA"/>
        </w:rPr>
        <w:t xml:space="preserve"> abril</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2B9BAAC8" w14:textId="77777777" w:rsidR="00231C58" w:rsidRPr="005A4C4E"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4A374A">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4A374A">
      <w:pPr>
        <w:spacing w:after="0" w:line="240" w:lineRule="auto"/>
        <w:jc w:val="both"/>
        <w:rPr>
          <w:rFonts w:ascii="Times New Roman" w:hAnsi="Times New Roman" w:cs="Times New Roman"/>
          <w:b/>
          <w:bCs/>
          <w:i/>
          <w:iCs/>
          <w:sz w:val="24"/>
          <w:szCs w:val="24"/>
          <w:lang w:val="es-PE"/>
        </w:rPr>
      </w:pPr>
    </w:p>
    <w:p w14:paraId="548B3E5B" w14:textId="47A8BA49" w:rsidR="00C671F5" w:rsidRPr="005A4C4E" w:rsidRDefault="00231C58"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4A374A">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4A374A">
      <w:pPr>
        <w:spacing w:line="240" w:lineRule="auto"/>
        <w:rPr>
          <w:rFonts w:ascii="Times New Roman" w:eastAsia="Arial Unicode MS" w:hAnsi="Times New Roman" w:cs="Times New Roman"/>
          <w:sz w:val="24"/>
          <w:szCs w:val="24"/>
          <w:lang w:val="es-PE" w:eastAsia="ar-SA"/>
        </w:rPr>
      </w:pPr>
    </w:p>
    <w:sectPr w:rsidR="00C671F5" w:rsidRPr="005A4C4E"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AD4F9" w14:textId="77777777" w:rsidR="0004492D" w:rsidRDefault="0004492D" w:rsidP="00784355">
      <w:pPr>
        <w:spacing w:after="0" w:line="240" w:lineRule="auto"/>
      </w:pPr>
      <w:r>
        <w:separator/>
      </w:r>
    </w:p>
  </w:endnote>
  <w:endnote w:type="continuationSeparator" w:id="0">
    <w:p w14:paraId="419E3E2A" w14:textId="77777777" w:rsidR="0004492D" w:rsidRDefault="0004492D"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19A16" w14:textId="77777777" w:rsidR="0004492D" w:rsidRDefault="0004492D" w:rsidP="00784355">
      <w:pPr>
        <w:spacing w:after="0" w:line="240" w:lineRule="auto"/>
      </w:pPr>
      <w:r>
        <w:separator/>
      </w:r>
    </w:p>
  </w:footnote>
  <w:footnote w:type="continuationSeparator" w:id="0">
    <w:p w14:paraId="3DD918F9" w14:textId="77777777" w:rsidR="0004492D" w:rsidRDefault="0004492D"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2F3B75"/>
    <w:rsid w:val="003045E3"/>
    <w:rsid w:val="00310DD6"/>
    <w:rsid w:val="00313D12"/>
    <w:rsid w:val="0032132E"/>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33FF"/>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7E2BC40-8837-426E-AA76-6F2613A83217}"/>
</file>

<file path=customXml/itemProps3.xml><?xml version="1.0" encoding="utf-8"?>
<ds:datastoreItem xmlns:ds="http://schemas.openxmlformats.org/officeDocument/2006/customXml" ds:itemID="{6FE8E560-600C-46FA-9F7D-640B978C79B9}"/>
</file>

<file path=customXml/itemProps4.xml><?xml version="1.0" encoding="utf-8"?>
<ds:datastoreItem xmlns:ds="http://schemas.openxmlformats.org/officeDocument/2006/customXml" ds:itemID="{81FDFFB6-E6C7-43B2-92FE-5CE4BFA61F36}"/>
</file>

<file path=docProps/app.xml><?xml version="1.0" encoding="utf-8"?>
<Properties xmlns="http://schemas.openxmlformats.org/officeDocument/2006/extended-properties" xmlns:vt="http://schemas.openxmlformats.org/officeDocument/2006/docPropsVTypes">
  <Template>Normal</Template>
  <TotalTime>225</TotalTime>
  <Pages>4</Pages>
  <Words>1687</Words>
  <Characters>9279</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58</cp:revision>
  <cp:lastPrinted>2021-04-30T14:18:00Z</cp:lastPrinted>
  <dcterms:created xsi:type="dcterms:W3CDTF">2020-12-18T20:17:00Z</dcterms:created>
  <dcterms:modified xsi:type="dcterms:W3CDTF">2022-02-11T21:00:00Z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