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48EE4F0D" w:rsidR="00707C99" w:rsidRPr="001E61A8" w:rsidRDefault="00201C0D" w:rsidP="00F626D4">
      <w:pPr>
        <w:pStyle w:val="Ttulo2"/>
        <w:jc w:val="center"/>
        <w:rPr>
          <w:rFonts w:ascii="Times New Roman" w:hAnsi="Times New Roman" w:cs="Times New Roman"/>
          <w:b/>
          <w:bCs/>
          <w:lang w:val="es-PE" w:eastAsia="ar-SA"/>
        </w:rPr>
      </w:pPr>
      <w:r w:rsidRPr="001E61A8">
        <w:rPr>
          <w:rFonts w:ascii="Times New Roman" w:hAnsi="Times New Roman" w:cs="Times New Roman"/>
          <w:b/>
          <w:bCs/>
          <w:color w:val="auto"/>
          <w:lang w:val="es-PE" w:eastAsia="ar-SA"/>
        </w:rPr>
        <w:t xml:space="preserve">RESOLUCIÓN DE RECURSO IMPUGNATIVO </w:t>
      </w:r>
      <w:proofErr w:type="spellStart"/>
      <w:r w:rsidR="00707C99" w:rsidRPr="001E61A8">
        <w:rPr>
          <w:rFonts w:ascii="Times New Roman" w:hAnsi="Times New Roman" w:cs="Times New Roman"/>
          <w:b/>
          <w:bCs/>
          <w:color w:val="auto"/>
          <w:lang w:val="es-PE" w:eastAsia="ar-SA"/>
        </w:rPr>
        <w:t>N°</w:t>
      </w:r>
      <w:proofErr w:type="spellEnd"/>
      <w:r w:rsidR="00707C99" w:rsidRPr="001E61A8">
        <w:rPr>
          <w:rFonts w:ascii="Times New Roman" w:hAnsi="Times New Roman" w:cs="Times New Roman"/>
          <w:b/>
          <w:bCs/>
          <w:color w:val="auto"/>
          <w:lang w:val="es-PE" w:eastAsia="ar-SA"/>
        </w:rPr>
        <w:t xml:space="preserve"> </w:t>
      </w:r>
      <w:r w:rsidR="00C671F5" w:rsidRPr="001E61A8">
        <w:rPr>
          <w:rFonts w:ascii="Times New Roman" w:hAnsi="Times New Roman" w:cs="Times New Roman"/>
          <w:b/>
          <w:bCs/>
          <w:color w:val="auto"/>
          <w:lang w:val="es-PE" w:eastAsia="ar-SA"/>
        </w:rPr>
        <w:t>0</w:t>
      </w:r>
      <w:r w:rsidR="004A374A" w:rsidRPr="001E61A8">
        <w:rPr>
          <w:rFonts w:ascii="Times New Roman" w:hAnsi="Times New Roman" w:cs="Times New Roman"/>
          <w:b/>
          <w:bCs/>
          <w:color w:val="auto"/>
          <w:lang w:val="es-PE" w:eastAsia="ar-SA"/>
        </w:rPr>
        <w:t>3</w:t>
      </w:r>
      <w:r w:rsidR="001E61A8" w:rsidRPr="001E61A8">
        <w:rPr>
          <w:rFonts w:ascii="Times New Roman" w:hAnsi="Times New Roman" w:cs="Times New Roman"/>
          <w:b/>
          <w:bCs/>
          <w:color w:val="auto"/>
          <w:lang w:val="es-PE" w:eastAsia="ar-SA"/>
        </w:rPr>
        <w:t>2/</w:t>
      </w:r>
      <w:r w:rsidR="00C671F5" w:rsidRPr="001E61A8">
        <w:rPr>
          <w:rFonts w:ascii="Times New Roman" w:hAnsi="Times New Roman" w:cs="Times New Roman"/>
          <w:b/>
          <w:bCs/>
          <w:color w:val="auto"/>
          <w:lang w:val="es-PE" w:eastAsia="ar-SA"/>
        </w:rPr>
        <w:t>2</w:t>
      </w:r>
      <w:r w:rsidR="00231C58" w:rsidRPr="001E61A8">
        <w:rPr>
          <w:rFonts w:ascii="Times New Roman" w:hAnsi="Times New Roman" w:cs="Times New Roman"/>
          <w:b/>
          <w:bCs/>
          <w:color w:val="auto"/>
          <w:lang w:val="es-PE" w:eastAsia="ar-SA"/>
        </w:rPr>
        <w:t>1</w:t>
      </w:r>
    </w:p>
    <w:p w14:paraId="428240E5" w14:textId="06F06948" w:rsidR="00707C99" w:rsidRPr="001E61A8"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44E363F0" w14:textId="77777777" w:rsidR="004A690A" w:rsidRPr="001E61A8" w:rsidRDefault="004A690A" w:rsidP="004A690A">
      <w:pPr>
        <w:spacing w:after="0" w:line="240" w:lineRule="auto"/>
        <w:rPr>
          <w:rFonts w:ascii="Times New Roman" w:hAnsi="Times New Roman" w:cs="Times New Roman"/>
          <w:color w:val="000000" w:themeColor="text1"/>
          <w:sz w:val="24"/>
          <w:szCs w:val="24"/>
          <w:lang w:val="es-PE"/>
        </w:rPr>
      </w:pPr>
    </w:p>
    <w:p w14:paraId="079287F4" w14:textId="77777777" w:rsidR="001E61A8" w:rsidRPr="001E61A8" w:rsidRDefault="001E61A8" w:rsidP="001E61A8">
      <w:pPr>
        <w:spacing w:after="0" w:line="240" w:lineRule="auto"/>
        <w:jc w:val="both"/>
        <w:rPr>
          <w:rFonts w:ascii="Times New Roman" w:hAnsi="Times New Roman" w:cs="Times New Roman"/>
          <w:sz w:val="24"/>
          <w:szCs w:val="24"/>
          <w:lang w:val="es-PE"/>
        </w:rPr>
      </w:pPr>
      <w:r w:rsidRPr="001E61A8">
        <w:rPr>
          <w:rFonts w:ascii="Times New Roman" w:hAnsi="Times New Roman" w:cs="Times New Roman"/>
          <w:b/>
          <w:sz w:val="24"/>
          <w:szCs w:val="24"/>
          <w:lang w:val="es-PE"/>
        </w:rPr>
        <w:t xml:space="preserve">Vistos: </w:t>
      </w:r>
    </w:p>
    <w:p w14:paraId="1B764202" w14:textId="77777777" w:rsidR="001E61A8" w:rsidRPr="001E61A8" w:rsidRDefault="001E61A8" w:rsidP="001E61A8">
      <w:pPr>
        <w:spacing w:after="0" w:line="240" w:lineRule="auto"/>
        <w:jc w:val="both"/>
        <w:rPr>
          <w:rFonts w:ascii="Times New Roman" w:hAnsi="Times New Roman" w:cs="Times New Roman"/>
          <w:sz w:val="24"/>
          <w:szCs w:val="24"/>
          <w:lang w:val="es-PE"/>
        </w:rPr>
      </w:pPr>
    </w:p>
    <w:p w14:paraId="22CEFA34" w14:textId="7528130C" w:rsidR="001E61A8" w:rsidRP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sz w:val="24"/>
          <w:szCs w:val="24"/>
          <w:lang w:val="es-PE"/>
        </w:rPr>
        <w:t xml:space="preserve">El Recurso Impugnativo presentado el 05 de abril de 2021 por </w:t>
      </w:r>
      <w:r w:rsidR="006A2AAB" w:rsidRPr="00C05041">
        <w:rPr>
          <w:rFonts w:ascii="Times New Roman" w:hAnsi="Times New Roman" w:cs="Times New Roman"/>
          <w:lang w:val="es-PE"/>
        </w:rPr>
        <w:t>...................</w:t>
      </w:r>
      <w:r w:rsidRPr="001E61A8">
        <w:rPr>
          <w:rFonts w:ascii="Times New Roman" w:hAnsi="Times New Roman" w:cs="Times New Roman"/>
          <w:sz w:val="24"/>
          <w:szCs w:val="24"/>
          <w:lang w:val="es-PE"/>
        </w:rPr>
        <w:t xml:space="preserve">, respecto de la Resolución </w:t>
      </w:r>
      <w:proofErr w:type="spellStart"/>
      <w:r w:rsidRPr="001E61A8">
        <w:rPr>
          <w:rFonts w:ascii="Times New Roman" w:hAnsi="Times New Roman" w:cs="Times New Roman"/>
          <w:sz w:val="24"/>
          <w:szCs w:val="24"/>
          <w:lang w:val="es-PE"/>
        </w:rPr>
        <w:t>N°</w:t>
      </w:r>
      <w:proofErr w:type="spellEnd"/>
      <w:r w:rsidRPr="001E61A8">
        <w:rPr>
          <w:rFonts w:ascii="Times New Roman" w:hAnsi="Times New Roman" w:cs="Times New Roman"/>
          <w:sz w:val="24"/>
          <w:szCs w:val="24"/>
          <w:lang w:val="es-PE"/>
        </w:rPr>
        <w:t xml:space="preserve"> 030/21de fecha 24 de marzo de 2021 por esta Defensoría del Asegurado (DEFASEG) que declaró INFUNDADA la reclamación interpuesta por </w:t>
      </w:r>
      <w:r w:rsidR="006A2AAB" w:rsidRPr="006A2AAB">
        <w:rPr>
          <w:lang w:val="es-PE"/>
        </w:rPr>
        <w:t>...................</w:t>
      </w:r>
      <w:r w:rsidRPr="001E61A8">
        <w:rPr>
          <w:rFonts w:ascii="Times New Roman" w:hAnsi="Times New Roman" w:cs="Times New Roman"/>
          <w:sz w:val="24"/>
          <w:szCs w:val="24"/>
          <w:lang w:val="es-PE"/>
        </w:rPr>
        <w:t>, sobre sobre otorgamiento de cobertura al siniestro ocurrido bajo la Póliza de Seguro de Vehículos contratada</w:t>
      </w:r>
    </w:p>
    <w:p w14:paraId="79616E8F" w14:textId="6A379097" w:rsidR="001E61A8" w:rsidRP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sz w:val="24"/>
          <w:szCs w:val="24"/>
          <w:lang w:val="es-PE"/>
        </w:rPr>
        <w:t xml:space="preserve">Que el señalado Recurso Impugnativo se fundamenta resumidamente en lo siguiente: 1) Que, la asegurada se reafirma en que no se ha incurrido en ninguna declaración fraudulenta, dado que desde un inicio se manifestó que el siniestro ocurrió estando la unidad asegurada estacionada. Así lo demuestra la llamada a la central de </w:t>
      </w:r>
      <w:r w:rsidR="006A2AAB" w:rsidRPr="006A2AAB">
        <w:rPr>
          <w:lang w:val="es-PE"/>
        </w:rPr>
        <w:t>...................</w:t>
      </w:r>
      <w:r w:rsidRPr="001E61A8">
        <w:rPr>
          <w:rFonts w:ascii="Times New Roman" w:hAnsi="Times New Roman" w:cs="Times New Roman"/>
          <w:sz w:val="24"/>
          <w:szCs w:val="24"/>
          <w:lang w:val="es-PE"/>
        </w:rPr>
        <w:t xml:space="preserve">, informe del siniestro y declaración ante las autoridades. 2) Que, la asegurada reitera una vez </w:t>
      </w:r>
      <w:proofErr w:type="spellStart"/>
      <w:r w:rsidRPr="001E61A8">
        <w:rPr>
          <w:rFonts w:ascii="Times New Roman" w:hAnsi="Times New Roman" w:cs="Times New Roman"/>
          <w:sz w:val="24"/>
          <w:szCs w:val="24"/>
          <w:lang w:val="es-PE"/>
        </w:rPr>
        <w:t>mas</w:t>
      </w:r>
      <w:proofErr w:type="spellEnd"/>
      <w:r w:rsidRPr="001E61A8">
        <w:rPr>
          <w:rFonts w:ascii="Times New Roman" w:hAnsi="Times New Roman" w:cs="Times New Roman"/>
          <w:sz w:val="24"/>
          <w:szCs w:val="24"/>
          <w:lang w:val="es-PE"/>
        </w:rPr>
        <w:t xml:space="preserve"> que la declaración desde un inicio corresponde a la verdad. ¿Cuál sería la intención de pasar un choque en circulación por uno estacionado, si en ambas situaciones se cuenta con cobertura ¿? No existe ninguna razón que justifique un cambio de versión. 3) Que, sin embargo, con la finalidad de que se tomen decisiones ajustadas a la verdad, la asegurada ha realizado diligencias que han permitido obtener la declaración del conductor de la unidad que causó el choque, la misma que se adjunta, donde indica claramente y </w:t>
      </w:r>
      <w:proofErr w:type="gramStart"/>
      <w:r w:rsidRPr="001E61A8">
        <w:rPr>
          <w:rFonts w:ascii="Times New Roman" w:hAnsi="Times New Roman" w:cs="Times New Roman"/>
          <w:sz w:val="24"/>
          <w:szCs w:val="24"/>
          <w:lang w:val="es-PE"/>
        </w:rPr>
        <w:t>sin lugar a dudas</w:t>
      </w:r>
      <w:proofErr w:type="gramEnd"/>
      <w:r w:rsidRPr="001E61A8">
        <w:rPr>
          <w:rFonts w:ascii="Times New Roman" w:hAnsi="Times New Roman" w:cs="Times New Roman"/>
          <w:sz w:val="24"/>
          <w:szCs w:val="24"/>
          <w:lang w:val="es-PE"/>
        </w:rPr>
        <w:t xml:space="preserve"> que la unidad asegurada se encontraba estacionada al momento de producirse el siniestro. Que, así mismo, según el artículo 97 de la Ley de Contrato de Seguros, la asegurada solicita que la aseguradora se haga cargo de los gastos incurridos para acreditar el siniestro de la referencia, por la suma de S/ 10,000 soles. 4) Que, con fecha 21 de abril de 2021, la asegurada ha presentado un escrito adicional al que incluye una declaración del conductor de la unidad tercera que causó el choque, quien manifiesta que al momento del siniestro el vehículo asegurado se encontraba estacionado. Que, así mismo, la asegurada indica que el reporte inicial elaborado por autoridades policiales que no estuvieron presentes al momento del siniestro, reporte que NO fue firmado por el conductor que trabaja para la empresa asegurada.</w:t>
      </w:r>
    </w:p>
    <w:p w14:paraId="29DB63B4" w14:textId="7CDF3CD6" w:rsidR="001E61A8" w:rsidRP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sz w:val="24"/>
          <w:szCs w:val="24"/>
          <w:lang w:val="es-PE"/>
        </w:rPr>
        <w:t xml:space="preserve">Que, habiéndose corrido traslado a </w:t>
      </w:r>
      <w:r w:rsidR="006A2AAB" w:rsidRPr="006A2AAB">
        <w:rPr>
          <w:lang w:val="es-PE"/>
        </w:rPr>
        <w:t>...................</w:t>
      </w:r>
      <w:r w:rsidR="006A2AAB">
        <w:rPr>
          <w:lang w:val="es-PE"/>
        </w:rPr>
        <w:t xml:space="preserve"> </w:t>
      </w:r>
      <w:r w:rsidRPr="001E61A8">
        <w:rPr>
          <w:rFonts w:ascii="Times New Roman" w:hAnsi="Times New Roman" w:cs="Times New Roman"/>
          <w:sz w:val="24"/>
          <w:szCs w:val="24"/>
          <w:lang w:val="es-PE"/>
        </w:rPr>
        <w:t xml:space="preserve">del referido Recurso impugnatorio, la aseguradora, expresa lo siguiente: 1) Que, debe tener en cuenta que, en el recurso impugnatorio presentado por la reclamante, se indican una serie de alegaciones ya expuestas y valoradas en su oportunidad, y presuntos errores de hecho y de interpretación de que, en opinión de la aseguradora no contribuyen a desvirtuar lo señalado en la resolución apelada.2) Que, la reclamante en síntesis alega que para ellos está acreditado que el vehículo asegurado al momento del siniestro estuvo estacionado como lo indicaron en su reclamo y para ello adjuntan una declaración del conductor que afirma dicha versión. Que, sin perjuicio de que la reclamante no alega ningún hecho nuevo, lo cual de por si conlleva a que se confirme la resolución impugnada, se considera importante realizar algunas precisiones. Que se debe reiterar que, con fecha 04 de noviembre de 2020 a horas 10:20 se comunicó con la central de emergencia de la aseguradora el señor Henry Rossel Carmona, conductor de la unidad asegurada, el mismo que reportó el siniestro y señaló que este se produjo mientras dicha unidad se encontraba estacionada. Que, luego en la Ocurrencia de Tránsito </w:t>
      </w:r>
      <w:proofErr w:type="spellStart"/>
      <w:r w:rsidRPr="001E61A8">
        <w:rPr>
          <w:rFonts w:ascii="Times New Roman" w:hAnsi="Times New Roman" w:cs="Times New Roman"/>
          <w:sz w:val="24"/>
          <w:szCs w:val="24"/>
          <w:lang w:val="es-PE"/>
        </w:rPr>
        <w:t>N°</w:t>
      </w:r>
      <w:proofErr w:type="spellEnd"/>
      <w:r w:rsidRPr="001E61A8">
        <w:rPr>
          <w:rFonts w:ascii="Times New Roman" w:hAnsi="Times New Roman" w:cs="Times New Roman"/>
          <w:sz w:val="24"/>
          <w:szCs w:val="24"/>
          <w:lang w:val="es-PE"/>
        </w:rPr>
        <w:t xml:space="preserve"> 20 de la Comisaría PNP de Huachipa, el mismo señor Rossel manifestó que el siniestro ocurrió en circunstancias que se encontraba </w:t>
      </w:r>
      <w:r w:rsidRPr="000660C1">
        <w:rPr>
          <w:rFonts w:ascii="Times New Roman" w:hAnsi="Times New Roman" w:cs="Times New Roman"/>
          <w:sz w:val="24"/>
          <w:szCs w:val="24"/>
          <w:lang w:val="es-PE"/>
        </w:rPr>
        <w:t>circulando</w:t>
      </w:r>
      <w:r w:rsidRPr="001E61A8">
        <w:rPr>
          <w:rFonts w:ascii="Times New Roman" w:hAnsi="Times New Roman" w:cs="Times New Roman"/>
          <w:b/>
          <w:bCs/>
          <w:sz w:val="24"/>
          <w:szCs w:val="24"/>
          <w:lang w:val="es-PE"/>
        </w:rPr>
        <w:t xml:space="preserve"> </w:t>
      </w:r>
      <w:r w:rsidRPr="001E61A8">
        <w:rPr>
          <w:rFonts w:ascii="Times New Roman" w:hAnsi="Times New Roman" w:cs="Times New Roman"/>
          <w:sz w:val="24"/>
          <w:szCs w:val="24"/>
          <w:lang w:val="es-PE"/>
        </w:rPr>
        <w:t xml:space="preserve">por la calle Los Cedros con dirección al cementerio Mapfre Huachipa, siendo </w:t>
      </w:r>
      <w:r w:rsidRPr="001E61A8">
        <w:rPr>
          <w:rFonts w:ascii="Times New Roman" w:hAnsi="Times New Roman" w:cs="Times New Roman"/>
          <w:sz w:val="24"/>
          <w:szCs w:val="24"/>
          <w:lang w:val="es-PE"/>
        </w:rPr>
        <w:lastRenderedPageBreak/>
        <w:t xml:space="preserve">impactado por la parte posterior por la unidad tercera de placa WB-4206. 3) Que, cabe resaltar que, en el acta de ocurrencia del accidente, cuya copia obra en autos, se indica expresamente que aquella fue firmada por el conductor del vehículo asegurado Sr. Rossel, como uno de los intervenidos con lo cual se valida dicha declaración. Que, posteriormente el citado conductor, modifica una vez </w:t>
      </w:r>
      <w:proofErr w:type="spellStart"/>
      <w:r w:rsidRPr="001E61A8">
        <w:rPr>
          <w:rFonts w:ascii="Times New Roman" w:hAnsi="Times New Roman" w:cs="Times New Roman"/>
          <w:sz w:val="24"/>
          <w:szCs w:val="24"/>
          <w:lang w:val="es-PE"/>
        </w:rPr>
        <w:t>mas</w:t>
      </w:r>
      <w:proofErr w:type="spellEnd"/>
      <w:r w:rsidRPr="001E61A8">
        <w:rPr>
          <w:rFonts w:ascii="Times New Roman" w:hAnsi="Times New Roman" w:cs="Times New Roman"/>
          <w:sz w:val="24"/>
          <w:szCs w:val="24"/>
          <w:lang w:val="es-PE"/>
        </w:rPr>
        <w:t xml:space="preserve"> su declaración inicial ante la policía señalando que el siniestro se produjo mientras el vehículo estaba estacionado, con lo cual regresa a su versión inicial. 4) Que, conforme a lo descrito, se debe señalar que, en el presente caso, se han brindado diferentes versiones sobre la causa y forma del siniestro en distintas oportunidades por el mismo conductor de la unidad, incurriendo la asegurada en versiones inconsistentes que devienen en declaraciones fraudulentas que no permiten tener un cabal conocimiento de las verdaderas causas y circunstancias del siniestro y que ocasionan la pérdida del derecho indemnizatorio. </w:t>
      </w:r>
    </w:p>
    <w:p w14:paraId="608CBEB0" w14:textId="77777777" w:rsidR="001E61A8" w:rsidRP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sz w:val="24"/>
          <w:szCs w:val="24"/>
          <w:lang w:val="es-PE"/>
        </w:rPr>
        <w:t>Que, atendiendo a lo expuesto, esta Defensoría resuelve finalmente lo siguiente:</w:t>
      </w:r>
    </w:p>
    <w:p w14:paraId="127C5F06" w14:textId="77777777" w:rsidR="001E61A8" w:rsidRP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b/>
          <w:sz w:val="24"/>
          <w:szCs w:val="24"/>
          <w:lang w:val="es-PE"/>
        </w:rPr>
        <w:t>PRIMERO:</w:t>
      </w:r>
      <w:r w:rsidRPr="001E61A8">
        <w:rPr>
          <w:rFonts w:ascii="Times New Roman" w:hAnsi="Times New Roman" w:cs="Times New Roman"/>
          <w:sz w:val="24"/>
          <w:szCs w:val="24"/>
          <w:lang w:val="es-PE"/>
        </w:rPr>
        <w:t xml:space="preserve"> Que el artículo 10 (Procedimiento) del Reglamento de la DEFASEG (</w:t>
      </w:r>
      <w:hyperlink r:id="rId8" w:history="1">
        <w:r w:rsidRPr="001E61A8">
          <w:rPr>
            <w:rStyle w:val="Hipervnculo"/>
            <w:rFonts w:ascii="Times New Roman" w:hAnsi="Times New Roman" w:cs="Times New Roman"/>
            <w:sz w:val="24"/>
            <w:szCs w:val="24"/>
            <w:lang w:val="es-PE"/>
          </w:rPr>
          <w:t>http://www.defaseg.com.pe/reglamento</w:t>
        </w:r>
      </w:hyperlink>
      <w:r w:rsidRPr="001E61A8">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DELHEL SAC,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14:paraId="48563109" w14:textId="4CCF5BBF" w:rsidR="001E61A8" w:rsidRP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b/>
          <w:sz w:val="24"/>
          <w:szCs w:val="24"/>
          <w:lang w:val="es-PE"/>
        </w:rPr>
        <w:t>SEGUNDO:</w:t>
      </w:r>
      <w:r w:rsidRPr="001E61A8">
        <w:rPr>
          <w:rFonts w:ascii="Times New Roman" w:hAnsi="Times New Roman" w:cs="Times New Roman"/>
          <w:sz w:val="24"/>
          <w:szCs w:val="24"/>
          <w:lang w:val="es-PE"/>
        </w:rPr>
        <w:t xml:space="preserve"> Que, de la lectura del Recurso Impugnativo interpuesto se aprecia que la asegurada insiste en lo ya expresado con ocasión de presentar su escrito de reclamación, argumentos que ya fueron debidamente analizados en los Considerandos, Sétimo, Octavo y Noveno de la Resolución recurrida, incluyendo en este escrito la declaración de la unidad tercera que causó el accidente. A juicio de este colegiado, en mayoría,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suficiente que permita objetivamente a este colegiado, en mayoría, apreciar que habría incurrido efectivamente en un error o vicio al momento de resolver.</w:t>
      </w:r>
    </w:p>
    <w:p w14:paraId="2DA40787" w14:textId="62E6D6E8" w:rsidR="001E61A8" w:rsidRP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sz w:val="24"/>
          <w:szCs w:val="24"/>
          <w:lang w:val="es-PE"/>
        </w:rPr>
        <w:t>En este sentido, la</w:t>
      </w:r>
      <w:r>
        <w:rPr>
          <w:rFonts w:ascii="Times New Roman" w:hAnsi="Times New Roman" w:cs="Times New Roman"/>
          <w:sz w:val="24"/>
          <w:szCs w:val="24"/>
          <w:lang w:val="es-PE"/>
        </w:rPr>
        <w:t xml:space="preserve"> </w:t>
      </w:r>
      <w:r w:rsidRPr="001E61A8">
        <w:rPr>
          <w:rFonts w:ascii="Times New Roman" w:hAnsi="Times New Roman" w:cs="Times New Roman"/>
          <w:sz w:val="24"/>
          <w:szCs w:val="24"/>
          <w:lang w:val="es-PE"/>
        </w:rPr>
        <w:t xml:space="preserve">declaración del conductor de la unidad tercera causante del accidente, no desvirtúa lo declarado por ambos conductores en la Ocurrencia de Tránsito </w:t>
      </w:r>
      <w:proofErr w:type="spellStart"/>
      <w:r w:rsidRPr="001E61A8">
        <w:rPr>
          <w:rFonts w:ascii="Times New Roman" w:hAnsi="Times New Roman" w:cs="Times New Roman"/>
          <w:sz w:val="24"/>
          <w:szCs w:val="24"/>
          <w:lang w:val="es-PE"/>
        </w:rPr>
        <w:t>N°</w:t>
      </w:r>
      <w:proofErr w:type="spellEnd"/>
      <w:r w:rsidRPr="001E61A8">
        <w:rPr>
          <w:rFonts w:ascii="Times New Roman" w:hAnsi="Times New Roman" w:cs="Times New Roman"/>
          <w:sz w:val="24"/>
          <w:szCs w:val="24"/>
          <w:lang w:val="es-PE"/>
        </w:rPr>
        <w:t xml:space="preserve"> 20 de la Comisaría PNP de Huachipa, la cual indica que el vehículo asegurado al momento del siniestro se encontraba circulando por la calle Los Cedros con dirección al cementerio Mapfre y que según se menciona en la mencionada Ocurrencia Policial, la misma fue firmada por personal PNP, interviniente e intervenidos, en señal de conformidad.</w:t>
      </w:r>
    </w:p>
    <w:p w14:paraId="08C1970B" w14:textId="77777777" w:rsidR="001E61A8" w:rsidRP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sz w:val="24"/>
          <w:szCs w:val="24"/>
          <w:lang w:val="es-PE"/>
        </w:rPr>
        <w:t>Por consiguiente, este colegiado reitera su análisis, en mayoría, contenido en la resolución recurrida, ratificando la vocal que votó en minoría lo expresado en su oportunidad.</w:t>
      </w:r>
    </w:p>
    <w:p w14:paraId="05CC420A" w14:textId="48389A6B" w:rsid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sz w:val="24"/>
          <w:szCs w:val="24"/>
          <w:lang w:val="es-PE"/>
        </w:rPr>
        <w:t xml:space="preserve">En atención a las consideraciones precedentes, este colegiado, en mayoría, no aprecia mérito ni razón objetiva para revocar la resolución recurrida y, por lo tanto </w:t>
      </w:r>
    </w:p>
    <w:p w14:paraId="3E88DDB4" w14:textId="77777777" w:rsidR="000D6C62" w:rsidRPr="001E61A8" w:rsidRDefault="000D6C62" w:rsidP="001E61A8">
      <w:pPr>
        <w:spacing w:line="240" w:lineRule="auto"/>
        <w:jc w:val="both"/>
        <w:rPr>
          <w:rFonts w:ascii="Times New Roman" w:hAnsi="Times New Roman" w:cs="Times New Roman"/>
          <w:sz w:val="24"/>
          <w:szCs w:val="24"/>
          <w:lang w:val="es-PE"/>
        </w:rPr>
      </w:pPr>
    </w:p>
    <w:p w14:paraId="080E203A" w14:textId="77777777" w:rsidR="001E61A8" w:rsidRPr="001E61A8" w:rsidRDefault="001E61A8" w:rsidP="001E61A8">
      <w:pPr>
        <w:spacing w:line="240" w:lineRule="auto"/>
        <w:jc w:val="both"/>
        <w:rPr>
          <w:rFonts w:ascii="Times New Roman" w:hAnsi="Times New Roman" w:cs="Times New Roman"/>
          <w:b/>
          <w:sz w:val="24"/>
          <w:szCs w:val="24"/>
          <w:lang w:val="es-PE"/>
        </w:rPr>
      </w:pPr>
      <w:r w:rsidRPr="001E61A8">
        <w:rPr>
          <w:rFonts w:ascii="Times New Roman" w:hAnsi="Times New Roman" w:cs="Times New Roman"/>
          <w:b/>
          <w:sz w:val="24"/>
          <w:szCs w:val="24"/>
          <w:lang w:val="es-PE"/>
        </w:rPr>
        <w:lastRenderedPageBreak/>
        <w:t xml:space="preserve">RESUELVE: </w:t>
      </w:r>
    </w:p>
    <w:p w14:paraId="20F6F317" w14:textId="65785747" w:rsidR="001E61A8" w:rsidRPr="001E61A8" w:rsidRDefault="001E61A8" w:rsidP="001E61A8">
      <w:pPr>
        <w:spacing w:line="240" w:lineRule="auto"/>
        <w:jc w:val="both"/>
        <w:rPr>
          <w:rFonts w:ascii="Times New Roman" w:hAnsi="Times New Roman" w:cs="Times New Roman"/>
          <w:sz w:val="24"/>
          <w:szCs w:val="24"/>
          <w:lang w:val="es-PE"/>
        </w:rPr>
      </w:pPr>
      <w:r w:rsidRPr="001E61A8">
        <w:rPr>
          <w:rFonts w:ascii="Times New Roman" w:hAnsi="Times New Roman" w:cs="Times New Roman"/>
          <w:sz w:val="24"/>
          <w:szCs w:val="24"/>
          <w:lang w:val="es-PE"/>
        </w:rPr>
        <w:t xml:space="preserve">Declarar </w:t>
      </w:r>
      <w:r w:rsidRPr="001E61A8">
        <w:rPr>
          <w:rFonts w:ascii="Times New Roman" w:hAnsi="Times New Roman" w:cs="Times New Roman"/>
          <w:b/>
          <w:sz w:val="24"/>
          <w:szCs w:val="24"/>
          <w:lang w:val="es-PE"/>
        </w:rPr>
        <w:t>INFUNDADO</w:t>
      </w:r>
      <w:r w:rsidRPr="001E61A8">
        <w:rPr>
          <w:rFonts w:ascii="Times New Roman" w:hAnsi="Times New Roman" w:cs="Times New Roman"/>
          <w:sz w:val="24"/>
          <w:szCs w:val="24"/>
          <w:lang w:val="es-PE"/>
        </w:rPr>
        <w:t xml:space="preserve"> el Recurso Impugnativo interpuesto y, por consiguiente, RATIFICAR la Resolución </w:t>
      </w:r>
      <w:proofErr w:type="spellStart"/>
      <w:r w:rsidRPr="001E61A8">
        <w:rPr>
          <w:rFonts w:ascii="Times New Roman" w:hAnsi="Times New Roman" w:cs="Times New Roman"/>
          <w:sz w:val="24"/>
          <w:szCs w:val="24"/>
          <w:lang w:val="es-PE"/>
        </w:rPr>
        <w:t>N°</w:t>
      </w:r>
      <w:proofErr w:type="spellEnd"/>
      <w:r w:rsidRPr="001E61A8">
        <w:rPr>
          <w:rFonts w:ascii="Times New Roman" w:hAnsi="Times New Roman" w:cs="Times New Roman"/>
          <w:sz w:val="24"/>
          <w:szCs w:val="24"/>
          <w:lang w:val="es-PE"/>
        </w:rPr>
        <w:t xml:space="preserve"> 030/21 que declaró INFUNDADA la reclamación interpuesta por </w:t>
      </w:r>
      <w:r w:rsidR="006A2AAB" w:rsidRPr="006A2AAB">
        <w:rPr>
          <w:lang w:val="es-PE"/>
        </w:rPr>
        <w:t>...................</w:t>
      </w:r>
      <w:r w:rsidRPr="001E61A8">
        <w:rPr>
          <w:rFonts w:ascii="Times New Roman" w:hAnsi="Times New Roman" w:cs="Times New Roman"/>
          <w:sz w:val="24"/>
          <w:szCs w:val="24"/>
          <w:lang w:val="es-PE"/>
        </w:rPr>
        <w:t xml:space="preserve"> SAC, contra </w:t>
      </w:r>
      <w:r w:rsidR="006A2AAB" w:rsidRPr="006A2AAB">
        <w:rPr>
          <w:lang w:val="es-PE"/>
        </w:rPr>
        <w:t>...................</w:t>
      </w:r>
      <w:r w:rsidRPr="001E61A8">
        <w:rPr>
          <w:rFonts w:ascii="Times New Roman" w:hAnsi="Times New Roman" w:cs="Times New Roman"/>
          <w:sz w:val="24"/>
          <w:szCs w:val="24"/>
          <w:lang w:val="es-PE"/>
        </w:rPr>
        <w:t>, dejando a salvo el derecho de la reclamante de acudir a otras instancias que considere pertinentes.</w:t>
      </w:r>
    </w:p>
    <w:p w14:paraId="489525D7" w14:textId="77777777" w:rsidR="005E398E" w:rsidRDefault="005E398E" w:rsidP="005E398E">
      <w:pPr>
        <w:suppressAutoHyphens/>
        <w:spacing w:after="0" w:line="240" w:lineRule="auto"/>
        <w:jc w:val="right"/>
        <w:outlineLvl w:val="0"/>
        <w:rPr>
          <w:rFonts w:ascii="Arial" w:eastAsia="Arial Unicode MS" w:hAnsi="Arial" w:cs="Arial"/>
          <w:bCs/>
          <w:lang w:val="es-PE"/>
        </w:rPr>
      </w:pPr>
    </w:p>
    <w:p w14:paraId="486C3F46" w14:textId="11D1CBA7" w:rsidR="00C671F5" w:rsidRPr="005A4C4E"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1E61A8">
        <w:rPr>
          <w:rFonts w:ascii="Times New Roman" w:eastAsia="Arial Unicode MS" w:hAnsi="Times New Roman" w:cs="Times New Roman"/>
          <w:sz w:val="24"/>
          <w:szCs w:val="24"/>
          <w:lang w:val="es-PE" w:eastAsia="ar-SA"/>
        </w:rPr>
        <w:t>07</w:t>
      </w:r>
      <w:r w:rsidR="005E398E">
        <w:rPr>
          <w:rFonts w:ascii="Times New Roman" w:eastAsia="Arial Unicode MS" w:hAnsi="Times New Roman" w:cs="Times New Roman"/>
          <w:sz w:val="24"/>
          <w:szCs w:val="24"/>
          <w:lang w:val="es-PE" w:eastAsia="ar-SA"/>
        </w:rPr>
        <w:t xml:space="preserve"> </w:t>
      </w:r>
      <w:r w:rsidR="00707C99" w:rsidRPr="005A4C4E">
        <w:rPr>
          <w:rFonts w:ascii="Times New Roman" w:eastAsia="Arial Unicode MS" w:hAnsi="Times New Roman" w:cs="Times New Roman"/>
          <w:sz w:val="24"/>
          <w:szCs w:val="24"/>
          <w:lang w:val="es-PE" w:eastAsia="ar-SA"/>
        </w:rPr>
        <w:t>de</w:t>
      </w:r>
      <w:r w:rsidR="00864B0B">
        <w:rPr>
          <w:rFonts w:ascii="Times New Roman" w:eastAsia="Arial Unicode MS" w:hAnsi="Times New Roman" w:cs="Times New Roman"/>
          <w:sz w:val="24"/>
          <w:szCs w:val="24"/>
          <w:lang w:val="es-PE" w:eastAsia="ar-SA"/>
        </w:rPr>
        <w:t xml:space="preserve"> </w:t>
      </w:r>
      <w:r w:rsidR="001E61A8">
        <w:rPr>
          <w:rFonts w:ascii="Times New Roman" w:eastAsia="Arial Unicode MS" w:hAnsi="Times New Roman" w:cs="Times New Roman"/>
          <w:sz w:val="24"/>
          <w:szCs w:val="24"/>
          <w:lang w:val="es-PE" w:eastAsia="ar-SA"/>
        </w:rPr>
        <w:t>mayo</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2B9BAAC8" w14:textId="77777777" w:rsidR="00231C58" w:rsidRPr="005A4C4E"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4A374A">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4A374A">
      <w:pPr>
        <w:spacing w:after="0" w:line="240" w:lineRule="auto"/>
        <w:jc w:val="both"/>
        <w:rPr>
          <w:rFonts w:ascii="Times New Roman" w:hAnsi="Times New Roman" w:cs="Times New Roman"/>
          <w:b/>
          <w:bCs/>
          <w:i/>
          <w:iCs/>
          <w:sz w:val="24"/>
          <w:szCs w:val="24"/>
          <w:lang w:val="es-PE"/>
        </w:rPr>
      </w:pPr>
    </w:p>
    <w:p w14:paraId="55E7D9D7" w14:textId="65D15E8D" w:rsidR="00C671F5" w:rsidRDefault="00C671F5"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Marco Antonio Ortega Piana – </w:t>
      </w:r>
      <w:proofErr w:type="gramStart"/>
      <w:r w:rsidR="001E61A8" w:rsidRPr="005A4C4E">
        <w:rPr>
          <w:rFonts w:ascii="Times New Roman" w:hAnsi="Times New Roman" w:cs="Times New Roman"/>
          <w:b/>
          <w:bCs/>
          <w:sz w:val="24"/>
          <w:szCs w:val="24"/>
          <w:lang w:val="es-PE"/>
        </w:rPr>
        <w:t>Presidente</w:t>
      </w:r>
      <w:proofErr w:type="gramEnd"/>
    </w:p>
    <w:p w14:paraId="51264286" w14:textId="6A736E43" w:rsidR="001E61A8" w:rsidRPr="005A4C4E" w:rsidRDefault="001E61A8" w:rsidP="001E61A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María Eugenia Valdez Fernández Baca – Vocal</w:t>
      </w:r>
    </w:p>
    <w:p w14:paraId="3006BA35" w14:textId="7871895F" w:rsidR="00292018" w:rsidRPr="005A4C4E" w:rsidRDefault="00292018" w:rsidP="004A374A">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4A374A">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4A374A">
      <w:pPr>
        <w:spacing w:line="240" w:lineRule="auto"/>
        <w:rPr>
          <w:rFonts w:ascii="Times New Roman" w:eastAsia="Arial Unicode MS" w:hAnsi="Times New Roman" w:cs="Times New Roman"/>
          <w:sz w:val="24"/>
          <w:szCs w:val="24"/>
          <w:lang w:val="es-PE" w:eastAsia="ar-SA"/>
        </w:rPr>
      </w:pPr>
    </w:p>
    <w:sectPr w:rsidR="00C671F5" w:rsidRPr="005A4C4E"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C1B89D" w14:textId="77777777" w:rsidR="000D4F9E" w:rsidRDefault="000D4F9E" w:rsidP="00784355">
      <w:pPr>
        <w:spacing w:after="0" w:line="240" w:lineRule="auto"/>
      </w:pPr>
      <w:r>
        <w:separator/>
      </w:r>
    </w:p>
  </w:endnote>
  <w:endnote w:type="continuationSeparator" w:id="0">
    <w:p w14:paraId="4F26CB9A" w14:textId="77777777" w:rsidR="000D4F9E" w:rsidRDefault="000D4F9E"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1EC56" w14:textId="77777777" w:rsidR="000D4F9E" w:rsidRDefault="000D4F9E" w:rsidP="00784355">
      <w:pPr>
        <w:spacing w:after="0" w:line="240" w:lineRule="auto"/>
      </w:pPr>
      <w:r>
        <w:separator/>
      </w:r>
    </w:p>
  </w:footnote>
  <w:footnote w:type="continuationSeparator" w:id="0">
    <w:p w14:paraId="0E5AB970" w14:textId="77777777" w:rsidR="000D4F9E" w:rsidRDefault="000D4F9E"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4492D"/>
    <w:rsid w:val="00053D16"/>
    <w:rsid w:val="00056D9F"/>
    <w:rsid w:val="00062040"/>
    <w:rsid w:val="00063183"/>
    <w:rsid w:val="0006548C"/>
    <w:rsid w:val="000660C1"/>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D4F9E"/>
    <w:rsid w:val="000D6C62"/>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1E61A8"/>
    <w:rsid w:val="00201C0D"/>
    <w:rsid w:val="00203EF7"/>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2F3B75"/>
    <w:rsid w:val="003045E3"/>
    <w:rsid w:val="00310DD6"/>
    <w:rsid w:val="00313D12"/>
    <w:rsid w:val="0032132E"/>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A2AAB"/>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041"/>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465D73F5-9D67-4364-B51C-09FDA8C51DF8}"/>
</file>

<file path=customXml/itemProps3.xml><?xml version="1.0" encoding="utf-8"?>
<ds:datastoreItem xmlns:ds="http://schemas.openxmlformats.org/officeDocument/2006/customXml" ds:itemID="{F1763E32-7289-4BCA-9534-CC406DB1D445}"/>
</file>

<file path=customXml/itemProps4.xml><?xml version="1.0" encoding="utf-8"?>
<ds:datastoreItem xmlns:ds="http://schemas.openxmlformats.org/officeDocument/2006/customXml" ds:itemID="{A1E28583-FB34-4587-A037-CC0DA0D10869}"/>
</file>

<file path=docProps/app.xml><?xml version="1.0" encoding="utf-8"?>
<Properties xmlns="http://schemas.openxmlformats.org/officeDocument/2006/extended-properties" xmlns:vt="http://schemas.openxmlformats.org/officeDocument/2006/docPropsVTypes">
  <Template>Normal</Template>
  <TotalTime>232</TotalTime>
  <Pages>3</Pages>
  <Words>1241</Words>
  <Characters>6827</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62</cp:revision>
  <cp:lastPrinted>2021-04-30T14:18:00Z</cp:lastPrinted>
  <dcterms:created xsi:type="dcterms:W3CDTF">2020-12-18T20:17:00Z</dcterms:created>
  <dcterms:modified xsi:type="dcterms:W3CDTF">2022-02-16T15:31:00Z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