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3F293DF7" w:rsidR="00707C99" w:rsidRPr="006D2EE1" w:rsidRDefault="00201C0D" w:rsidP="00F626D4">
      <w:pPr>
        <w:pStyle w:val="Ttulo2"/>
        <w:jc w:val="center"/>
        <w:rPr>
          <w:rFonts w:ascii="Times New Roman" w:hAnsi="Times New Roman" w:cs="Times New Roman"/>
          <w:b/>
          <w:bCs/>
          <w:sz w:val="24"/>
          <w:szCs w:val="24"/>
          <w:lang w:val="es-PE" w:eastAsia="ar-SA"/>
        </w:rPr>
      </w:pPr>
      <w:r w:rsidRPr="006D2EE1">
        <w:rPr>
          <w:rFonts w:ascii="Times New Roman" w:hAnsi="Times New Roman" w:cs="Times New Roman"/>
          <w:b/>
          <w:bCs/>
          <w:color w:val="auto"/>
          <w:sz w:val="24"/>
          <w:szCs w:val="24"/>
          <w:lang w:val="es-PE" w:eastAsia="ar-SA"/>
        </w:rPr>
        <w:t xml:space="preserve">RESOLUCIÓN DE RECURSO IMPUGNATIVO </w:t>
      </w:r>
      <w:proofErr w:type="spellStart"/>
      <w:r w:rsidR="00707C99" w:rsidRPr="006D2EE1">
        <w:rPr>
          <w:rFonts w:ascii="Times New Roman" w:hAnsi="Times New Roman" w:cs="Times New Roman"/>
          <w:b/>
          <w:bCs/>
          <w:color w:val="auto"/>
          <w:sz w:val="24"/>
          <w:szCs w:val="24"/>
          <w:lang w:val="es-PE" w:eastAsia="ar-SA"/>
        </w:rPr>
        <w:t>N°</w:t>
      </w:r>
      <w:proofErr w:type="spellEnd"/>
      <w:r w:rsidR="00707C99" w:rsidRPr="006D2EE1">
        <w:rPr>
          <w:rFonts w:ascii="Times New Roman" w:hAnsi="Times New Roman" w:cs="Times New Roman"/>
          <w:b/>
          <w:bCs/>
          <w:color w:val="auto"/>
          <w:sz w:val="24"/>
          <w:szCs w:val="24"/>
          <w:lang w:val="es-PE" w:eastAsia="ar-SA"/>
        </w:rPr>
        <w:t xml:space="preserve"> </w:t>
      </w:r>
      <w:r w:rsidR="00C671F5" w:rsidRPr="006D2EE1">
        <w:rPr>
          <w:rFonts w:ascii="Times New Roman" w:hAnsi="Times New Roman" w:cs="Times New Roman"/>
          <w:b/>
          <w:bCs/>
          <w:color w:val="auto"/>
          <w:sz w:val="24"/>
          <w:szCs w:val="24"/>
          <w:lang w:val="es-PE" w:eastAsia="ar-SA"/>
        </w:rPr>
        <w:t>0</w:t>
      </w:r>
      <w:r w:rsidR="004A374A" w:rsidRPr="006D2EE1">
        <w:rPr>
          <w:rFonts w:ascii="Times New Roman" w:hAnsi="Times New Roman" w:cs="Times New Roman"/>
          <w:b/>
          <w:bCs/>
          <w:color w:val="auto"/>
          <w:sz w:val="24"/>
          <w:szCs w:val="24"/>
          <w:lang w:val="es-PE" w:eastAsia="ar-SA"/>
        </w:rPr>
        <w:t>3</w:t>
      </w:r>
      <w:r w:rsidR="006D2EE1" w:rsidRPr="006D2EE1">
        <w:rPr>
          <w:rFonts w:ascii="Times New Roman" w:hAnsi="Times New Roman" w:cs="Times New Roman"/>
          <w:b/>
          <w:bCs/>
          <w:color w:val="auto"/>
          <w:sz w:val="24"/>
          <w:szCs w:val="24"/>
          <w:lang w:val="es-PE" w:eastAsia="ar-SA"/>
        </w:rPr>
        <w:t>3</w:t>
      </w:r>
      <w:r w:rsidR="001E61A8" w:rsidRPr="006D2EE1">
        <w:rPr>
          <w:rFonts w:ascii="Times New Roman" w:hAnsi="Times New Roman" w:cs="Times New Roman"/>
          <w:b/>
          <w:bCs/>
          <w:color w:val="auto"/>
          <w:sz w:val="24"/>
          <w:szCs w:val="24"/>
          <w:lang w:val="es-PE" w:eastAsia="ar-SA"/>
        </w:rPr>
        <w:t>/</w:t>
      </w:r>
      <w:r w:rsidR="00C671F5" w:rsidRPr="006D2EE1">
        <w:rPr>
          <w:rFonts w:ascii="Times New Roman" w:hAnsi="Times New Roman" w:cs="Times New Roman"/>
          <w:b/>
          <w:bCs/>
          <w:color w:val="auto"/>
          <w:sz w:val="24"/>
          <w:szCs w:val="24"/>
          <w:lang w:val="es-PE" w:eastAsia="ar-SA"/>
        </w:rPr>
        <w:t>2</w:t>
      </w:r>
      <w:r w:rsidR="00231C58" w:rsidRPr="006D2EE1">
        <w:rPr>
          <w:rFonts w:ascii="Times New Roman" w:hAnsi="Times New Roman" w:cs="Times New Roman"/>
          <w:b/>
          <w:bCs/>
          <w:color w:val="auto"/>
          <w:sz w:val="24"/>
          <w:szCs w:val="24"/>
          <w:lang w:val="es-PE" w:eastAsia="ar-SA"/>
        </w:rPr>
        <w:t>1</w:t>
      </w:r>
    </w:p>
    <w:p w14:paraId="428240E5" w14:textId="06F06948" w:rsidR="00707C99" w:rsidRPr="006D2EE1" w:rsidRDefault="00707C99" w:rsidP="00072C60">
      <w:pPr>
        <w:suppressAutoHyphens/>
        <w:spacing w:after="0" w:line="240" w:lineRule="auto"/>
        <w:jc w:val="both"/>
        <w:rPr>
          <w:rFonts w:ascii="Times New Roman" w:eastAsia="Times New Roman" w:hAnsi="Times New Roman" w:cs="Times New Roman"/>
          <w:b/>
          <w:bCs/>
          <w:color w:val="000000" w:themeColor="text1"/>
          <w:sz w:val="24"/>
          <w:szCs w:val="24"/>
          <w:lang w:val="es-PE" w:eastAsia="ar-SA"/>
        </w:rPr>
      </w:pPr>
    </w:p>
    <w:p w14:paraId="33F78882" w14:textId="77777777" w:rsidR="006D2EE1" w:rsidRPr="006D2EE1" w:rsidRDefault="006D2EE1" w:rsidP="006D2EE1">
      <w:pPr>
        <w:jc w:val="both"/>
        <w:outlineLvl w:val="0"/>
        <w:rPr>
          <w:rFonts w:ascii="Times New Roman" w:hAnsi="Times New Roman" w:cs="Times New Roman"/>
          <w:b/>
          <w:bCs/>
          <w:sz w:val="24"/>
          <w:szCs w:val="24"/>
          <w:lang w:val="es-MX"/>
        </w:rPr>
      </w:pPr>
      <w:r w:rsidRPr="006D2EE1">
        <w:rPr>
          <w:rFonts w:ascii="Times New Roman" w:hAnsi="Times New Roman" w:cs="Times New Roman"/>
          <w:b/>
          <w:bCs/>
          <w:sz w:val="24"/>
          <w:szCs w:val="24"/>
          <w:lang w:val="es-MX"/>
        </w:rPr>
        <w:t>VISTOS:</w:t>
      </w:r>
    </w:p>
    <w:p w14:paraId="44DDE17D" w14:textId="6CB80EF9" w:rsidR="006D2EE1" w:rsidRPr="006D2EE1" w:rsidRDefault="006D2EE1" w:rsidP="006D2EE1">
      <w:pPr>
        <w:jc w:val="both"/>
        <w:rPr>
          <w:rFonts w:ascii="Times New Roman" w:hAnsi="Times New Roman" w:cs="Times New Roman"/>
          <w:sz w:val="24"/>
          <w:szCs w:val="24"/>
          <w:lang w:val="es-ES"/>
        </w:rPr>
      </w:pPr>
      <w:r w:rsidRPr="006D2EE1">
        <w:rPr>
          <w:rFonts w:ascii="Times New Roman" w:hAnsi="Times New Roman" w:cs="Times New Roman"/>
          <w:sz w:val="24"/>
          <w:szCs w:val="24"/>
          <w:lang w:val="es-PE"/>
        </w:rPr>
        <w:t xml:space="preserve">El recurso de impugnación presentado por </w:t>
      </w:r>
      <w:r w:rsidR="00165D98" w:rsidRPr="006A2AAB">
        <w:rPr>
          <w:lang w:val="es-PE"/>
        </w:rPr>
        <w:t>..................</w:t>
      </w:r>
      <w:r w:rsidR="00165D98">
        <w:rPr>
          <w:lang w:val="es-PE"/>
        </w:rPr>
        <w:t xml:space="preserve"> </w:t>
      </w:r>
      <w:r w:rsidRPr="006D2EE1">
        <w:rPr>
          <w:rFonts w:ascii="Times New Roman" w:hAnsi="Times New Roman" w:cs="Times New Roman"/>
          <w:sz w:val="24"/>
          <w:szCs w:val="24"/>
          <w:lang w:val="es-PE"/>
        </w:rPr>
        <w:t xml:space="preserve">respecto de la Resolución Nro. 037/21, expedida por esta Defensoría del Asegurado (DEFASEG), conforme a la cual se declaró INFUNDADA la reclamación interpuesta por el contrario </w:t>
      </w:r>
      <w:r w:rsidR="00165D98" w:rsidRPr="006A2AAB">
        <w:rPr>
          <w:lang w:val="es-PE"/>
        </w:rPr>
        <w:t>..................</w:t>
      </w:r>
      <w:r w:rsidRPr="006D2EE1">
        <w:rPr>
          <w:rFonts w:ascii="Times New Roman" w:hAnsi="Times New Roman" w:cs="Times New Roman"/>
          <w:sz w:val="24"/>
          <w:szCs w:val="24"/>
          <w:lang w:val="es-PE"/>
        </w:rPr>
        <w:t>;</w:t>
      </w:r>
    </w:p>
    <w:p w14:paraId="66ACAB29" w14:textId="77777777" w:rsidR="006D2EE1" w:rsidRPr="006D2EE1" w:rsidRDefault="006D2EE1" w:rsidP="006D2EE1">
      <w:pPr>
        <w:pStyle w:val="Textoindependiente"/>
        <w:rPr>
          <w:lang w:val="es-PE" w:eastAsia="es-PE"/>
        </w:rPr>
      </w:pPr>
      <w:r w:rsidRPr="006D2EE1">
        <w:t xml:space="preserve">Que, el indicado recurso se sustenta resumidamente en lo siguiente: (1) el reclamante no encuentra conforme ni arreglada a derecho la resolución impugnada; (2) incurre en error de hecho y derecho al </w:t>
      </w:r>
      <w:r w:rsidRPr="006D2EE1">
        <w:rPr>
          <w:lang w:val="es-PE" w:eastAsia="es-PE"/>
        </w:rPr>
        <w:t xml:space="preserve">sostener que la asegurada no mantenía vínculo laboral con el Ejército Peruano y por lo tanto, la edad máxima de permanencia para ella era de 65 años y no de 70, por lo que La Póliza no se encontraba vigente al momento de su fallecimiento, interpretando la condición de cesante, desde el punto vista de su naturaleza propia y no desde los alcances de dicha condición para la contratación de La Póliza, dejando de aplicar dispositivos legales vigentes de la Ley </w:t>
      </w:r>
      <w:proofErr w:type="spellStart"/>
      <w:r w:rsidRPr="006D2EE1">
        <w:rPr>
          <w:lang w:val="es-PE" w:eastAsia="es-PE"/>
        </w:rPr>
        <w:t>N°</w:t>
      </w:r>
      <w:proofErr w:type="spellEnd"/>
      <w:r w:rsidRPr="006D2EE1">
        <w:rPr>
          <w:lang w:val="es-PE" w:eastAsia="es-PE"/>
        </w:rPr>
        <w:t xml:space="preserve"> 29946 Ley del Contrato de Seguros, referidas específicamente a que las estipulaciones insertas en la póliza se interpretan, en caso de duda, a favor del asegurado; (3) la única condición para que una persona se asegure bajo esa modalidad de seguro, es que goce de buena salud y que se encuentren en servicio activo, sin hacer ninguna mención expresa de quienes se encuentren en servicio activo, debiendo entenderse dicha expresión, para efectos de La Póliza, el vínculo que el asegurado debía mantener con la institución (Ejército Peruano) toda vez que la misma se suscribió en mérito a un convenio que la mencionada institución suscribió con la aseguradora para brindar el servicio de seguros para sus miembros y familiares; (4) tampoco se puede verificar que se haya indicado un tratamiento especial para los cónyuges de los integrantes del Ejército Peruano, en caso pretendan tomar el seguro o que solo pueden tomar dicho seguro éstos últimos, por lo que deberá entenderse el vínculo laboral para efectos de la contratación de La Póliza, el vínculo que unía a la asegurada con el Ejército Peruano en su condición de cesante por viudez, más aún cuando para efectos de La Póliza, los cesantes del Ejército Peruano mantenían vínculo laboral con ésta y no que dicha condición no le vinculaba laboralmente con dicha institución; (5) la condición de cesante del Ejército Peruano de la asegurada, ha sido de pleno conocimiento de la aseguradora, desde el principio de la relación contractual, por lo que mal podría argüirse que no existía vínculo laboral entre la asegurada y el Ejército Peruano, máxime si dicho vínculo puede concluir en cualquier momento; (6) se incurre en error de hecho al concluir que cesó la vigencia de La Póliza al haber cumplido la asegurada los 65 años de edad amparándose en lo señalado en la última parte del inciso b) del artículo 6º, cuando esta es aplicable en caso haya culminado el vínculo laboral de La Asegurada con la entidad de la que forma parte, y que para efectos de la póliza debe considerarse la situación de pensionista de la asegurada, como vínculo laboral con el Ejército Peruano, al no haber disposición expresa que diga lo contrario, pues en esa condición se inició el vínculo contractual con la aseguradora y esta no realiza acto alguno posterior al cumplimiento de los 65 años por parte de la asegurada que indique que había concluido el vínculo laboral de asegurada, por el contrario siguió cobrando la prima, demostrando con los actos propios de la contratante que la Póliza continuaba vigente en los términos señalados en la misma.; (7) considera que los términos del contrato generan ambigüedad y duda respecto de que se debe entender por vínculo laboral, por lo que éstos debieron ser interpretados en el sentido con el alcance más favorable al asegurada, tal como se señala en el acápite D de Artículo 11, concordante con la regla tercera del Artículo IV de la Ley </w:t>
      </w:r>
      <w:proofErr w:type="spellStart"/>
      <w:r w:rsidRPr="006D2EE1">
        <w:rPr>
          <w:lang w:val="es-PE" w:eastAsia="es-PE"/>
        </w:rPr>
        <w:t>Nº</w:t>
      </w:r>
      <w:proofErr w:type="spellEnd"/>
      <w:r w:rsidRPr="006D2EE1">
        <w:rPr>
          <w:lang w:val="es-PE" w:eastAsia="es-PE"/>
        </w:rPr>
        <w:t xml:space="preserve"> 29946 Ley del Contrato de Seguros.</w:t>
      </w:r>
    </w:p>
    <w:p w14:paraId="092F3291" w14:textId="77777777" w:rsidR="006D2EE1" w:rsidRPr="006D2EE1" w:rsidRDefault="006D2EE1" w:rsidP="006D2EE1">
      <w:pPr>
        <w:pStyle w:val="Textoindependiente"/>
        <w:rPr>
          <w:lang w:val="es-PE" w:eastAsia="es-PE"/>
        </w:rPr>
      </w:pPr>
    </w:p>
    <w:p w14:paraId="72B3A303" w14:textId="77777777" w:rsidR="006D2EE1" w:rsidRPr="006D2EE1" w:rsidRDefault="006D2EE1" w:rsidP="006D2EE1">
      <w:pPr>
        <w:pStyle w:val="Textoindependiente"/>
      </w:pPr>
      <w:r w:rsidRPr="006D2EE1">
        <w:t xml:space="preserve">Que, la aseguradora no absolvió el traslado del recurso interpuesto. </w:t>
      </w:r>
    </w:p>
    <w:p w14:paraId="7081AF16" w14:textId="77777777" w:rsidR="006D2EE1" w:rsidRPr="006D2EE1" w:rsidRDefault="006D2EE1" w:rsidP="006D2EE1">
      <w:pPr>
        <w:pStyle w:val="Textoindependiente"/>
      </w:pPr>
    </w:p>
    <w:p w14:paraId="3A26C8B7" w14:textId="77777777" w:rsidR="006D2EE1" w:rsidRPr="006D2EE1" w:rsidRDefault="006D2EE1" w:rsidP="006D2EE1">
      <w:pPr>
        <w:pStyle w:val="Textoindependiente"/>
        <w:tabs>
          <w:tab w:val="left" w:pos="930"/>
        </w:tabs>
      </w:pPr>
      <w:r w:rsidRPr="006D2EE1">
        <w:t>Que, atendiendo a lo expuesto, esta Defensoría resuelve finalmente lo siguiente:</w:t>
      </w:r>
    </w:p>
    <w:p w14:paraId="7CEEF9B5" w14:textId="77777777" w:rsidR="006D2EE1" w:rsidRPr="006D2EE1" w:rsidRDefault="006D2EE1" w:rsidP="006D2EE1">
      <w:pPr>
        <w:jc w:val="both"/>
        <w:rPr>
          <w:rFonts w:ascii="Times New Roman" w:hAnsi="Times New Roman" w:cs="Times New Roman"/>
          <w:b/>
          <w:sz w:val="24"/>
          <w:szCs w:val="24"/>
          <w:u w:val="single"/>
          <w:lang w:val="es-PE"/>
        </w:rPr>
      </w:pPr>
    </w:p>
    <w:p w14:paraId="76EE7DCD" w14:textId="77777777" w:rsidR="006D2EE1" w:rsidRPr="006D2EE1" w:rsidRDefault="006D2EE1" w:rsidP="006D2EE1">
      <w:pPr>
        <w:jc w:val="both"/>
        <w:rPr>
          <w:rFonts w:ascii="Times New Roman" w:hAnsi="Times New Roman" w:cs="Times New Roman"/>
          <w:sz w:val="24"/>
          <w:szCs w:val="24"/>
          <w:lang w:val="es-PE"/>
        </w:rPr>
      </w:pPr>
      <w:r w:rsidRPr="006D2EE1">
        <w:rPr>
          <w:rFonts w:ascii="Times New Roman" w:hAnsi="Times New Roman" w:cs="Times New Roman"/>
          <w:b/>
          <w:sz w:val="24"/>
          <w:szCs w:val="24"/>
          <w:u w:val="single"/>
          <w:lang w:val="es-PE"/>
        </w:rPr>
        <w:t>PRIMERO</w:t>
      </w:r>
      <w:r w:rsidRPr="006D2EE1">
        <w:rPr>
          <w:rFonts w:ascii="Times New Roman" w:hAnsi="Times New Roman" w:cs="Times New Roman"/>
          <w:b/>
          <w:sz w:val="24"/>
          <w:szCs w:val="24"/>
          <w:lang w:val="es-PE"/>
        </w:rPr>
        <w:t>:</w:t>
      </w:r>
      <w:r w:rsidRPr="006D2EE1">
        <w:rPr>
          <w:rFonts w:ascii="Times New Roman" w:hAnsi="Times New Roman" w:cs="Times New Roman"/>
          <w:sz w:val="24"/>
          <w:szCs w:val="24"/>
          <w:lang w:val="es-PE"/>
        </w:rPr>
        <w:t xml:space="preserve"> El artículo 10 (Procedimiento) del Reglamento de la DEFASEG </w:t>
      </w:r>
      <w:r w:rsidRPr="006D2EE1">
        <w:rPr>
          <w:rFonts w:ascii="Times New Roman" w:eastAsia="Arial Unicode MS" w:hAnsi="Times New Roman" w:cs="Times New Roman"/>
          <w:sz w:val="24"/>
          <w:szCs w:val="24"/>
          <w:lang w:val="es-PE"/>
        </w:rPr>
        <w:t>(http://www.defaseg.com.pe/reglamento)</w:t>
      </w:r>
      <w:r w:rsidRPr="006D2EE1">
        <w:rPr>
          <w:rFonts w:ascii="Times New Roman" w:hAnsi="Times New Roman" w:cs="Times New Roman"/>
          <w:sz w:val="24"/>
          <w:szCs w:val="24"/>
          <w:lang w:val="es-PE"/>
        </w:rPr>
        <w:t xml:space="preserve"> establece que cualquiera de las partes que no se encuentre de acuerdo con la decisión adoptada sobre la materia reclamada, podrá impugnarla, interponiendo el correspondiente recurso de impugnación.  </w:t>
      </w:r>
    </w:p>
    <w:p w14:paraId="2BF351D7" w14:textId="77777777" w:rsidR="006D2EE1" w:rsidRPr="006D2EE1" w:rsidRDefault="006D2EE1" w:rsidP="006D2EE1">
      <w:pPr>
        <w:jc w:val="both"/>
        <w:rPr>
          <w:rFonts w:ascii="Times New Roman" w:hAnsi="Times New Roman" w:cs="Times New Roman"/>
          <w:sz w:val="24"/>
          <w:szCs w:val="24"/>
          <w:lang w:val="es-PE"/>
        </w:rPr>
      </w:pPr>
      <w:r w:rsidRPr="006D2EE1">
        <w:rPr>
          <w:rFonts w:ascii="Times New Roman" w:hAnsi="Times New Roman" w:cs="Times New Roman"/>
          <w:sz w:val="24"/>
          <w:szCs w:val="24"/>
          <w:lang w:val="es-PE"/>
        </w:rPr>
        <w:t>Conforme a ello, en el caso concreto, al interponer el recurso de impugnación el reclamante ha ejercido formalmente su derecho a contradecir lo resuelto por esta Defensoría.</w:t>
      </w:r>
    </w:p>
    <w:p w14:paraId="3CE592FF" w14:textId="77777777" w:rsidR="006D2EE1" w:rsidRPr="006D2EE1" w:rsidRDefault="006D2EE1" w:rsidP="006D2EE1">
      <w:pPr>
        <w:jc w:val="both"/>
        <w:rPr>
          <w:rFonts w:ascii="Times New Roman" w:hAnsi="Times New Roman" w:cs="Times New Roman"/>
          <w:sz w:val="24"/>
          <w:szCs w:val="24"/>
          <w:lang w:val="es-ES"/>
        </w:rPr>
      </w:pPr>
      <w:r w:rsidRPr="006D2EE1">
        <w:rPr>
          <w:rFonts w:ascii="Times New Roman" w:hAnsi="Times New Roman" w:cs="Times New Roman"/>
          <w:b/>
          <w:bCs/>
          <w:sz w:val="24"/>
          <w:szCs w:val="24"/>
          <w:u w:val="single"/>
          <w:lang w:val="es-PE"/>
        </w:rPr>
        <w:t>SEGUNDO</w:t>
      </w:r>
      <w:r w:rsidRPr="006D2EE1">
        <w:rPr>
          <w:rFonts w:ascii="Times New Roman" w:hAnsi="Times New Roman" w:cs="Times New Roman"/>
          <w:b/>
          <w:bCs/>
          <w:sz w:val="24"/>
          <w:szCs w:val="24"/>
          <w:lang w:val="es-PE"/>
        </w:rPr>
        <w:t>:</w:t>
      </w:r>
      <w:r w:rsidRPr="006D2EE1">
        <w:rPr>
          <w:rFonts w:ascii="Times New Roman" w:hAnsi="Times New Roman" w:cs="Times New Roman"/>
          <w:bCs/>
          <w:sz w:val="24"/>
          <w:szCs w:val="24"/>
          <w:lang w:val="es-PE"/>
        </w:rPr>
        <w:t xml:space="preserve"> Que el recurso de impugnación presentado por el asegurado no se sustenta en nueva prueba sino en discrepar </w:t>
      </w:r>
      <w:proofErr w:type="gramStart"/>
      <w:r w:rsidRPr="006D2EE1">
        <w:rPr>
          <w:rFonts w:ascii="Times New Roman" w:hAnsi="Times New Roman" w:cs="Times New Roman"/>
          <w:bCs/>
          <w:sz w:val="24"/>
          <w:szCs w:val="24"/>
          <w:lang w:val="es-PE"/>
        </w:rPr>
        <w:t>con</w:t>
      </w:r>
      <w:proofErr w:type="gramEnd"/>
      <w:r w:rsidRPr="006D2EE1">
        <w:rPr>
          <w:rFonts w:ascii="Times New Roman" w:hAnsi="Times New Roman" w:cs="Times New Roman"/>
          <w:sz w:val="24"/>
          <w:szCs w:val="24"/>
          <w:lang w:val="es-PE"/>
        </w:rPr>
        <w:t xml:space="preserve"> la interpretación respecto al extremo referido a que no estuvo vigente la Póliza </w:t>
      </w:r>
      <w:proofErr w:type="spellStart"/>
      <w:r w:rsidRPr="006D2EE1">
        <w:rPr>
          <w:rFonts w:ascii="Times New Roman" w:hAnsi="Times New Roman" w:cs="Times New Roman"/>
          <w:sz w:val="24"/>
          <w:szCs w:val="24"/>
          <w:lang w:val="es-PE"/>
        </w:rPr>
        <w:t>N°</w:t>
      </w:r>
      <w:proofErr w:type="spellEnd"/>
      <w:r w:rsidRPr="006D2EE1">
        <w:rPr>
          <w:rFonts w:ascii="Times New Roman" w:hAnsi="Times New Roman" w:cs="Times New Roman"/>
          <w:sz w:val="24"/>
          <w:szCs w:val="24"/>
          <w:lang w:val="es-PE"/>
        </w:rPr>
        <w:t xml:space="preserve"> 0205 V-72546 al momento de ocurrencia del lamentable fallecimiento de la madre del reclamante.</w:t>
      </w:r>
    </w:p>
    <w:p w14:paraId="48D111A0" w14:textId="77777777" w:rsidR="006D2EE1" w:rsidRPr="006D2EE1" w:rsidRDefault="006D2EE1" w:rsidP="006D2EE1">
      <w:pPr>
        <w:tabs>
          <w:tab w:val="left" w:pos="2160"/>
        </w:tabs>
        <w:jc w:val="both"/>
        <w:rPr>
          <w:rFonts w:ascii="Times New Roman" w:hAnsi="Times New Roman" w:cs="Times New Roman"/>
          <w:sz w:val="24"/>
          <w:szCs w:val="24"/>
          <w:lang w:val="es-PE"/>
        </w:rPr>
      </w:pPr>
      <w:r w:rsidRPr="006D2EE1">
        <w:rPr>
          <w:rFonts w:ascii="Times New Roman" w:hAnsi="Times New Roman" w:cs="Times New Roman"/>
          <w:sz w:val="24"/>
          <w:szCs w:val="24"/>
          <w:lang w:val="es-PE"/>
        </w:rPr>
        <w:t>Sobre el particular, este Colegiado reitera que, tal como se precisa en el considerando séptimo de la resolución impugnada,</w:t>
      </w:r>
      <w:r w:rsidRPr="006D2EE1">
        <w:rPr>
          <w:rFonts w:ascii="Times New Roman" w:hAnsi="Times New Roman" w:cs="Times New Roman"/>
          <w:sz w:val="24"/>
          <w:szCs w:val="24"/>
          <w:lang w:val="es-PE" w:eastAsia="es-ES"/>
        </w:rPr>
        <w:t xml:space="preserve"> </w:t>
      </w:r>
      <w:r w:rsidRPr="006D2EE1">
        <w:rPr>
          <w:rFonts w:ascii="Times New Roman" w:hAnsi="Times New Roman" w:cs="Times New Roman"/>
          <w:sz w:val="24"/>
          <w:szCs w:val="24"/>
          <w:lang w:val="es-PE"/>
        </w:rPr>
        <w:t>el límite de permanencia es de 70 años para los asegurados que mantienen vínculo laboral con su centro de trabajo, mientras que, si ha cesado ese vínculo laboral, la edad límite de permanencia se reduce hasta los 65 años.</w:t>
      </w:r>
    </w:p>
    <w:p w14:paraId="2504E4FB" w14:textId="77777777" w:rsidR="006D2EE1" w:rsidRPr="006D2EE1" w:rsidRDefault="006D2EE1" w:rsidP="006D2EE1">
      <w:pPr>
        <w:tabs>
          <w:tab w:val="left" w:pos="2160"/>
        </w:tabs>
        <w:jc w:val="both"/>
        <w:rPr>
          <w:rFonts w:ascii="Times New Roman" w:hAnsi="Times New Roman" w:cs="Times New Roman"/>
          <w:sz w:val="24"/>
          <w:szCs w:val="24"/>
          <w:lang w:val="es-PE"/>
        </w:rPr>
      </w:pPr>
      <w:r w:rsidRPr="006D2EE1">
        <w:rPr>
          <w:rFonts w:ascii="Times New Roman" w:hAnsi="Times New Roman" w:cs="Times New Roman"/>
          <w:sz w:val="24"/>
          <w:szCs w:val="24"/>
          <w:lang w:val="es-PE"/>
        </w:rPr>
        <w:t xml:space="preserve">Expresamente dicho pacto contractual consta en el artículo 6 de las condiciones generales de la póliza. </w:t>
      </w:r>
    </w:p>
    <w:p w14:paraId="3F75022D" w14:textId="77777777" w:rsidR="006D2EE1" w:rsidRPr="006D2EE1" w:rsidRDefault="006D2EE1" w:rsidP="006D2EE1">
      <w:pPr>
        <w:tabs>
          <w:tab w:val="left" w:pos="2160"/>
        </w:tabs>
        <w:jc w:val="both"/>
        <w:rPr>
          <w:rFonts w:ascii="Times New Roman" w:hAnsi="Times New Roman" w:cs="Times New Roman"/>
          <w:sz w:val="24"/>
          <w:szCs w:val="24"/>
          <w:lang w:val="es-MX"/>
        </w:rPr>
      </w:pPr>
      <w:r w:rsidRPr="006D2EE1">
        <w:rPr>
          <w:rFonts w:ascii="Times New Roman" w:hAnsi="Times New Roman" w:cs="Times New Roman"/>
          <w:sz w:val="24"/>
          <w:szCs w:val="24"/>
          <w:lang w:val="es-PE"/>
        </w:rPr>
        <w:t xml:space="preserve">No cabe duda alguna que el contrato de seguro de manera explícita fija un límite temporal de </w:t>
      </w:r>
      <w:r w:rsidRPr="006D2EE1">
        <w:rPr>
          <w:rFonts w:ascii="Times New Roman" w:hAnsi="Times New Roman" w:cs="Times New Roman"/>
          <w:sz w:val="24"/>
          <w:szCs w:val="24"/>
          <w:lang w:val="es-MX"/>
        </w:rPr>
        <w:t>fin de la vigencia de dicho Seguro, como es hasta la fecha en que la asegurada alcance la edad límite de permanencia.</w:t>
      </w:r>
    </w:p>
    <w:p w14:paraId="0CF56ECB" w14:textId="5F02D904" w:rsidR="006D2EE1" w:rsidRPr="006D2EE1" w:rsidRDefault="006D2EE1" w:rsidP="006D2EE1">
      <w:pPr>
        <w:jc w:val="both"/>
        <w:rPr>
          <w:rFonts w:ascii="Times New Roman" w:hAnsi="Times New Roman" w:cs="Times New Roman"/>
          <w:sz w:val="24"/>
          <w:szCs w:val="24"/>
          <w:lang w:val="es-ES" w:eastAsia="es-PE"/>
        </w:rPr>
      </w:pPr>
      <w:r w:rsidRPr="006D2EE1">
        <w:rPr>
          <w:rFonts w:ascii="Times New Roman" w:hAnsi="Times New Roman" w:cs="Times New Roman"/>
          <w:sz w:val="24"/>
          <w:szCs w:val="24"/>
          <w:lang w:val="es-PE"/>
        </w:rPr>
        <w:t xml:space="preserve">En el presente caso esta Defensoría ha verificado que la Señora </w:t>
      </w:r>
      <w:r w:rsidR="00165D98" w:rsidRPr="006A2AAB">
        <w:rPr>
          <w:lang w:val="es-PE"/>
        </w:rPr>
        <w:t>..................</w:t>
      </w:r>
      <w:r w:rsidRPr="006D2EE1">
        <w:rPr>
          <w:rFonts w:ascii="Times New Roman" w:hAnsi="Times New Roman" w:cs="Times New Roman"/>
          <w:sz w:val="24"/>
          <w:szCs w:val="24"/>
          <w:lang w:val="es-PE" w:eastAsia="es-PE"/>
        </w:rPr>
        <w:t xml:space="preserve"> no tenía vínculo laboral con el Ejército del Perú, sino un vínculo pensionario de naturaleza distinta al laboral. En efecto, la madre del reclamante no tenía como centro laboral el Ejército del Perú. La edad límite de permanencia aplicable a su caso es hasta los 65 años. Al alcanzar dicha edad se produce el fin de la vigencia del </w:t>
      </w:r>
      <w:r w:rsidRPr="006D2EE1">
        <w:rPr>
          <w:rFonts w:ascii="Times New Roman" w:hAnsi="Times New Roman" w:cs="Times New Roman"/>
          <w:sz w:val="24"/>
          <w:szCs w:val="24"/>
          <w:lang w:val="es-PE"/>
        </w:rPr>
        <w:t xml:space="preserve">Seguro de Protección Familiar – Póliza </w:t>
      </w:r>
      <w:r w:rsidR="00165D98" w:rsidRPr="006A2AAB">
        <w:rPr>
          <w:lang w:val="es-PE"/>
        </w:rPr>
        <w:t>..................</w:t>
      </w:r>
    </w:p>
    <w:p w14:paraId="537943E7" w14:textId="77777777" w:rsidR="006D2EE1" w:rsidRPr="006D2EE1" w:rsidRDefault="006D2EE1" w:rsidP="006D2EE1">
      <w:pPr>
        <w:tabs>
          <w:tab w:val="left" w:pos="2160"/>
        </w:tabs>
        <w:jc w:val="both"/>
        <w:rPr>
          <w:rFonts w:ascii="Times New Roman" w:hAnsi="Times New Roman" w:cs="Times New Roman"/>
          <w:sz w:val="24"/>
          <w:szCs w:val="24"/>
          <w:lang w:val="es-PE" w:eastAsia="es-ES"/>
        </w:rPr>
      </w:pPr>
      <w:r w:rsidRPr="006D2EE1">
        <w:rPr>
          <w:rFonts w:ascii="Times New Roman" w:hAnsi="Times New Roman" w:cs="Times New Roman"/>
          <w:sz w:val="24"/>
          <w:szCs w:val="24"/>
          <w:lang w:val="es-PE" w:eastAsia="es-ES"/>
        </w:rPr>
        <w:t>Consecuentemente, esta Defensoría verifica que persiste la situación fáctica y legal que califica el rechazo de cobertura como legítimo.</w:t>
      </w:r>
    </w:p>
    <w:p w14:paraId="31135590" w14:textId="77777777" w:rsidR="006D2EE1" w:rsidRDefault="006D2EE1" w:rsidP="006D2EE1">
      <w:pPr>
        <w:jc w:val="both"/>
        <w:rPr>
          <w:rFonts w:ascii="Times New Roman" w:hAnsi="Times New Roman" w:cs="Times New Roman"/>
          <w:sz w:val="24"/>
          <w:szCs w:val="24"/>
          <w:lang w:val="es-PE"/>
        </w:rPr>
      </w:pPr>
      <w:r w:rsidRPr="006D2EE1">
        <w:rPr>
          <w:rFonts w:ascii="Times New Roman" w:hAnsi="Times New Roman" w:cs="Times New Roman"/>
          <w:b/>
          <w:sz w:val="24"/>
          <w:szCs w:val="24"/>
          <w:u w:val="single"/>
          <w:lang w:val="es-PE"/>
        </w:rPr>
        <w:t>TERCERO</w:t>
      </w:r>
      <w:r w:rsidRPr="006D2EE1">
        <w:rPr>
          <w:rFonts w:ascii="Times New Roman" w:hAnsi="Times New Roman" w:cs="Times New Roman"/>
          <w:b/>
          <w:sz w:val="24"/>
          <w:szCs w:val="24"/>
          <w:lang w:val="es-PE"/>
        </w:rPr>
        <w:t>:</w:t>
      </w:r>
      <w:r w:rsidRPr="006D2EE1">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14:paraId="6AFFD336" w14:textId="2BC148D1" w:rsidR="006D2EE1" w:rsidRPr="006D2EE1" w:rsidRDefault="006D2EE1" w:rsidP="006D2EE1">
      <w:pPr>
        <w:jc w:val="both"/>
        <w:rPr>
          <w:rFonts w:ascii="Times New Roman" w:hAnsi="Times New Roman" w:cs="Times New Roman"/>
          <w:sz w:val="24"/>
          <w:szCs w:val="24"/>
          <w:lang w:val="es-PE"/>
        </w:rPr>
      </w:pPr>
      <w:r w:rsidRPr="006D2EE1">
        <w:rPr>
          <w:rFonts w:ascii="Times New Roman" w:hAnsi="Times New Roman" w:cs="Times New Roman"/>
          <w:b/>
          <w:sz w:val="24"/>
          <w:szCs w:val="24"/>
          <w:lang w:val="es-PE"/>
        </w:rPr>
        <w:t>RESUELVE:</w:t>
      </w:r>
    </w:p>
    <w:p w14:paraId="6022E436" w14:textId="77777777" w:rsidR="006D2EE1" w:rsidRPr="006D2EE1" w:rsidRDefault="006D2EE1" w:rsidP="006D2EE1">
      <w:pPr>
        <w:jc w:val="both"/>
        <w:rPr>
          <w:rFonts w:ascii="Times New Roman" w:hAnsi="Times New Roman" w:cs="Times New Roman"/>
          <w:sz w:val="24"/>
          <w:szCs w:val="24"/>
          <w:lang w:val="es-PE"/>
        </w:rPr>
      </w:pPr>
      <w:r w:rsidRPr="006D2EE1">
        <w:rPr>
          <w:rFonts w:ascii="Times New Roman" w:eastAsia="Arial Unicode MS" w:hAnsi="Times New Roman" w:cs="Times New Roman"/>
          <w:b/>
          <w:sz w:val="24"/>
          <w:szCs w:val="24"/>
          <w:lang w:val="es-PE"/>
        </w:rPr>
        <w:t>Declarar INFUNDADO el recurso de impugnación interpuesto y, por consiguiente, CONFIRMAR la Resolución Nro. 037/21</w:t>
      </w:r>
      <w:r w:rsidRPr="006D2EE1">
        <w:rPr>
          <w:rFonts w:ascii="Times New Roman" w:hAnsi="Times New Roman" w:cs="Times New Roman"/>
          <w:sz w:val="24"/>
          <w:szCs w:val="24"/>
          <w:lang w:val="es-PE"/>
        </w:rPr>
        <w:t>.</w:t>
      </w:r>
    </w:p>
    <w:p w14:paraId="489525D7" w14:textId="77777777" w:rsidR="005E398E" w:rsidRPr="006D2EE1" w:rsidRDefault="005E398E" w:rsidP="005E398E">
      <w:pPr>
        <w:suppressAutoHyphens/>
        <w:spacing w:after="0" w:line="240" w:lineRule="auto"/>
        <w:jc w:val="right"/>
        <w:outlineLvl w:val="0"/>
        <w:rPr>
          <w:rFonts w:ascii="Times New Roman" w:eastAsia="Arial Unicode MS" w:hAnsi="Times New Roman" w:cs="Times New Roman"/>
          <w:bCs/>
          <w:sz w:val="24"/>
          <w:szCs w:val="24"/>
          <w:lang w:val="es-PE"/>
        </w:rPr>
      </w:pPr>
    </w:p>
    <w:p w14:paraId="486C3F46" w14:textId="33D24CEF" w:rsidR="00C671F5" w:rsidRPr="006D2EE1"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6D2EE1">
        <w:rPr>
          <w:rFonts w:ascii="Times New Roman" w:eastAsia="Arial Unicode MS" w:hAnsi="Times New Roman" w:cs="Times New Roman"/>
          <w:sz w:val="24"/>
          <w:szCs w:val="24"/>
          <w:lang w:val="es-PE" w:eastAsia="ar-SA"/>
        </w:rPr>
        <w:t xml:space="preserve">Lima, </w:t>
      </w:r>
      <w:r w:rsidR="006D2EE1" w:rsidRPr="006D2EE1">
        <w:rPr>
          <w:rFonts w:ascii="Times New Roman" w:eastAsia="Arial Unicode MS" w:hAnsi="Times New Roman" w:cs="Times New Roman"/>
          <w:sz w:val="24"/>
          <w:szCs w:val="24"/>
          <w:lang w:val="es-PE" w:eastAsia="ar-SA"/>
        </w:rPr>
        <w:t>10</w:t>
      </w:r>
      <w:r w:rsidR="005E398E" w:rsidRPr="006D2EE1">
        <w:rPr>
          <w:rFonts w:ascii="Times New Roman" w:eastAsia="Arial Unicode MS" w:hAnsi="Times New Roman" w:cs="Times New Roman"/>
          <w:sz w:val="24"/>
          <w:szCs w:val="24"/>
          <w:lang w:val="es-PE" w:eastAsia="ar-SA"/>
        </w:rPr>
        <w:t xml:space="preserve"> </w:t>
      </w:r>
      <w:r w:rsidR="00707C99" w:rsidRPr="006D2EE1">
        <w:rPr>
          <w:rFonts w:ascii="Times New Roman" w:eastAsia="Arial Unicode MS" w:hAnsi="Times New Roman" w:cs="Times New Roman"/>
          <w:sz w:val="24"/>
          <w:szCs w:val="24"/>
          <w:lang w:val="es-PE" w:eastAsia="ar-SA"/>
        </w:rPr>
        <w:t>de</w:t>
      </w:r>
      <w:r w:rsidR="00864B0B" w:rsidRPr="006D2EE1">
        <w:rPr>
          <w:rFonts w:ascii="Times New Roman" w:eastAsia="Arial Unicode MS" w:hAnsi="Times New Roman" w:cs="Times New Roman"/>
          <w:sz w:val="24"/>
          <w:szCs w:val="24"/>
          <w:lang w:val="es-PE" w:eastAsia="ar-SA"/>
        </w:rPr>
        <w:t xml:space="preserve"> </w:t>
      </w:r>
      <w:r w:rsidR="001E61A8" w:rsidRPr="006D2EE1">
        <w:rPr>
          <w:rFonts w:ascii="Times New Roman" w:eastAsia="Arial Unicode MS" w:hAnsi="Times New Roman" w:cs="Times New Roman"/>
          <w:sz w:val="24"/>
          <w:szCs w:val="24"/>
          <w:lang w:val="es-PE" w:eastAsia="ar-SA"/>
        </w:rPr>
        <w:t>mayo</w:t>
      </w:r>
      <w:r w:rsidR="00F06498" w:rsidRPr="006D2EE1">
        <w:rPr>
          <w:rFonts w:ascii="Times New Roman" w:eastAsia="Arial Unicode MS" w:hAnsi="Times New Roman" w:cs="Times New Roman"/>
          <w:sz w:val="24"/>
          <w:szCs w:val="24"/>
          <w:lang w:val="es-PE" w:eastAsia="ar-SA"/>
        </w:rPr>
        <w:t xml:space="preserve"> de 202</w:t>
      </w:r>
      <w:r w:rsidR="00231C58" w:rsidRPr="006D2EE1">
        <w:rPr>
          <w:rFonts w:ascii="Times New Roman" w:eastAsia="Arial Unicode MS" w:hAnsi="Times New Roman" w:cs="Times New Roman"/>
          <w:sz w:val="24"/>
          <w:szCs w:val="24"/>
          <w:lang w:val="es-PE" w:eastAsia="ar-SA"/>
        </w:rPr>
        <w:t>1</w:t>
      </w:r>
      <w:r w:rsidR="00707C99" w:rsidRPr="006D2EE1">
        <w:rPr>
          <w:rFonts w:ascii="Times New Roman" w:eastAsia="Times New Roman" w:hAnsi="Times New Roman" w:cs="Times New Roman"/>
          <w:sz w:val="24"/>
          <w:szCs w:val="24"/>
          <w:lang w:val="es-PE" w:eastAsia="ar-SA"/>
        </w:rPr>
        <w:t xml:space="preserve"> </w:t>
      </w:r>
    </w:p>
    <w:p w14:paraId="2B9BAAC8" w14:textId="77777777" w:rsidR="00231C58" w:rsidRPr="006D2EE1"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6D2EE1" w:rsidRDefault="00C671F5" w:rsidP="004A374A">
      <w:pPr>
        <w:spacing w:after="0" w:line="240" w:lineRule="auto"/>
        <w:jc w:val="both"/>
        <w:rPr>
          <w:rFonts w:ascii="Times New Roman" w:hAnsi="Times New Roman" w:cs="Times New Roman"/>
          <w:b/>
          <w:bCs/>
          <w:i/>
          <w:iCs/>
          <w:sz w:val="24"/>
          <w:szCs w:val="24"/>
          <w:lang w:val="es-PE"/>
        </w:rPr>
      </w:pPr>
      <w:r w:rsidRPr="006D2EE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6D2EE1" w:rsidRDefault="00C671F5" w:rsidP="004A374A">
      <w:pPr>
        <w:spacing w:after="0" w:line="240" w:lineRule="auto"/>
        <w:jc w:val="both"/>
        <w:rPr>
          <w:rFonts w:ascii="Times New Roman" w:hAnsi="Times New Roman" w:cs="Times New Roman"/>
          <w:b/>
          <w:bCs/>
          <w:i/>
          <w:iCs/>
          <w:sz w:val="24"/>
          <w:szCs w:val="24"/>
          <w:lang w:val="es-PE"/>
        </w:rPr>
      </w:pPr>
    </w:p>
    <w:p w14:paraId="55E7D9D7" w14:textId="65D15E8D" w:rsidR="00C671F5" w:rsidRPr="006D2EE1" w:rsidRDefault="00C671F5" w:rsidP="004A374A">
      <w:pPr>
        <w:spacing w:after="0" w:line="360" w:lineRule="auto"/>
        <w:jc w:val="center"/>
        <w:rPr>
          <w:rFonts w:ascii="Times New Roman" w:hAnsi="Times New Roman" w:cs="Times New Roman"/>
          <w:b/>
          <w:bCs/>
          <w:sz w:val="24"/>
          <w:szCs w:val="24"/>
          <w:lang w:val="es-PE"/>
        </w:rPr>
      </w:pPr>
      <w:r w:rsidRPr="006D2EE1">
        <w:rPr>
          <w:rFonts w:ascii="Times New Roman" w:hAnsi="Times New Roman" w:cs="Times New Roman"/>
          <w:b/>
          <w:bCs/>
          <w:sz w:val="24"/>
          <w:szCs w:val="24"/>
          <w:lang w:val="es-PE"/>
        </w:rPr>
        <w:t xml:space="preserve">Marco Antonio Ortega Piana – </w:t>
      </w:r>
      <w:proofErr w:type="gramStart"/>
      <w:r w:rsidR="001E61A8" w:rsidRPr="006D2EE1">
        <w:rPr>
          <w:rFonts w:ascii="Times New Roman" w:hAnsi="Times New Roman" w:cs="Times New Roman"/>
          <w:b/>
          <w:bCs/>
          <w:sz w:val="24"/>
          <w:szCs w:val="24"/>
          <w:lang w:val="es-PE"/>
        </w:rPr>
        <w:t>Presidente</w:t>
      </w:r>
      <w:proofErr w:type="gramEnd"/>
    </w:p>
    <w:p w14:paraId="51264286" w14:textId="6A736E43" w:rsidR="001E61A8" w:rsidRPr="006D2EE1" w:rsidRDefault="001E61A8" w:rsidP="001E61A8">
      <w:pPr>
        <w:spacing w:after="0" w:line="360" w:lineRule="auto"/>
        <w:jc w:val="center"/>
        <w:rPr>
          <w:rFonts w:ascii="Times New Roman" w:hAnsi="Times New Roman" w:cs="Times New Roman"/>
          <w:b/>
          <w:bCs/>
          <w:sz w:val="24"/>
          <w:szCs w:val="24"/>
          <w:lang w:val="es-PE"/>
        </w:rPr>
      </w:pPr>
      <w:r w:rsidRPr="006D2EE1">
        <w:rPr>
          <w:rFonts w:ascii="Times New Roman" w:hAnsi="Times New Roman" w:cs="Times New Roman"/>
          <w:b/>
          <w:bCs/>
          <w:sz w:val="24"/>
          <w:szCs w:val="24"/>
          <w:lang w:val="es-PE"/>
        </w:rPr>
        <w:t>María Eugenia Valdez Fernández Baca – Vocal</w:t>
      </w:r>
    </w:p>
    <w:p w14:paraId="3006BA35" w14:textId="7871895F" w:rsidR="00292018" w:rsidRPr="006D2EE1" w:rsidRDefault="00292018" w:rsidP="004A374A">
      <w:pPr>
        <w:spacing w:after="0" w:line="360" w:lineRule="auto"/>
        <w:jc w:val="center"/>
        <w:rPr>
          <w:rFonts w:ascii="Times New Roman" w:hAnsi="Times New Roman" w:cs="Times New Roman"/>
          <w:b/>
          <w:bCs/>
          <w:sz w:val="24"/>
          <w:szCs w:val="24"/>
          <w:lang w:val="es-PE"/>
        </w:rPr>
      </w:pPr>
      <w:r w:rsidRPr="006D2EE1">
        <w:rPr>
          <w:rFonts w:ascii="Times New Roman" w:hAnsi="Times New Roman" w:cs="Times New Roman"/>
          <w:b/>
          <w:bCs/>
          <w:sz w:val="24"/>
          <w:szCs w:val="24"/>
          <w:lang w:val="es-PE"/>
        </w:rPr>
        <w:t xml:space="preserve">Rolando Eyzaguirre </w:t>
      </w:r>
      <w:proofErr w:type="spellStart"/>
      <w:r w:rsidRPr="006D2EE1">
        <w:rPr>
          <w:rFonts w:ascii="Times New Roman" w:hAnsi="Times New Roman" w:cs="Times New Roman"/>
          <w:b/>
          <w:bCs/>
          <w:sz w:val="24"/>
          <w:szCs w:val="24"/>
          <w:lang w:val="es-PE"/>
        </w:rPr>
        <w:t>Maccan</w:t>
      </w:r>
      <w:proofErr w:type="spellEnd"/>
      <w:r w:rsidRPr="006D2EE1">
        <w:rPr>
          <w:rFonts w:ascii="Times New Roman" w:hAnsi="Times New Roman" w:cs="Times New Roman"/>
          <w:b/>
          <w:bCs/>
          <w:sz w:val="24"/>
          <w:szCs w:val="24"/>
          <w:lang w:val="es-PE"/>
        </w:rPr>
        <w:t xml:space="preserve"> – Vocal</w:t>
      </w:r>
    </w:p>
    <w:p w14:paraId="3A9CFE9F" w14:textId="4DFF4426" w:rsidR="00C671F5" w:rsidRPr="006D2EE1" w:rsidRDefault="00C671F5" w:rsidP="004A374A">
      <w:pPr>
        <w:spacing w:after="0" w:line="360" w:lineRule="auto"/>
        <w:jc w:val="center"/>
        <w:rPr>
          <w:rFonts w:ascii="Times New Roman" w:hAnsi="Times New Roman" w:cs="Times New Roman"/>
          <w:sz w:val="24"/>
          <w:szCs w:val="24"/>
          <w:lang w:val="es-PE"/>
        </w:rPr>
      </w:pPr>
      <w:r w:rsidRPr="006D2EE1">
        <w:rPr>
          <w:rFonts w:ascii="Times New Roman" w:hAnsi="Times New Roman" w:cs="Times New Roman"/>
          <w:b/>
          <w:bCs/>
          <w:sz w:val="24"/>
          <w:szCs w:val="24"/>
          <w:lang w:val="es-PE"/>
        </w:rPr>
        <w:t xml:space="preserve">Gonzalo Abad del Busto </w:t>
      </w:r>
      <w:r w:rsidR="00231C58" w:rsidRPr="006D2EE1">
        <w:rPr>
          <w:rFonts w:ascii="Times New Roman" w:hAnsi="Times New Roman" w:cs="Times New Roman"/>
          <w:b/>
          <w:bCs/>
          <w:sz w:val="24"/>
          <w:szCs w:val="24"/>
          <w:lang w:val="es-PE"/>
        </w:rPr>
        <w:t xml:space="preserve">– </w:t>
      </w:r>
      <w:r w:rsidRPr="006D2EE1">
        <w:rPr>
          <w:rFonts w:ascii="Times New Roman" w:hAnsi="Times New Roman" w:cs="Times New Roman"/>
          <w:b/>
          <w:bCs/>
          <w:sz w:val="24"/>
          <w:szCs w:val="24"/>
          <w:lang w:val="es-PE"/>
        </w:rPr>
        <w:t>Vocal</w:t>
      </w:r>
    </w:p>
    <w:p w14:paraId="33E0FAB8" w14:textId="77777777" w:rsidR="00C671F5" w:rsidRPr="005A4C4E"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4A374A">
      <w:pPr>
        <w:spacing w:line="240" w:lineRule="auto"/>
        <w:rPr>
          <w:rFonts w:ascii="Times New Roman" w:eastAsia="Arial Unicode MS" w:hAnsi="Times New Roman" w:cs="Times New Roman"/>
          <w:sz w:val="24"/>
          <w:szCs w:val="24"/>
          <w:lang w:val="es-PE" w:eastAsia="ar-SA"/>
        </w:rPr>
      </w:pPr>
    </w:p>
    <w:sectPr w:rsidR="00C671F5" w:rsidRPr="005A4C4E"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1B89D" w14:textId="77777777" w:rsidR="000D4F9E" w:rsidRDefault="000D4F9E" w:rsidP="00784355">
      <w:pPr>
        <w:spacing w:after="0" w:line="240" w:lineRule="auto"/>
      </w:pPr>
      <w:r>
        <w:separator/>
      </w:r>
    </w:p>
  </w:endnote>
  <w:endnote w:type="continuationSeparator" w:id="0">
    <w:p w14:paraId="4F26CB9A" w14:textId="77777777" w:rsidR="000D4F9E" w:rsidRDefault="000D4F9E"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1EC56" w14:textId="77777777" w:rsidR="000D4F9E" w:rsidRDefault="000D4F9E" w:rsidP="00784355">
      <w:pPr>
        <w:spacing w:after="0" w:line="240" w:lineRule="auto"/>
      </w:pPr>
      <w:r>
        <w:separator/>
      </w:r>
    </w:p>
  </w:footnote>
  <w:footnote w:type="continuationSeparator" w:id="0">
    <w:p w14:paraId="0E5AB970" w14:textId="77777777" w:rsidR="000D4F9E" w:rsidRDefault="000D4F9E"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4492D"/>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D4F9E"/>
    <w:rsid w:val="000E1B0F"/>
    <w:rsid w:val="000E1E6F"/>
    <w:rsid w:val="000F6340"/>
    <w:rsid w:val="0011308C"/>
    <w:rsid w:val="00125B9B"/>
    <w:rsid w:val="001320DF"/>
    <w:rsid w:val="00136E12"/>
    <w:rsid w:val="001373AF"/>
    <w:rsid w:val="001377EF"/>
    <w:rsid w:val="00150874"/>
    <w:rsid w:val="001508BC"/>
    <w:rsid w:val="001529FE"/>
    <w:rsid w:val="00161642"/>
    <w:rsid w:val="00165D98"/>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1E61A8"/>
    <w:rsid w:val="00201C0D"/>
    <w:rsid w:val="00203EF7"/>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2F3B75"/>
    <w:rsid w:val="003045E3"/>
    <w:rsid w:val="00310DD6"/>
    <w:rsid w:val="00313D12"/>
    <w:rsid w:val="0032132E"/>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2EE1"/>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398357944">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84B7C2A-B5D9-4C07-9D64-BA0A2B864F07}"/>
</file>

<file path=customXml/itemProps3.xml><?xml version="1.0" encoding="utf-8"?>
<ds:datastoreItem xmlns:ds="http://schemas.openxmlformats.org/officeDocument/2006/customXml" ds:itemID="{F19358A1-0006-452D-937A-A1C5A668C092}"/>
</file>

<file path=customXml/itemProps4.xml><?xml version="1.0" encoding="utf-8"?>
<ds:datastoreItem xmlns:ds="http://schemas.openxmlformats.org/officeDocument/2006/customXml" ds:itemID="{43EF669E-4260-4271-99AE-6A43D0D53EEC}"/>
</file>

<file path=docProps/app.xml><?xml version="1.0" encoding="utf-8"?>
<Properties xmlns="http://schemas.openxmlformats.org/officeDocument/2006/extended-properties" xmlns:vt="http://schemas.openxmlformats.org/officeDocument/2006/docPropsVTypes">
  <Template>Normal</Template>
  <TotalTime>230</TotalTime>
  <Pages>3</Pages>
  <Words>1070</Words>
  <Characters>5885</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60</cp:revision>
  <cp:lastPrinted>2021-04-30T14:18:00Z</cp:lastPrinted>
  <dcterms:created xsi:type="dcterms:W3CDTF">2020-12-18T20:17:00Z</dcterms:created>
  <dcterms:modified xsi:type="dcterms:W3CDTF">2022-02-10T18:29:00Z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