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0F86A" w14:textId="26E8C114" w:rsidR="00C11BCB" w:rsidRPr="00EA67A0" w:rsidRDefault="00201C0D" w:rsidP="00720157">
      <w:pPr>
        <w:suppressAutoHyphens/>
        <w:spacing w:after="0" w:line="240" w:lineRule="auto"/>
        <w:jc w:val="center"/>
        <w:rPr>
          <w:rFonts w:ascii="Times New Roman" w:hAnsi="Times New Roman" w:cs="Times New Roman"/>
          <w:b/>
          <w:sz w:val="24"/>
          <w:szCs w:val="24"/>
          <w:lang w:val="es-PE" w:eastAsia="ar-SA"/>
        </w:rPr>
      </w:pPr>
      <w:r w:rsidRPr="00EA67A0">
        <w:rPr>
          <w:rFonts w:ascii="Times New Roman" w:hAnsi="Times New Roman" w:cs="Times New Roman"/>
          <w:b/>
          <w:sz w:val="24"/>
          <w:szCs w:val="24"/>
          <w:lang w:val="es-PE" w:eastAsia="ar-SA"/>
        </w:rPr>
        <w:t xml:space="preserve">RESOLUCIÓN DE RECURSO IMPUGNATIVO </w:t>
      </w:r>
      <w:proofErr w:type="spellStart"/>
      <w:r w:rsidR="00707C99" w:rsidRPr="00EA67A0">
        <w:rPr>
          <w:rFonts w:ascii="Times New Roman" w:hAnsi="Times New Roman" w:cs="Times New Roman"/>
          <w:b/>
          <w:sz w:val="24"/>
          <w:szCs w:val="24"/>
          <w:lang w:val="es-PE" w:eastAsia="ar-SA"/>
        </w:rPr>
        <w:t>N°</w:t>
      </w:r>
      <w:proofErr w:type="spellEnd"/>
      <w:r w:rsidR="00707C99" w:rsidRPr="00EA67A0">
        <w:rPr>
          <w:rFonts w:ascii="Times New Roman" w:hAnsi="Times New Roman" w:cs="Times New Roman"/>
          <w:b/>
          <w:sz w:val="24"/>
          <w:szCs w:val="24"/>
          <w:lang w:val="es-PE" w:eastAsia="ar-SA"/>
        </w:rPr>
        <w:t xml:space="preserve"> </w:t>
      </w:r>
      <w:r w:rsidR="00C671F5" w:rsidRPr="00EA67A0">
        <w:rPr>
          <w:rFonts w:ascii="Times New Roman" w:hAnsi="Times New Roman" w:cs="Times New Roman"/>
          <w:b/>
          <w:sz w:val="24"/>
          <w:szCs w:val="24"/>
          <w:lang w:val="es-PE" w:eastAsia="ar-SA"/>
        </w:rPr>
        <w:t>0</w:t>
      </w:r>
      <w:r w:rsidR="009C4742">
        <w:rPr>
          <w:rFonts w:ascii="Times New Roman" w:hAnsi="Times New Roman" w:cs="Times New Roman"/>
          <w:b/>
          <w:sz w:val="24"/>
          <w:szCs w:val="24"/>
          <w:lang w:val="es-PE" w:eastAsia="ar-SA"/>
        </w:rPr>
        <w:t>34</w:t>
      </w:r>
      <w:r w:rsidR="00C671F5" w:rsidRPr="00EA67A0">
        <w:rPr>
          <w:rFonts w:ascii="Times New Roman" w:hAnsi="Times New Roman" w:cs="Times New Roman"/>
          <w:b/>
          <w:sz w:val="24"/>
          <w:szCs w:val="24"/>
          <w:lang w:val="es-PE" w:eastAsia="ar-SA"/>
        </w:rPr>
        <w:t>/2</w:t>
      </w:r>
      <w:r w:rsidR="00231C58" w:rsidRPr="00EA67A0">
        <w:rPr>
          <w:rFonts w:ascii="Times New Roman" w:hAnsi="Times New Roman" w:cs="Times New Roman"/>
          <w:b/>
          <w:sz w:val="24"/>
          <w:szCs w:val="24"/>
          <w:lang w:val="es-PE" w:eastAsia="ar-SA"/>
        </w:rPr>
        <w:t>1</w:t>
      </w:r>
    </w:p>
    <w:p w14:paraId="02DE4AEF" w14:textId="77777777" w:rsidR="00720157" w:rsidRPr="009C4742" w:rsidRDefault="00720157" w:rsidP="00720157">
      <w:pPr>
        <w:suppressAutoHyphens/>
        <w:spacing w:after="0" w:line="240" w:lineRule="auto"/>
        <w:jc w:val="center"/>
        <w:rPr>
          <w:rFonts w:ascii="Times New Roman" w:eastAsia="Times New Roman" w:hAnsi="Times New Roman" w:cs="Times New Roman"/>
          <w:b/>
          <w:bCs/>
          <w:sz w:val="24"/>
          <w:szCs w:val="24"/>
          <w:lang w:val="es-PE" w:eastAsia="ar-SA"/>
        </w:rPr>
      </w:pPr>
    </w:p>
    <w:p w14:paraId="2CE8AA1C" w14:textId="77777777" w:rsidR="009C4742" w:rsidRPr="009C4742" w:rsidRDefault="009C4742" w:rsidP="009C4742">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9C4742">
        <w:rPr>
          <w:rFonts w:ascii="Times New Roman" w:eastAsia="Times New Roman" w:hAnsi="Times New Roman" w:cs="Times New Roman"/>
          <w:b/>
          <w:bCs/>
          <w:sz w:val="24"/>
          <w:szCs w:val="24"/>
          <w:lang w:val="es-MX" w:eastAsia="ar-SA"/>
        </w:rPr>
        <w:t>Vistos:</w:t>
      </w:r>
    </w:p>
    <w:p w14:paraId="74D2B041" w14:textId="77777777" w:rsidR="009C4742" w:rsidRPr="009C4742" w:rsidRDefault="009C4742" w:rsidP="009C4742">
      <w:pPr>
        <w:suppressAutoHyphens/>
        <w:spacing w:after="0" w:line="240" w:lineRule="auto"/>
        <w:jc w:val="both"/>
        <w:rPr>
          <w:rFonts w:ascii="Times New Roman" w:eastAsia="Times New Roman" w:hAnsi="Times New Roman" w:cs="Times New Roman"/>
          <w:b/>
          <w:bCs/>
          <w:sz w:val="24"/>
          <w:szCs w:val="24"/>
          <w:lang w:val="es-MX" w:eastAsia="ar-SA"/>
        </w:rPr>
      </w:pPr>
      <w:r w:rsidRPr="009C4742">
        <w:rPr>
          <w:rFonts w:ascii="Times New Roman" w:eastAsia="Times New Roman" w:hAnsi="Times New Roman" w:cs="Times New Roman"/>
          <w:b/>
          <w:bCs/>
          <w:sz w:val="24"/>
          <w:szCs w:val="24"/>
          <w:lang w:val="es-MX" w:eastAsia="ar-SA"/>
        </w:rPr>
        <w:t xml:space="preserve">   </w:t>
      </w:r>
    </w:p>
    <w:p w14:paraId="51C09221" w14:textId="761D36F0" w:rsidR="009C4742" w:rsidRPr="009C4742" w:rsidRDefault="009C4742" w:rsidP="009C4742">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eastAsia="Arial Unicode MS" w:hAnsi="Times New Roman" w:cs="Times New Roman"/>
          <w:sz w:val="24"/>
          <w:szCs w:val="24"/>
          <w:lang w:val="es-PE"/>
        </w:rPr>
      </w:pPr>
      <w:r w:rsidRPr="009C4742">
        <w:rPr>
          <w:rFonts w:ascii="Times New Roman" w:eastAsia="Times New Roman" w:hAnsi="Times New Roman" w:cs="Times New Roman"/>
          <w:sz w:val="24"/>
          <w:szCs w:val="24"/>
          <w:lang w:val="es-ES" w:eastAsia="ar-SA"/>
        </w:rPr>
        <w:t>El recurso de impugnación presentado con fecha 26 de abril de 2021 por doña</w:t>
      </w:r>
      <w:r w:rsidRPr="009C4742">
        <w:rPr>
          <w:rFonts w:ascii="Times New Roman" w:hAnsi="Times New Roman" w:cs="Times New Roman"/>
          <w:bCs/>
          <w:sz w:val="24"/>
          <w:szCs w:val="24"/>
          <w:lang w:val="es-ES"/>
        </w:rPr>
        <w:t xml:space="preserve"> </w:t>
      </w:r>
      <w:r w:rsidR="002374D6" w:rsidRPr="006A2AAB">
        <w:rPr>
          <w:lang w:val="es-PE"/>
        </w:rPr>
        <w:t>..................</w:t>
      </w:r>
      <w:r w:rsidRPr="009C4742">
        <w:rPr>
          <w:rFonts w:ascii="Times New Roman" w:hAnsi="Times New Roman" w:cs="Times New Roman"/>
          <w:b/>
          <w:sz w:val="24"/>
          <w:szCs w:val="24"/>
          <w:lang w:val="es-ES"/>
        </w:rPr>
        <w:t xml:space="preserve"> </w:t>
      </w:r>
      <w:r w:rsidRPr="009C4742">
        <w:rPr>
          <w:rFonts w:ascii="Times New Roman" w:eastAsia="Times New Roman" w:hAnsi="Times New Roman" w:cs="Times New Roman"/>
          <w:sz w:val="24"/>
          <w:szCs w:val="24"/>
          <w:lang w:val="es-ES" w:eastAsia="ar-SA"/>
        </w:rPr>
        <w:t xml:space="preserve">respecto de la Resolución Nro. 046/21, del 20 de abril de 2021, emitida por el Órgano Resolutivo Unipersonal (ORU) de esta Defensoría del Asegurado (DEFASEG), que declaró INFUNDADA </w:t>
      </w:r>
      <w:r w:rsidRPr="009C4742">
        <w:rPr>
          <w:rFonts w:ascii="Times New Roman" w:eastAsia="Arial Unicode MS" w:hAnsi="Times New Roman" w:cs="Times New Roman"/>
          <w:sz w:val="24"/>
          <w:szCs w:val="24"/>
          <w:lang w:val="es-PE"/>
        </w:rPr>
        <w:t xml:space="preserve">su reclamación contra </w:t>
      </w:r>
      <w:r w:rsidR="002374D6" w:rsidRPr="006A2AAB">
        <w:rPr>
          <w:lang w:val="es-PE"/>
        </w:rPr>
        <w:t>..................</w:t>
      </w:r>
      <w:r w:rsidR="002374D6">
        <w:rPr>
          <w:lang w:val="es-PE"/>
        </w:rPr>
        <w:t xml:space="preserve"> </w:t>
      </w:r>
      <w:r w:rsidRPr="009C4742">
        <w:rPr>
          <w:rFonts w:ascii="Times New Roman" w:eastAsia="Times New Roman" w:hAnsi="Times New Roman" w:cs="Times New Roman"/>
          <w:bCs/>
          <w:sz w:val="24"/>
          <w:szCs w:val="24"/>
          <w:lang w:val="es-PE" w:eastAsia="es-ES"/>
        </w:rPr>
        <w:t xml:space="preserve"> </w:t>
      </w:r>
      <w:bookmarkStart w:id="0" w:name="OLE_LINK2"/>
      <w:r w:rsidRPr="009C4742">
        <w:rPr>
          <w:rFonts w:ascii="Times New Roman" w:eastAsia="Times New Roman" w:hAnsi="Times New Roman" w:cs="Times New Roman"/>
          <w:bCs/>
          <w:sz w:val="24"/>
          <w:szCs w:val="24"/>
          <w:lang w:val="es-PE" w:eastAsia="es-ES"/>
        </w:rPr>
        <w:t>sobre otorgamiento de cobertura al</w:t>
      </w:r>
      <w:r w:rsidRPr="009C4742">
        <w:rPr>
          <w:rFonts w:ascii="Times New Roman" w:eastAsia="Times New Roman" w:hAnsi="Times New Roman" w:cs="Times New Roman"/>
          <w:sz w:val="24"/>
          <w:szCs w:val="24"/>
          <w:lang w:val="es-PE" w:eastAsia="es-ES"/>
        </w:rPr>
        <w:t xml:space="preserve"> siniestro ocurrido el 21 de noviembre de 2020 y que corresponde al lamentable fallecimiento de la asegurada, su señora hermana, doña </w:t>
      </w:r>
      <w:r w:rsidR="002374D6" w:rsidRPr="006A2AAB">
        <w:rPr>
          <w:lang w:val="es-PE"/>
        </w:rPr>
        <w:t>..................</w:t>
      </w:r>
      <w:r w:rsidRPr="009C4742">
        <w:rPr>
          <w:rFonts w:ascii="Times New Roman" w:eastAsia="Times New Roman" w:hAnsi="Times New Roman" w:cs="Times New Roman"/>
          <w:sz w:val="24"/>
          <w:szCs w:val="24"/>
          <w:lang w:val="es-PE" w:eastAsia="es-ES"/>
        </w:rPr>
        <w:t xml:space="preserve">, </w:t>
      </w:r>
      <w:proofErr w:type="gramStart"/>
      <w:r w:rsidRPr="009C4742">
        <w:rPr>
          <w:rFonts w:ascii="Times New Roman" w:eastAsia="Times New Roman" w:hAnsi="Times New Roman" w:cs="Times New Roman"/>
          <w:sz w:val="24"/>
          <w:szCs w:val="24"/>
          <w:lang w:val="es-PE" w:eastAsia="es-ES"/>
        </w:rPr>
        <w:t>de acuerdo a</w:t>
      </w:r>
      <w:proofErr w:type="gramEnd"/>
      <w:r w:rsidRPr="009C4742">
        <w:rPr>
          <w:rFonts w:ascii="Times New Roman" w:eastAsia="Times New Roman" w:hAnsi="Times New Roman" w:cs="Times New Roman"/>
          <w:sz w:val="24"/>
          <w:szCs w:val="24"/>
          <w:lang w:val="es-PE" w:eastAsia="es-ES"/>
        </w:rPr>
        <w:t xml:space="preserve"> los términos y condiciones del </w:t>
      </w:r>
      <w:r w:rsidRPr="009C4742">
        <w:rPr>
          <w:rFonts w:ascii="Times New Roman" w:hAnsi="Times New Roman" w:cs="Times New Roman"/>
          <w:bCs/>
          <w:sz w:val="24"/>
          <w:szCs w:val="24"/>
          <w:lang w:val="es-ES"/>
        </w:rPr>
        <w:t>Seguro</w:t>
      </w:r>
      <w:bookmarkEnd w:id="0"/>
      <w:r w:rsidRPr="009C4742">
        <w:rPr>
          <w:rFonts w:ascii="Times New Roman" w:hAnsi="Times New Roman" w:cs="Times New Roman"/>
          <w:bCs/>
          <w:sz w:val="24"/>
          <w:szCs w:val="24"/>
          <w:lang w:val="es-ES"/>
        </w:rPr>
        <w:t xml:space="preserve"> de Sepelio</w:t>
      </w:r>
      <w:r w:rsidRPr="009C4742">
        <w:rPr>
          <w:rFonts w:ascii="Times New Roman" w:hAnsi="Times New Roman" w:cs="Times New Roman"/>
          <w:sz w:val="24"/>
          <w:szCs w:val="24"/>
          <w:lang w:val="es-ES"/>
        </w:rPr>
        <w:t xml:space="preserve"> – Póliza Nro. </w:t>
      </w:r>
      <w:r w:rsidR="002374D6" w:rsidRPr="006A2AAB">
        <w:rPr>
          <w:lang w:val="es-PE"/>
        </w:rPr>
        <w:t>..................</w:t>
      </w:r>
      <w:r w:rsidRPr="009C4742">
        <w:rPr>
          <w:rFonts w:ascii="Times New Roman" w:hAnsi="Times New Roman" w:cs="Times New Roman"/>
          <w:sz w:val="24"/>
          <w:szCs w:val="24"/>
          <w:lang w:val="es-ES"/>
        </w:rPr>
        <w:t xml:space="preserve"> – Certificado Nro. </w:t>
      </w:r>
      <w:r w:rsidR="002374D6" w:rsidRPr="006A2AAB">
        <w:rPr>
          <w:lang w:val="es-PE"/>
        </w:rPr>
        <w:t>..................</w:t>
      </w:r>
      <w:r w:rsidRPr="009C4742">
        <w:rPr>
          <w:rFonts w:ascii="Times New Roman" w:hAnsi="Times New Roman" w:cs="Times New Roman"/>
          <w:sz w:val="24"/>
          <w:szCs w:val="24"/>
          <w:lang w:val="es-ES"/>
        </w:rPr>
        <w:t>;</w:t>
      </w:r>
    </w:p>
    <w:p w14:paraId="63B2DC6B" w14:textId="77777777" w:rsidR="009C4742" w:rsidRPr="009C4742" w:rsidRDefault="009C4742" w:rsidP="009C4742">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ES" w:eastAsia="ar-SA"/>
        </w:rPr>
      </w:pPr>
    </w:p>
    <w:p w14:paraId="5FBEEC4E" w14:textId="77777777" w:rsidR="009C4742" w:rsidRPr="009C4742" w:rsidRDefault="009C4742" w:rsidP="009C4742">
      <w:pPr>
        <w:suppressAutoHyphens/>
        <w:spacing w:after="0" w:line="240" w:lineRule="auto"/>
        <w:jc w:val="both"/>
        <w:rPr>
          <w:rFonts w:ascii="Times New Roman" w:eastAsia="Times New Roman" w:hAnsi="Times New Roman" w:cs="Times New Roman"/>
          <w:bCs/>
          <w:sz w:val="24"/>
          <w:szCs w:val="24"/>
          <w:lang w:val="es-MX" w:eastAsia="ar-SA"/>
        </w:rPr>
      </w:pPr>
      <w:r w:rsidRPr="009C4742">
        <w:rPr>
          <w:rFonts w:ascii="Times New Roman" w:eastAsia="Times New Roman" w:hAnsi="Times New Roman" w:cs="Times New Roman"/>
          <w:bCs/>
          <w:sz w:val="24"/>
          <w:szCs w:val="24"/>
          <w:lang w:val="es-MX" w:eastAsia="ar-SA"/>
        </w:rPr>
        <w:t>Que, a través del señalado recurso, la asegurada cuestiona lo resuelto por el ORU, estimando que lo resuelto no está arreglado a ley, lo cual sustenta resumidamente de la manera siguiente: a) El seguro contratado es una póliza de sepelio, por lo que debe brindar cobertura por la circunstancia objetiva del fallecimiento del asegurado o de sus beneficiarios, a diferencia de la pólizas que cubren tratamientos médicos, oncológicos o por accidentes, b) la póliza se contrata con la certeza que el siniestro se verificará en algún momento, salvo en lo relativo al período de carencia en que existe la representación que no se cuenta con cobertura por el respectivo período, conforme a ello, la póliza contiene un doble régimen, un período de carencia general de 90 días, y uno de un año tratándose específicamente por cáncer, y 6 meses adicionales por leucemia, c) En las condiciones generales de la póliza también se regula lo relativo a las exclusiones, entre las que figura la muerte derivada de enfermedad preexistente, d) De acuerdo a lo resuelto por el ORU, carece de sustento afirmar que el período de carencia deja sin efecto las exclusiones, pese a encontrarse éstas entre las disposiciones generales, lo cual no es la interpretación más favorable para el asegurado, siendo más bien que se está interpretando la póliza de la manera más favorable para la aseguradora, pese a que el asegurado ha pagado por más de 13 años la cobertura actualmente reclamada, e) Existiendo dos figuras opuestas en el contrato: las exclusiones y el régimen de carencia (el cual está sujeto a un régimen especial), corresponde que sólo se aplique lo relativo al período de carecía, por lo que el rechazo sustentado en una exclusión inaplicable corresponde simplemente a un abuso de derecho, y) Conforme a lo anterior, por causa de justicia,  sobre la base que la saña colegiada se aleje de la literalidad expresada en la resolución recurrida, se confía en que se revoque lo ya resuelto y, amparándose la reclamación, se ordene el reembolso de los gastos relativos al sepelio;</w:t>
      </w:r>
    </w:p>
    <w:p w14:paraId="3A7C5AB5" w14:textId="77777777" w:rsidR="009C4742" w:rsidRPr="009C4742" w:rsidRDefault="009C4742" w:rsidP="009C4742">
      <w:pPr>
        <w:suppressAutoHyphens/>
        <w:spacing w:after="0" w:line="240" w:lineRule="auto"/>
        <w:jc w:val="both"/>
        <w:rPr>
          <w:rFonts w:ascii="Times New Roman" w:eastAsia="Times New Roman" w:hAnsi="Times New Roman" w:cs="Times New Roman"/>
          <w:bCs/>
          <w:sz w:val="24"/>
          <w:szCs w:val="24"/>
          <w:lang w:val="es-MX" w:eastAsia="ar-SA"/>
        </w:rPr>
      </w:pPr>
    </w:p>
    <w:p w14:paraId="4FB09A95" w14:textId="305F8BF5" w:rsidR="009C4742" w:rsidRPr="009C4742" w:rsidRDefault="009C4742" w:rsidP="009C4742">
      <w:pPr>
        <w:suppressAutoHyphens/>
        <w:spacing w:after="0" w:line="240" w:lineRule="auto"/>
        <w:jc w:val="both"/>
        <w:rPr>
          <w:rFonts w:ascii="Times New Roman" w:eastAsia="Times New Roman" w:hAnsi="Times New Roman" w:cs="Times New Roman"/>
          <w:bCs/>
          <w:sz w:val="24"/>
          <w:szCs w:val="24"/>
          <w:lang w:val="es-MX" w:eastAsia="ar-SA"/>
        </w:rPr>
      </w:pPr>
      <w:r w:rsidRPr="009C4742">
        <w:rPr>
          <w:rFonts w:ascii="Times New Roman" w:eastAsia="Times New Roman" w:hAnsi="Times New Roman" w:cs="Times New Roman"/>
          <w:bCs/>
          <w:sz w:val="24"/>
          <w:szCs w:val="24"/>
          <w:lang w:val="es-MX" w:eastAsia="ar-SA"/>
        </w:rPr>
        <w:t xml:space="preserve">Que, habiéndosele corrido traslado a </w:t>
      </w:r>
      <w:r w:rsidR="002374D6" w:rsidRPr="006A2AAB">
        <w:rPr>
          <w:lang w:val="es-PE"/>
        </w:rPr>
        <w:t>..................</w:t>
      </w:r>
      <w:r w:rsidR="002374D6">
        <w:rPr>
          <w:lang w:val="es-PE"/>
        </w:rPr>
        <w:t xml:space="preserve"> </w:t>
      </w:r>
      <w:r w:rsidRPr="009C4742">
        <w:rPr>
          <w:rFonts w:ascii="Times New Roman" w:eastAsia="Times New Roman" w:hAnsi="Times New Roman" w:cs="Times New Roman"/>
          <w:bCs/>
          <w:sz w:val="24"/>
          <w:szCs w:val="24"/>
          <w:lang w:val="es-MX" w:eastAsia="ar-SA"/>
        </w:rPr>
        <w:t xml:space="preserve">de la señalada impugnación, mediante escrito presentado con fecha 5 de mayo de 2021, la señalada aseguradora solicitó que el mismo sea desestimado, estimando resumidamente lo siguiente: a) El recurso impugnativo plantea una serie de alegaciones que ya fueron expuestas y valoradas en su oportunidad, los que no desvirtúan lo resuelto, b) La posición de la reclamante consiste en reiterar que, habiéndose vencido ampliamente el período de carencia por cáncer establecido en la póliza, ya no aplican las exclusiones pactadas, de manera que la preexistencia no puede estar referida al cáncer, c) Se destaca que la reclamante no niega el pacto de preexistencia, ni el hecho que la muerte de su hermana fue como consecuencia de un cáncer que deriva de una enfermedad preexistente a la contratación del seguro, siendo que sólo sustenta su posición en el sentido que, a su juicio, ya no resulta aplicable la indicada exclusión de cobertura, d) Lo anterior no es sustentable, dado que la existencia de un período de carencia no es contradictoria con un régimen de exclusiones, o de enfermedad preexistente; es así, que en el período de carencia sólo se regula que las </w:t>
      </w:r>
      <w:r w:rsidRPr="009C4742">
        <w:rPr>
          <w:rFonts w:ascii="Times New Roman" w:eastAsia="Times New Roman" w:hAnsi="Times New Roman" w:cs="Times New Roman"/>
          <w:bCs/>
          <w:sz w:val="24"/>
          <w:szCs w:val="24"/>
          <w:lang w:val="es-MX" w:eastAsia="ar-SA"/>
        </w:rPr>
        <w:lastRenderedPageBreak/>
        <w:t xml:space="preserve">coberturas no son exigibles por determinado tiempo, siendo que las exclusiones delimitan negativamente el riesgo establecido en el contrato de seguro, lo cual ha sido destacando en el numeral 6.4 de la resolución recurrida, y </w:t>
      </w:r>
      <w:proofErr w:type="spellStart"/>
      <w:r w:rsidRPr="009C4742">
        <w:rPr>
          <w:rFonts w:ascii="Times New Roman" w:eastAsia="Times New Roman" w:hAnsi="Times New Roman" w:cs="Times New Roman"/>
          <w:bCs/>
          <w:sz w:val="24"/>
          <w:szCs w:val="24"/>
          <w:lang w:val="es-MX" w:eastAsia="ar-SA"/>
        </w:rPr>
        <w:t>e</w:t>
      </w:r>
      <w:proofErr w:type="spellEnd"/>
      <w:r w:rsidRPr="009C4742">
        <w:rPr>
          <w:rFonts w:ascii="Times New Roman" w:eastAsia="Times New Roman" w:hAnsi="Times New Roman" w:cs="Times New Roman"/>
          <w:bCs/>
          <w:sz w:val="24"/>
          <w:szCs w:val="24"/>
          <w:lang w:val="es-MX" w:eastAsia="ar-SA"/>
        </w:rPr>
        <w:t xml:space="preserve">) Conforme a lo anterior, estando acreditada la preexistencia, la cual no es negada en sí misma por la reclamante, se advierte que el rechazo se encuentra plenamente justificado, conforme al contrato; </w:t>
      </w:r>
    </w:p>
    <w:p w14:paraId="4527353F" w14:textId="77777777" w:rsidR="009C4742" w:rsidRPr="009C4742" w:rsidRDefault="009C4742" w:rsidP="009C4742">
      <w:pPr>
        <w:suppressAutoHyphens/>
        <w:spacing w:after="0" w:line="240" w:lineRule="auto"/>
        <w:jc w:val="both"/>
        <w:rPr>
          <w:rFonts w:ascii="Times New Roman" w:eastAsia="Times New Roman" w:hAnsi="Times New Roman" w:cs="Times New Roman"/>
          <w:bCs/>
          <w:sz w:val="24"/>
          <w:szCs w:val="24"/>
          <w:lang w:val="es-MX" w:eastAsia="ar-SA"/>
        </w:rPr>
      </w:pPr>
    </w:p>
    <w:p w14:paraId="0C329A0A" w14:textId="77777777" w:rsidR="009C4742" w:rsidRPr="009C4742" w:rsidRDefault="009C4742" w:rsidP="009C4742">
      <w:pPr>
        <w:suppressAutoHyphens/>
        <w:spacing w:after="0" w:line="240" w:lineRule="auto"/>
        <w:jc w:val="both"/>
        <w:rPr>
          <w:rFonts w:ascii="Times New Roman" w:hAnsi="Times New Roman" w:cs="Times New Roman"/>
          <w:bCs/>
          <w:sz w:val="24"/>
          <w:szCs w:val="24"/>
          <w:lang w:val="es-ES"/>
        </w:rPr>
      </w:pPr>
      <w:r w:rsidRPr="009C4742">
        <w:rPr>
          <w:rFonts w:ascii="Times New Roman" w:hAnsi="Times New Roman" w:cs="Times New Roman"/>
          <w:bCs/>
          <w:sz w:val="24"/>
          <w:szCs w:val="24"/>
          <w:lang w:val="es-ES"/>
        </w:rPr>
        <w:t>Que, ambas partes han tenido la oportunidad para ejercer su derecho de defensa con relación a la impugnación de la resolución recurrida, siendo que este colegiado estima que se encuentra suficientemente informado para resolver de manera definitiva;</w:t>
      </w:r>
    </w:p>
    <w:p w14:paraId="0C4C378B" w14:textId="77777777" w:rsidR="009C4742" w:rsidRPr="009C4742" w:rsidRDefault="009C4742" w:rsidP="009C4742">
      <w:pPr>
        <w:suppressAutoHyphens/>
        <w:spacing w:after="0" w:line="240" w:lineRule="auto"/>
        <w:jc w:val="both"/>
        <w:rPr>
          <w:rFonts w:ascii="Times New Roman" w:eastAsia="Times New Roman" w:hAnsi="Times New Roman" w:cs="Times New Roman"/>
          <w:bCs/>
          <w:sz w:val="24"/>
          <w:szCs w:val="24"/>
          <w:lang w:val="es-MX" w:eastAsia="ar-SA"/>
        </w:rPr>
      </w:pPr>
    </w:p>
    <w:p w14:paraId="62FB9507" w14:textId="77777777" w:rsidR="009C4742" w:rsidRPr="009C4742" w:rsidRDefault="009C4742" w:rsidP="009C4742">
      <w:pPr>
        <w:suppressAutoHyphens/>
        <w:spacing w:after="0" w:line="240" w:lineRule="auto"/>
        <w:jc w:val="both"/>
        <w:rPr>
          <w:rFonts w:ascii="Times New Roman" w:eastAsia="Times New Roman" w:hAnsi="Times New Roman" w:cs="Times New Roman"/>
          <w:bCs/>
          <w:sz w:val="24"/>
          <w:szCs w:val="24"/>
          <w:lang w:val="es-MX" w:eastAsia="ar-SA"/>
        </w:rPr>
      </w:pPr>
      <w:r w:rsidRPr="009C4742">
        <w:rPr>
          <w:rFonts w:ascii="Times New Roman" w:eastAsia="Times New Roman" w:hAnsi="Times New Roman" w:cs="Times New Roman"/>
          <w:b/>
          <w:bCs/>
          <w:sz w:val="24"/>
          <w:szCs w:val="24"/>
          <w:lang w:val="es-MX" w:eastAsia="ar-SA"/>
        </w:rPr>
        <w:t>Considerando:</w:t>
      </w:r>
    </w:p>
    <w:p w14:paraId="68911CF6" w14:textId="77777777" w:rsidR="009C4742" w:rsidRPr="009C4742" w:rsidRDefault="009C4742" w:rsidP="009C4742">
      <w:pPr>
        <w:suppressAutoHyphens/>
        <w:spacing w:after="0" w:line="240" w:lineRule="auto"/>
        <w:jc w:val="both"/>
        <w:rPr>
          <w:rFonts w:ascii="Times New Roman" w:eastAsia="Times New Roman" w:hAnsi="Times New Roman" w:cs="Times New Roman"/>
          <w:sz w:val="24"/>
          <w:szCs w:val="24"/>
          <w:lang w:val="es-ES" w:eastAsia="ar-SA"/>
        </w:rPr>
      </w:pPr>
    </w:p>
    <w:p w14:paraId="2210E708" w14:textId="77777777" w:rsidR="009C4742" w:rsidRPr="009C4742" w:rsidRDefault="009C4742" w:rsidP="009C4742">
      <w:pPr>
        <w:spacing w:after="0" w:line="240" w:lineRule="auto"/>
        <w:jc w:val="both"/>
        <w:rPr>
          <w:rFonts w:ascii="Times New Roman" w:hAnsi="Times New Roman" w:cs="Times New Roman"/>
          <w:sz w:val="24"/>
          <w:szCs w:val="24"/>
          <w:lang w:val="es-PE"/>
        </w:rPr>
      </w:pPr>
      <w:r w:rsidRPr="009C4742">
        <w:rPr>
          <w:rFonts w:ascii="Times New Roman" w:hAnsi="Times New Roman" w:cs="Times New Roman"/>
          <w:b/>
          <w:sz w:val="24"/>
          <w:szCs w:val="24"/>
          <w:u w:val="single"/>
          <w:lang w:val="es-PE"/>
        </w:rPr>
        <w:t>Primero</w:t>
      </w:r>
      <w:r w:rsidRPr="009C4742">
        <w:rPr>
          <w:rFonts w:ascii="Times New Roman" w:hAnsi="Times New Roman" w:cs="Times New Roman"/>
          <w:b/>
          <w:sz w:val="24"/>
          <w:szCs w:val="24"/>
          <w:lang w:val="es-PE"/>
        </w:rPr>
        <w:t>:</w:t>
      </w:r>
      <w:r w:rsidRPr="009C4742">
        <w:rPr>
          <w:rFonts w:ascii="Times New Roman" w:hAnsi="Times New Roman" w:cs="Times New Roman"/>
          <w:sz w:val="24"/>
          <w:szCs w:val="24"/>
          <w:lang w:val="es-PE"/>
        </w:rPr>
        <w:t xml:space="preserve"> El Reglamento de la DEFASEG </w:t>
      </w:r>
      <w:r w:rsidRPr="009C4742">
        <w:rPr>
          <w:rFonts w:ascii="Times New Roman" w:eastAsia="Arial Unicode MS" w:hAnsi="Times New Roman" w:cs="Times New Roman"/>
          <w:sz w:val="24"/>
          <w:szCs w:val="24"/>
          <w:lang w:val="es-PE"/>
        </w:rPr>
        <w:t xml:space="preserve">(http://www.defaseg.com.pe/reglamento), en su artículo 10, </w:t>
      </w:r>
      <w:r w:rsidRPr="009C4742">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9C4742">
        <w:rPr>
          <w:rFonts w:ascii="Times New Roman" w:hAnsi="Times New Roman" w:cs="Times New Roman"/>
          <w:sz w:val="24"/>
          <w:szCs w:val="24"/>
          <w:lang w:val="es-ES"/>
        </w:rPr>
        <w:t>usuario de seguro recurre en forma voluntaria a la Defensoría, siendo que la presentación de una reclamación n</w:t>
      </w:r>
      <w:r w:rsidRPr="009C4742">
        <w:rPr>
          <w:rFonts w:ascii="Times New Roman" w:hAnsi="Times New Roman" w:cs="Times New Roman"/>
          <w:sz w:val="24"/>
          <w:szCs w:val="24"/>
          <w:lang w:val="es-PE"/>
        </w:rPr>
        <w:t>o limita su derecho a recurrir posteriormente ante el órgano administrativo o jurisdiccional que considere pertinente.  Conforme a lo anterior, si el asegurado no se encuentra conforme con lo que sea finalmente resuelto, la respectiva resolución no lo compromete ni le restringe la posibilidad de poder recurrir a las instancias correspondientes, a diferencia de la aseguradora que sí queda comprometida con lo resuelto por la DEFASEG.</w:t>
      </w:r>
    </w:p>
    <w:p w14:paraId="7D7BD354" w14:textId="77777777" w:rsidR="009C4742" w:rsidRPr="009C4742" w:rsidRDefault="009C4742" w:rsidP="009C4742">
      <w:pPr>
        <w:spacing w:after="0" w:line="240" w:lineRule="auto"/>
        <w:jc w:val="both"/>
        <w:rPr>
          <w:rFonts w:ascii="Times New Roman" w:hAnsi="Times New Roman" w:cs="Times New Roman"/>
          <w:sz w:val="24"/>
          <w:szCs w:val="24"/>
          <w:lang w:val="es-PE"/>
        </w:rPr>
      </w:pPr>
    </w:p>
    <w:p w14:paraId="12672AEA" w14:textId="77777777" w:rsidR="009C4742" w:rsidRPr="009C4742" w:rsidRDefault="009C4742" w:rsidP="009C4742">
      <w:pPr>
        <w:tabs>
          <w:tab w:val="left" w:pos="0"/>
          <w:tab w:val="left" w:pos="2160"/>
        </w:tabs>
        <w:spacing w:after="0" w:line="240" w:lineRule="auto"/>
        <w:jc w:val="both"/>
        <w:rPr>
          <w:rFonts w:ascii="Times New Roman" w:hAnsi="Times New Roman" w:cs="Times New Roman"/>
          <w:sz w:val="24"/>
          <w:szCs w:val="24"/>
          <w:lang w:val="es-ES"/>
        </w:rPr>
      </w:pPr>
      <w:r w:rsidRPr="009C4742">
        <w:rPr>
          <w:rFonts w:ascii="Times New Roman" w:hAnsi="Times New Roman" w:cs="Times New Roman"/>
          <w:b/>
          <w:sz w:val="24"/>
          <w:szCs w:val="24"/>
          <w:u w:val="single"/>
          <w:lang w:val="es-PE"/>
        </w:rPr>
        <w:t>Segundo</w:t>
      </w:r>
      <w:r w:rsidRPr="009C4742">
        <w:rPr>
          <w:rFonts w:ascii="Times New Roman" w:hAnsi="Times New Roman" w:cs="Times New Roman"/>
          <w:b/>
          <w:sz w:val="24"/>
          <w:szCs w:val="24"/>
          <w:lang w:val="es-PE"/>
        </w:rPr>
        <w:t>:</w:t>
      </w:r>
      <w:r w:rsidRPr="009C4742">
        <w:rPr>
          <w:rFonts w:ascii="Times New Roman" w:hAnsi="Times New Roman" w:cs="Times New Roman"/>
          <w:sz w:val="24"/>
          <w:szCs w:val="24"/>
          <w:lang w:val="es-PE"/>
        </w:rPr>
        <w:t xml:space="preserve"> Atendiendo a los fundamentos de la impugnación interpuesta, no</w:t>
      </w:r>
      <w:r w:rsidRPr="009C4742">
        <w:rPr>
          <w:rFonts w:ascii="Times New Roman" w:hAnsi="Times New Roman" w:cs="Times New Roman"/>
          <w:bCs/>
          <w:sz w:val="24"/>
          <w:szCs w:val="24"/>
          <w:lang w:val="es-PE"/>
        </w:rPr>
        <w:t xml:space="preserve"> habiéndose expuesto ni acreditado nuevo argumento que desautorice lo resuelto, se estima que el </w:t>
      </w:r>
      <w:r w:rsidRPr="009C4742">
        <w:rPr>
          <w:rFonts w:ascii="Times New Roman" w:hAnsi="Times New Roman" w:cs="Times New Roman"/>
          <w:sz w:val="24"/>
          <w:szCs w:val="24"/>
          <w:lang w:val="es-ES"/>
        </w:rPr>
        <w:t>recurso impugnativo interpuesto puede ser categorizado, por su contenido objetivo mismo, como una solicitud de revisión general, sustentado exclusivamente en el respetable criterio de la reclamante que este colegiado no comparte, sin aportar nuevo medio probatorio que permita apreciar que el ORU habría incurrido en un error o vicio al momento de resolver.</w:t>
      </w:r>
    </w:p>
    <w:p w14:paraId="1AE60DFB" w14:textId="77777777" w:rsidR="009C4742" w:rsidRPr="009C4742" w:rsidRDefault="009C4742" w:rsidP="009C4742">
      <w:pPr>
        <w:tabs>
          <w:tab w:val="left" w:pos="0"/>
          <w:tab w:val="left" w:pos="2160"/>
        </w:tabs>
        <w:spacing w:after="0" w:line="240" w:lineRule="auto"/>
        <w:jc w:val="both"/>
        <w:rPr>
          <w:rFonts w:ascii="Times New Roman" w:hAnsi="Times New Roman" w:cs="Times New Roman"/>
          <w:sz w:val="24"/>
          <w:szCs w:val="24"/>
          <w:lang w:val="es-PE"/>
        </w:rPr>
      </w:pPr>
    </w:p>
    <w:p w14:paraId="06B307CA" w14:textId="77777777" w:rsidR="009C4742" w:rsidRPr="009C4742" w:rsidRDefault="009C4742" w:rsidP="009C4742">
      <w:pPr>
        <w:tabs>
          <w:tab w:val="left" w:pos="0"/>
          <w:tab w:val="left" w:pos="2160"/>
        </w:tabs>
        <w:spacing w:after="0" w:line="240" w:lineRule="auto"/>
        <w:jc w:val="both"/>
        <w:rPr>
          <w:rFonts w:ascii="Times New Roman" w:hAnsi="Times New Roman" w:cs="Times New Roman"/>
          <w:bCs/>
          <w:sz w:val="24"/>
          <w:szCs w:val="24"/>
          <w:lang w:val="es-ES"/>
        </w:rPr>
      </w:pPr>
      <w:r w:rsidRPr="009C4742">
        <w:rPr>
          <w:rFonts w:ascii="Times New Roman" w:hAnsi="Times New Roman" w:cs="Times New Roman"/>
          <w:sz w:val="24"/>
          <w:szCs w:val="24"/>
          <w:lang w:val="es-PE"/>
        </w:rPr>
        <w:t>En tal virtud, según fue analizado al expedirse la resolución recurrida, lo cual este colegiado hace suyo, el rechazo de cobertura se encuentra final y legítimamente sustentado, ajustándose al marco legal y a los términos de la póliza contratada</w:t>
      </w:r>
      <w:r w:rsidRPr="009C4742">
        <w:rPr>
          <w:rFonts w:ascii="Times New Roman" w:hAnsi="Times New Roman" w:cs="Times New Roman"/>
          <w:bCs/>
          <w:sz w:val="24"/>
          <w:szCs w:val="24"/>
          <w:lang w:val="es-PE"/>
        </w:rPr>
        <w:t xml:space="preserve">, por lo que disponer el otorgamiento del beneficio reclamado no sólo significaría una contravención al contrato de seguro, respecto a un riesgo no aceptado, sino que derivaría en un enriquecimiento ilegítimo.  Es así </w:t>
      </w:r>
      <w:proofErr w:type="gramStart"/>
      <w:r w:rsidRPr="009C4742">
        <w:rPr>
          <w:rFonts w:ascii="Times New Roman" w:hAnsi="Times New Roman" w:cs="Times New Roman"/>
          <w:bCs/>
          <w:sz w:val="24"/>
          <w:szCs w:val="24"/>
          <w:lang w:val="es-PE"/>
        </w:rPr>
        <w:t>que</w:t>
      </w:r>
      <w:proofErr w:type="gramEnd"/>
      <w:r w:rsidRPr="009C4742">
        <w:rPr>
          <w:rFonts w:ascii="Times New Roman" w:hAnsi="Times New Roman" w:cs="Times New Roman"/>
          <w:bCs/>
          <w:sz w:val="24"/>
          <w:szCs w:val="24"/>
          <w:lang w:val="es-PE"/>
        </w:rPr>
        <w:t xml:space="preserve"> este colegiado no advierte jurídicamente que corresponda aplicar la interpretación más favorable a la asegurada, dado que la interpretación que se reitera en la impugnación contraviene al contrato y a las instituciones del derecho de seguros comprometidas, siendo que menos puede concluirse que al aplicar lo pactado, la aseguradora incurra en un supuesto abuso de derecho.</w:t>
      </w:r>
    </w:p>
    <w:p w14:paraId="1D3E8D4D" w14:textId="77777777" w:rsidR="009C4742" w:rsidRPr="009C4742" w:rsidRDefault="009C4742" w:rsidP="009C4742">
      <w:pPr>
        <w:tabs>
          <w:tab w:val="left" w:pos="2160"/>
        </w:tabs>
        <w:spacing w:after="0" w:line="240" w:lineRule="auto"/>
        <w:jc w:val="both"/>
        <w:rPr>
          <w:rFonts w:ascii="Times New Roman" w:hAnsi="Times New Roman" w:cs="Times New Roman"/>
          <w:sz w:val="24"/>
          <w:szCs w:val="24"/>
          <w:lang w:val="es-ES"/>
        </w:rPr>
      </w:pPr>
    </w:p>
    <w:p w14:paraId="03BF904D" w14:textId="77777777" w:rsidR="009C4742" w:rsidRPr="009C4742" w:rsidRDefault="009C4742" w:rsidP="009C4742">
      <w:pPr>
        <w:tabs>
          <w:tab w:val="left" w:pos="2160"/>
        </w:tabs>
        <w:spacing w:after="0" w:line="240" w:lineRule="auto"/>
        <w:jc w:val="both"/>
        <w:rPr>
          <w:rFonts w:ascii="Times New Roman" w:hAnsi="Times New Roman" w:cs="Times New Roman"/>
          <w:sz w:val="24"/>
          <w:szCs w:val="24"/>
          <w:lang w:val="es-ES"/>
        </w:rPr>
      </w:pPr>
      <w:r w:rsidRPr="009C4742">
        <w:rPr>
          <w:rFonts w:ascii="Times New Roman" w:hAnsi="Times New Roman" w:cs="Times New Roman"/>
          <w:sz w:val="24"/>
          <w:szCs w:val="24"/>
          <w:lang w:val="es-ES"/>
        </w:rPr>
        <w:t>En atención a las consideraciones precedentes, este colegiado aprecia que no existe mérito ni razón objetiva para revocar la resolución recurrida; por lo tanto,</w:t>
      </w:r>
    </w:p>
    <w:p w14:paraId="670F9ED4" w14:textId="77777777" w:rsidR="009C4742" w:rsidRPr="009C4742" w:rsidRDefault="009C4742" w:rsidP="009C4742">
      <w:pPr>
        <w:spacing w:after="0" w:line="240" w:lineRule="auto"/>
        <w:jc w:val="both"/>
        <w:rPr>
          <w:rFonts w:ascii="Times New Roman" w:eastAsia="Times New Roman" w:hAnsi="Times New Roman" w:cs="Times New Roman"/>
          <w:bCs/>
          <w:sz w:val="24"/>
          <w:szCs w:val="24"/>
          <w:lang w:val="es-ES" w:eastAsia="ar-SA"/>
        </w:rPr>
      </w:pPr>
    </w:p>
    <w:p w14:paraId="5D4D2872" w14:textId="77777777" w:rsidR="009C4742" w:rsidRPr="009C4742" w:rsidRDefault="009C4742" w:rsidP="009C4742">
      <w:pPr>
        <w:spacing w:after="0" w:line="240" w:lineRule="auto"/>
        <w:jc w:val="both"/>
        <w:rPr>
          <w:rFonts w:ascii="Times New Roman" w:hAnsi="Times New Roman" w:cs="Times New Roman"/>
          <w:b/>
          <w:sz w:val="24"/>
          <w:szCs w:val="24"/>
          <w:lang w:val="es-PE"/>
        </w:rPr>
      </w:pPr>
      <w:r w:rsidRPr="009C4742">
        <w:rPr>
          <w:rFonts w:ascii="Times New Roman" w:hAnsi="Times New Roman" w:cs="Times New Roman"/>
          <w:b/>
          <w:sz w:val="24"/>
          <w:szCs w:val="24"/>
          <w:lang w:val="es-PE"/>
        </w:rPr>
        <w:t>Atendiendo a lo expresado, conforme a su reglamento, este colegiado resuelve:</w:t>
      </w:r>
    </w:p>
    <w:p w14:paraId="741579CC" w14:textId="77777777" w:rsidR="009C4742" w:rsidRPr="009C4742" w:rsidRDefault="009C4742" w:rsidP="009C4742">
      <w:pPr>
        <w:spacing w:after="0" w:line="240" w:lineRule="auto"/>
        <w:jc w:val="both"/>
        <w:rPr>
          <w:rFonts w:ascii="Times New Roman" w:eastAsia="Arial Unicode MS" w:hAnsi="Times New Roman" w:cs="Times New Roman"/>
          <w:b/>
          <w:sz w:val="24"/>
          <w:szCs w:val="24"/>
          <w:lang w:val="es-PE"/>
        </w:rPr>
      </w:pPr>
    </w:p>
    <w:p w14:paraId="76EE85E3" w14:textId="595068C7" w:rsidR="009C4742" w:rsidRPr="009C4742" w:rsidRDefault="009C4742" w:rsidP="009C4742">
      <w:pPr>
        <w:spacing w:after="0" w:line="240" w:lineRule="auto"/>
        <w:jc w:val="both"/>
        <w:rPr>
          <w:rFonts w:ascii="Times New Roman" w:eastAsia="Times New Roman" w:hAnsi="Times New Roman" w:cs="Times New Roman"/>
          <w:sz w:val="24"/>
          <w:szCs w:val="24"/>
          <w:lang w:val="es-ES" w:eastAsia="ar-SA"/>
        </w:rPr>
      </w:pPr>
      <w:r w:rsidRPr="009C4742">
        <w:rPr>
          <w:rFonts w:ascii="Times New Roman" w:eastAsia="Arial Unicode MS" w:hAnsi="Times New Roman" w:cs="Times New Roman"/>
          <w:b/>
          <w:sz w:val="24"/>
          <w:szCs w:val="24"/>
          <w:lang w:val="es-PE"/>
        </w:rPr>
        <w:t xml:space="preserve">Declarar INFUNDADO el recurso impugnativo </w:t>
      </w:r>
      <w:r w:rsidRPr="009C4742">
        <w:rPr>
          <w:rFonts w:ascii="Times New Roman" w:eastAsia="Arial Unicode MS" w:hAnsi="Times New Roman" w:cs="Times New Roman"/>
          <w:sz w:val="24"/>
          <w:szCs w:val="24"/>
          <w:lang w:val="es-PE"/>
        </w:rPr>
        <w:t xml:space="preserve">interpuesto por </w:t>
      </w:r>
      <w:r w:rsidRPr="009C4742">
        <w:rPr>
          <w:rFonts w:ascii="Times New Roman" w:eastAsia="Times New Roman" w:hAnsi="Times New Roman" w:cs="Times New Roman"/>
          <w:sz w:val="24"/>
          <w:szCs w:val="24"/>
          <w:lang w:val="es-ES" w:eastAsia="ar-SA"/>
        </w:rPr>
        <w:t>doña</w:t>
      </w:r>
      <w:r w:rsidRPr="009C4742">
        <w:rPr>
          <w:rFonts w:ascii="Times New Roman" w:hAnsi="Times New Roman" w:cs="Times New Roman"/>
          <w:bCs/>
          <w:sz w:val="24"/>
          <w:szCs w:val="24"/>
          <w:lang w:val="es-ES"/>
        </w:rPr>
        <w:t xml:space="preserve"> </w:t>
      </w:r>
      <w:r w:rsidR="002374D6" w:rsidRPr="006A2AAB">
        <w:rPr>
          <w:lang w:val="es-PE"/>
        </w:rPr>
        <w:t>..................</w:t>
      </w:r>
      <w:r w:rsidRPr="009C4742">
        <w:rPr>
          <w:rFonts w:ascii="Times New Roman" w:eastAsia="Times New Roman" w:hAnsi="Times New Roman" w:cs="Times New Roman"/>
          <w:sz w:val="24"/>
          <w:szCs w:val="24"/>
          <w:lang w:val="es-ES" w:eastAsia="ar-SA"/>
        </w:rPr>
        <w:t xml:space="preserve"> </w:t>
      </w:r>
      <w:r w:rsidRPr="009C4742">
        <w:rPr>
          <w:rFonts w:ascii="Times New Roman" w:hAnsi="Times New Roman" w:cs="Times New Roman"/>
          <w:bCs/>
          <w:sz w:val="24"/>
          <w:szCs w:val="24"/>
          <w:lang w:val="es-ES"/>
        </w:rPr>
        <w:t>y, por consiguiente, ratificar</w:t>
      </w:r>
      <w:r w:rsidRPr="009C4742">
        <w:rPr>
          <w:rFonts w:ascii="Times New Roman" w:eastAsia="Times New Roman" w:hAnsi="Times New Roman" w:cs="Times New Roman"/>
          <w:sz w:val="24"/>
          <w:szCs w:val="24"/>
          <w:lang w:val="es-ES" w:eastAsia="ar-SA"/>
        </w:rPr>
        <w:t xml:space="preserve"> la Resolución Nro. 046/21, de fecha 20 de abril de 2021.</w:t>
      </w:r>
    </w:p>
    <w:p w14:paraId="486C3F46" w14:textId="5D581AD4" w:rsidR="00C671F5" w:rsidRPr="00B115C4" w:rsidRDefault="0091528B" w:rsidP="00CF22D3">
      <w:pPr>
        <w:suppressAutoHyphens/>
        <w:spacing w:after="0" w:line="240" w:lineRule="auto"/>
        <w:jc w:val="right"/>
        <w:outlineLvl w:val="0"/>
        <w:rPr>
          <w:rFonts w:ascii="Times New Roman" w:eastAsia="Arial Unicode MS" w:hAnsi="Times New Roman" w:cs="Times New Roman"/>
          <w:sz w:val="24"/>
          <w:szCs w:val="24"/>
          <w:lang w:val="es-PE" w:eastAsia="ar-SA"/>
        </w:rPr>
      </w:pPr>
      <w:r w:rsidRPr="00CF22D3">
        <w:rPr>
          <w:rFonts w:ascii="Times New Roman" w:eastAsia="Arial Unicode MS" w:hAnsi="Times New Roman" w:cs="Times New Roman"/>
          <w:sz w:val="24"/>
          <w:szCs w:val="24"/>
          <w:lang w:val="es-PE" w:eastAsia="ar-SA"/>
        </w:rPr>
        <w:t xml:space="preserve">Lima, </w:t>
      </w:r>
      <w:r w:rsidR="009C4742">
        <w:rPr>
          <w:rFonts w:ascii="Times New Roman" w:eastAsia="Arial Unicode MS" w:hAnsi="Times New Roman" w:cs="Times New Roman"/>
          <w:sz w:val="24"/>
          <w:szCs w:val="24"/>
          <w:lang w:val="es-PE" w:eastAsia="ar-SA"/>
        </w:rPr>
        <w:t>17</w:t>
      </w:r>
      <w:r w:rsidR="00EA67A0">
        <w:rPr>
          <w:rFonts w:ascii="Times New Roman" w:eastAsia="Arial Unicode MS" w:hAnsi="Times New Roman" w:cs="Times New Roman"/>
          <w:sz w:val="24"/>
          <w:szCs w:val="24"/>
          <w:lang w:val="es-PE" w:eastAsia="ar-SA"/>
        </w:rPr>
        <w:t xml:space="preserve"> </w:t>
      </w:r>
      <w:r w:rsidR="00707C99" w:rsidRPr="00CF22D3">
        <w:rPr>
          <w:rFonts w:ascii="Times New Roman" w:eastAsia="Arial Unicode MS" w:hAnsi="Times New Roman" w:cs="Times New Roman"/>
          <w:sz w:val="24"/>
          <w:szCs w:val="24"/>
          <w:lang w:val="es-PE" w:eastAsia="ar-SA"/>
        </w:rPr>
        <w:t xml:space="preserve">de </w:t>
      </w:r>
      <w:r w:rsidR="009C4742">
        <w:rPr>
          <w:rFonts w:ascii="Times New Roman" w:eastAsia="Arial Unicode MS" w:hAnsi="Times New Roman" w:cs="Times New Roman"/>
          <w:sz w:val="24"/>
          <w:szCs w:val="24"/>
          <w:lang w:val="es-PE" w:eastAsia="ar-SA"/>
        </w:rPr>
        <w:t>mayo</w:t>
      </w:r>
      <w:r w:rsidR="00EA67A0">
        <w:rPr>
          <w:rFonts w:ascii="Times New Roman" w:eastAsia="Arial Unicode MS" w:hAnsi="Times New Roman" w:cs="Times New Roman"/>
          <w:sz w:val="24"/>
          <w:szCs w:val="24"/>
          <w:lang w:val="es-PE" w:eastAsia="ar-SA"/>
        </w:rPr>
        <w:t xml:space="preserve"> </w:t>
      </w:r>
      <w:r w:rsidR="00F06498" w:rsidRPr="00CF22D3">
        <w:rPr>
          <w:rFonts w:ascii="Times New Roman" w:eastAsia="Arial Unicode MS" w:hAnsi="Times New Roman" w:cs="Times New Roman"/>
          <w:sz w:val="24"/>
          <w:szCs w:val="24"/>
          <w:lang w:val="es-PE" w:eastAsia="ar-SA"/>
        </w:rPr>
        <w:t>de 202</w:t>
      </w:r>
      <w:r w:rsidR="00231C58" w:rsidRPr="00CF22D3">
        <w:rPr>
          <w:rFonts w:ascii="Times New Roman" w:eastAsia="Arial Unicode MS" w:hAnsi="Times New Roman" w:cs="Times New Roman"/>
          <w:sz w:val="24"/>
          <w:szCs w:val="24"/>
          <w:lang w:val="es-PE" w:eastAsia="ar-SA"/>
        </w:rPr>
        <w:t>1</w:t>
      </w:r>
      <w:r w:rsidR="00707C99" w:rsidRPr="00B115C4">
        <w:rPr>
          <w:rFonts w:ascii="Times New Roman" w:eastAsia="Times New Roman" w:hAnsi="Times New Roman" w:cs="Times New Roman"/>
          <w:sz w:val="24"/>
          <w:szCs w:val="24"/>
          <w:lang w:val="es-PE" w:eastAsia="ar-SA"/>
        </w:rPr>
        <w:t xml:space="preserve"> </w:t>
      </w:r>
    </w:p>
    <w:p w14:paraId="2B9BAAC8" w14:textId="77777777" w:rsidR="00231C58" w:rsidRPr="00B115C4"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B115C4" w:rsidRDefault="00C671F5" w:rsidP="00C671F5">
      <w:pPr>
        <w:spacing w:after="0" w:line="240" w:lineRule="auto"/>
        <w:jc w:val="both"/>
        <w:rPr>
          <w:rFonts w:ascii="Times New Roman" w:hAnsi="Times New Roman" w:cs="Times New Roman"/>
          <w:b/>
          <w:bCs/>
          <w:i/>
          <w:iCs/>
          <w:sz w:val="24"/>
          <w:szCs w:val="24"/>
          <w:lang w:val="es-PE"/>
        </w:rPr>
      </w:pPr>
      <w:r w:rsidRPr="00B115C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B115C4" w:rsidRDefault="00C671F5" w:rsidP="00C671F5">
      <w:pPr>
        <w:spacing w:after="0" w:line="360" w:lineRule="auto"/>
        <w:jc w:val="both"/>
        <w:rPr>
          <w:rFonts w:ascii="Times New Roman" w:hAnsi="Times New Roman" w:cs="Times New Roman"/>
          <w:b/>
          <w:bCs/>
          <w:i/>
          <w:iCs/>
          <w:sz w:val="24"/>
          <w:szCs w:val="24"/>
          <w:lang w:val="es-PE"/>
        </w:rPr>
      </w:pPr>
    </w:p>
    <w:p w14:paraId="0AC29F6A" w14:textId="53E17E4E" w:rsidR="00DE2C76" w:rsidRPr="005A4C4E" w:rsidRDefault="009C4742" w:rsidP="00DE2C76">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María Eugenia Valdez Fernández Baca </w:t>
      </w:r>
      <w:r w:rsidR="00DE2C76" w:rsidRPr="005A4C4E">
        <w:rPr>
          <w:rFonts w:ascii="Times New Roman" w:hAnsi="Times New Roman" w:cs="Times New Roman"/>
          <w:b/>
          <w:bCs/>
          <w:sz w:val="24"/>
          <w:szCs w:val="24"/>
          <w:lang w:val="es-PE"/>
        </w:rPr>
        <w:t>– Vocal</w:t>
      </w:r>
    </w:p>
    <w:p w14:paraId="3006BA35" w14:textId="7871895F" w:rsidR="00292018" w:rsidRPr="00B115C4" w:rsidRDefault="00292018" w:rsidP="00292018">
      <w:pPr>
        <w:spacing w:after="0" w:line="360" w:lineRule="auto"/>
        <w:jc w:val="center"/>
        <w:rPr>
          <w:rFonts w:ascii="Times New Roman" w:hAnsi="Times New Roman" w:cs="Times New Roman"/>
          <w:b/>
          <w:bCs/>
          <w:sz w:val="24"/>
          <w:szCs w:val="24"/>
          <w:lang w:val="es-PE"/>
        </w:rPr>
      </w:pPr>
      <w:r w:rsidRPr="00B115C4">
        <w:rPr>
          <w:rFonts w:ascii="Times New Roman" w:hAnsi="Times New Roman" w:cs="Times New Roman"/>
          <w:b/>
          <w:bCs/>
          <w:sz w:val="24"/>
          <w:szCs w:val="24"/>
          <w:lang w:val="es-PE"/>
        </w:rPr>
        <w:t xml:space="preserve">Rolando Eyzaguirre </w:t>
      </w:r>
      <w:proofErr w:type="spellStart"/>
      <w:r w:rsidRPr="00B115C4">
        <w:rPr>
          <w:rFonts w:ascii="Times New Roman" w:hAnsi="Times New Roman" w:cs="Times New Roman"/>
          <w:b/>
          <w:bCs/>
          <w:sz w:val="24"/>
          <w:szCs w:val="24"/>
          <w:lang w:val="es-PE"/>
        </w:rPr>
        <w:t>Maccan</w:t>
      </w:r>
      <w:proofErr w:type="spellEnd"/>
      <w:r w:rsidRPr="00B115C4">
        <w:rPr>
          <w:rFonts w:ascii="Times New Roman" w:hAnsi="Times New Roman" w:cs="Times New Roman"/>
          <w:b/>
          <w:bCs/>
          <w:sz w:val="24"/>
          <w:szCs w:val="24"/>
          <w:lang w:val="es-PE"/>
        </w:rPr>
        <w:t xml:space="preserve"> – Vocal</w:t>
      </w:r>
    </w:p>
    <w:p w14:paraId="3A9CFE9F" w14:textId="4DFF4426" w:rsidR="00C671F5" w:rsidRPr="00B115C4" w:rsidRDefault="00C671F5" w:rsidP="00C671F5">
      <w:pPr>
        <w:spacing w:after="0" w:line="360" w:lineRule="auto"/>
        <w:jc w:val="center"/>
        <w:rPr>
          <w:rFonts w:ascii="Times New Roman" w:hAnsi="Times New Roman" w:cs="Times New Roman"/>
          <w:sz w:val="24"/>
          <w:szCs w:val="24"/>
          <w:lang w:val="es-PE"/>
        </w:rPr>
      </w:pPr>
      <w:r w:rsidRPr="00B115C4">
        <w:rPr>
          <w:rFonts w:ascii="Times New Roman" w:hAnsi="Times New Roman" w:cs="Times New Roman"/>
          <w:b/>
          <w:bCs/>
          <w:sz w:val="24"/>
          <w:szCs w:val="24"/>
          <w:lang w:val="es-PE"/>
        </w:rPr>
        <w:t xml:space="preserve">Gonzalo Abad del Busto </w:t>
      </w:r>
      <w:r w:rsidR="00231C58" w:rsidRPr="00B115C4">
        <w:rPr>
          <w:rFonts w:ascii="Times New Roman" w:hAnsi="Times New Roman" w:cs="Times New Roman"/>
          <w:b/>
          <w:bCs/>
          <w:sz w:val="24"/>
          <w:szCs w:val="24"/>
          <w:lang w:val="es-PE"/>
        </w:rPr>
        <w:t xml:space="preserve">– </w:t>
      </w:r>
      <w:r w:rsidRPr="00B115C4">
        <w:rPr>
          <w:rFonts w:ascii="Times New Roman" w:hAnsi="Times New Roman" w:cs="Times New Roman"/>
          <w:b/>
          <w:bCs/>
          <w:sz w:val="24"/>
          <w:szCs w:val="24"/>
          <w:lang w:val="es-PE"/>
        </w:rPr>
        <w:t>Vocal</w:t>
      </w:r>
    </w:p>
    <w:p w14:paraId="33E0FAB8" w14:textId="77777777" w:rsidR="00C671F5" w:rsidRPr="0061360C" w:rsidRDefault="00C671F5" w:rsidP="00C671F5">
      <w:pPr>
        <w:suppressAutoHyphens/>
        <w:spacing w:after="0" w:line="360" w:lineRule="auto"/>
        <w:outlineLvl w:val="0"/>
        <w:rPr>
          <w:rFonts w:ascii="Times New Roman" w:eastAsia="Arial Unicode MS" w:hAnsi="Times New Roman" w:cs="Times New Roman"/>
          <w:lang w:val="es-PE" w:eastAsia="ar-SA"/>
        </w:rPr>
      </w:pPr>
    </w:p>
    <w:p w14:paraId="2C3A0205" w14:textId="77777777" w:rsidR="00C671F5" w:rsidRPr="0061360C" w:rsidRDefault="00C671F5" w:rsidP="00C671F5">
      <w:pPr>
        <w:rPr>
          <w:rFonts w:ascii="Times New Roman" w:eastAsia="Arial Unicode MS" w:hAnsi="Times New Roman" w:cs="Times New Roman"/>
          <w:sz w:val="24"/>
          <w:szCs w:val="24"/>
          <w:lang w:val="es-PE" w:eastAsia="ar-SA"/>
        </w:rPr>
      </w:pPr>
    </w:p>
    <w:sectPr w:rsidR="00C671F5" w:rsidRPr="0061360C"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370D4" w14:textId="77777777" w:rsidR="008021C7" w:rsidRDefault="008021C7" w:rsidP="00784355">
      <w:pPr>
        <w:spacing w:after="0" w:line="240" w:lineRule="auto"/>
      </w:pPr>
      <w:r>
        <w:separator/>
      </w:r>
    </w:p>
  </w:endnote>
  <w:endnote w:type="continuationSeparator" w:id="0">
    <w:p w14:paraId="719F1D62" w14:textId="77777777" w:rsidR="008021C7" w:rsidRDefault="008021C7"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C01888">
              <w:rPr>
                <w:rFonts w:ascii="Times New Roman" w:hAnsi="Times New Roman" w:cs="Times New Roman"/>
                <w:sz w:val="18"/>
                <w:szCs w:val="18"/>
                <w:lang w:val="es-ES"/>
              </w:rPr>
              <w:t xml:space="preserve">Página </w:t>
            </w:r>
            <w:r w:rsidRPr="00C01888">
              <w:rPr>
                <w:rFonts w:ascii="Times New Roman" w:hAnsi="Times New Roman" w:cs="Times New Roman"/>
                <w:b/>
                <w:bCs/>
                <w:sz w:val="18"/>
                <w:szCs w:val="18"/>
              </w:rPr>
              <w:fldChar w:fldCharType="begin"/>
            </w:r>
            <w:r w:rsidRPr="00C01888">
              <w:rPr>
                <w:rFonts w:ascii="Times New Roman" w:hAnsi="Times New Roman" w:cs="Times New Roman"/>
                <w:b/>
                <w:bCs/>
                <w:sz w:val="18"/>
                <w:szCs w:val="18"/>
              </w:rPr>
              <w:instrText>PAGE</w:instrText>
            </w:r>
            <w:r w:rsidRPr="00C01888">
              <w:rPr>
                <w:rFonts w:ascii="Times New Roman" w:hAnsi="Times New Roman" w:cs="Times New Roman"/>
                <w:b/>
                <w:bCs/>
                <w:sz w:val="18"/>
                <w:szCs w:val="18"/>
              </w:rPr>
              <w:fldChar w:fldCharType="separate"/>
            </w:r>
            <w:r w:rsidRPr="00C01888">
              <w:rPr>
                <w:rFonts w:ascii="Times New Roman" w:hAnsi="Times New Roman" w:cs="Times New Roman"/>
                <w:b/>
                <w:bCs/>
                <w:sz w:val="18"/>
                <w:szCs w:val="18"/>
                <w:lang w:val="es-ES"/>
              </w:rPr>
              <w:t>2</w:t>
            </w:r>
            <w:r w:rsidRPr="00C01888">
              <w:rPr>
                <w:rFonts w:ascii="Times New Roman" w:hAnsi="Times New Roman" w:cs="Times New Roman"/>
                <w:b/>
                <w:bCs/>
                <w:sz w:val="18"/>
                <w:szCs w:val="18"/>
              </w:rPr>
              <w:fldChar w:fldCharType="end"/>
            </w:r>
            <w:r w:rsidRPr="00C01888">
              <w:rPr>
                <w:rFonts w:ascii="Times New Roman" w:hAnsi="Times New Roman" w:cs="Times New Roman"/>
                <w:sz w:val="18"/>
                <w:szCs w:val="18"/>
                <w:lang w:val="es-ES"/>
              </w:rPr>
              <w:t xml:space="preserve"> de </w:t>
            </w:r>
            <w:r w:rsidRPr="00C01888">
              <w:rPr>
                <w:rFonts w:ascii="Times New Roman" w:hAnsi="Times New Roman" w:cs="Times New Roman"/>
                <w:b/>
                <w:bCs/>
                <w:sz w:val="18"/>
                <w:szCs w:val="18"/>
              </w:rPr>
              <w:fldChar w:fldCharType="begin"/>
            </w:r>
            <w:r w:rsidRPr="00C01888">
              <w:rPr>
                <w:rFonts w:ascii="Times New Roman" w:hAnsi="Times New Roman" w:cs="Times New Roman"/>
                <w:b/>
                <w:bCs/>
                <w:sz w:val="18"/>
                <w:szCs w:val="18"/>
              </w:rPr>
              <w:instrText>NUMPAGES</w:instrText>
            </w:r>
            <w:r w:rsidRPr="00C01888">
              <w:rPr>
                <w:rFonts w:ascii="Times New Roman" w:hAnsi="Times New Roman" w:cs="Times New Roman"/>
                <w:b/>
                <w:bCs/>
                <w:sz w:val="18"/>
                <w:szCs w:val="18"/>
              </w:rPr>
              <w:fldChar w:fldCharType="separate"/>
            </w:r>
            <w:r w:rsidRPr="00C01888">
              <w:rPr>
                <w:rFonts w:ascii="Times New Roman" w:hAnsi="Times New Roman" w:cs="Times New Roman"/>
                <w:b/>
                <w:bCs/>
                <w:sz w:val="18"/>
                <w:szCs w:val="18"/>
                <w:lang w:val="es-ES"/>
              </w:rPr>
              <w:t>2</w:t>
            </w:r>
            <w:r w:rsidRPr="00C01888">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7C216" w14:textId="77777777" w:rsidR="008021C7" w:rsidRDefault="008021C7" w:rsidP="00784355">
      <w:pPr>
        <w:spacing w:after="0" w:line="240" w:lineRule="auto"/>
      </w:pPr>
      <w:r>
        <w:separator/>
      </w:r>
    </w:p>
  </w:footnote>
  <w:footnote w:type="continuationSeparator" w:id="0">
    <w:p w14:paraId="5CBD1E84" w14:textId="77777777" w:rsidR="008021C7" w:rsidRDefault="008021C7"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6E73"/>
    <w:rsid w:val="00077B6F"/>
    <w:rsid w:val="00080A9A"/>
    <w:rsid w:val="000835CB"/>
    <w:rsid w:val="00083D69"/>
    <w:rsid w:val="00083F50"/>
    <w:rsid w:val="00084148"/>
    <w:rsid w:val="00092684"/>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74D6"/>
    <w:rsid w:val="00241719"/>
    <w:rsid w:val="00243F6B"/>
    <w:rsid w:val="0027261F"/>
    <w:rsid w:val="00272F4F"/>
    <w:rsid w:val="0027301E"/>
    <w:rsid w:val="00274985"/>
    <w:rsid w:val="002768C6"/>
    <w:rsid w:val="00276A92"/>
    <w:rsid w:val="00277667"/>
    <w:rsid w:val="00290CA4"/>
    <w:rsid w:val="00292018"/>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4F05"/>
    <w:rsid w:val="0041626C"/>
    <w:rsid w:val="00417E23"/>
    <w:rsid w:val="00425F75"/>
    <w:rsid w:val="00440BC2"/>
    <w:rsid w:val="00444232"/>
    <w:rsid w:val="00460C30"/>
    <w:rsid w:val="00465367"/>
    <w:rsid w:val="00465FB9"/>
    <w:rsid w:val="00466302"/>
    <w:rsid w:val="0047370C"/>
    <w:rsid w:val="0047522D"/>
    <w:rsid w:val="00476BA1"/>
    <w:rsid w:val="00496A1A"/>
    <w:rsid w:val="004A3E25"/>
    <w:rsid w:val="004B51ED"/>
    <w:rsid w:val="004C51EC"/>
    <w:rsid w:val="004E65DD"/>
    <w:rsid w:val="004F549E"/>
    <w:rsid w:val="004F6BA0"/>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2D26"/>
    <w:rsid w:val="0058358B"/>
    <w:rsid w:val="00583A87"/>
    <w:rsid w:val="00585D65"/>
    <w:rsid w:val="005904C2"/>
    <w:rsid w:val="00592259"/>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A0499"/>
    <w:rsid w:val="006A4B79"/>
    <w:rsid w:val="006B5CAE"/>
    <w:rsid w:val="006C1A65"/>
    <w:rsid w:val="006C29A7"/>
    <w:rsid w:val="006C4C21"/>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157"/>
    <w:rsid w:val="0072050F"/>
    <w:rsid w:val="00720DBC"/>
    <w:rsid w:val="0072240A"/>
    <w:rsid w:val="007261FD"/>
    <w:rsid w:val="007300C4"/>
    <w:rsid w:val="00744447"/>
    <w:rsid w:val="0076003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1D3A"/>
    <w:rsid w:val="007E3C96"/>
    <w:rsid w:val="007E5917"/>
    <w:rsid w:val="007F74F1"/>
    <w:rsid w:val="008010D0"/>
    <w:rsid w:val="008020A1"/>
    <w:rsid w:val="008021C7"/>
    <w:rsid w:val="00816B3F"/>
    <w:rsid w:val="0081754D"/>
    <w:rsid w:val="008177B9"/>
    <w:rsid w:val="00821801"/>
    <w:rsid w:val="00836831"/>
    <w:rsid w:val="00837DDE"/>
    <w:rsid w:val="008523F5"/>
    <w:rsid w:val="008548F9"/>
    <w:rsid w:val="0085575C"/>
    <w:rsid w:val="0085791F"/>
    <w:rsid w:val="00857988"/>
    <w:rsid w:val="0086244F"/>
    <w:rsid w:val="00864F82"/>
    <w:rsid w:val="00871F40"/>
    <w:rsid w:val="00883121"/>
    <w:rsid w:val="0088392F"/>
    <w:rsid w:val="00884426"/>
    <w:rsid w:val="00886D60"/>
    <w:rsid w:val="00887814"/>
    <w:rsid w:val="008916FF"/>
    <w:rsid w:val="00891DB3"/>
    <w:rsid w:val="00895A85"/>
    <w:rsid w:val="008A1D12"/>
    <w:rsid w:val="008A3A47"/>
    <w:rsid w:val="008D6DDF"/>
    <w:rsid w:val="008E71FA"/>
    <w:rsid w:val="008F1161"/>
    <w:rsid w:val="008F479E"/>
    <w:rsid w:val="009011F1"/>
    <w:rsid w:val="009127A6"/>
    <w:rsid w:val="0091528B"/>
    <w:rsid w:val="009157B1"/>
    <w:rsid w:val="00917CAF"/>
    <w:rsid w:val="009207A0"/>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474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1F2A"/>
    <w:rsid w:val="00A62BEC"/>
    <w:rsid w:val="00A658C1"/>
    <w:rsid w:val="00A734AD"/>
    <w:rsid w:val="00A837A0"/>
    <w:rsid w:val="00A90926"/>
    <w:rsid w:val="00A91DE9"/>
    <w:rsid w:val="00A97287"/>
    <w:rsid w:val="00AA2DED"/>
    <w:rsid w:val="00AB1C66"/>
    <w:rsid w:val="00AC5A9E"/>
    <w:rsid w:val="00AD1FEC"/>
    <w:rsid w:val="00AD2DF1"/>
    <w:rsid w:val="00AE2813"/>
    <w:rsid w:val="00AE4125"/>
    <w:rsid w:val="00AF16B6"/>
    <w:rsid w:val="00AF5E87"/>
    <w:rsid w:val="00B00552"/>
    <w:rsid w:val="00B02BEE"/>
    <w:rsid w:val="00B11557"/>
    <w:rsid w:val="00B115C4"/>
    <w:rsid w:val="00B11C1C"/>
    <w:rsid w:val="00B17BD8"/>
    <w:rsid w:val="00B30B53"/>
    <w:rsid w:val="00B313E9"/>
    <w:rsid w:val="00B32325"/>
    <w:rsid w:val="00B340A4"/>
    <w:rsid w:val="00B45C2D"/>
    <w:rsid w:val="00B56649"/>
    <w:rsid w:val="00B625F2"/>
    <w:rsid w:val="00B663DC"/>
    <w:rsid w:val="00B669CB"/>
    <w:rsid w:val="00B710D8"/>
    <w:rsid w:val="00B73629"/>
    <w:rsid w:val="00B7466E"/>
    <w:rsid w:val="00B779BD"/>
    <w:rsid w:val="00B8021E"/>
    <w:rsid w:val="00B8028F"/>
    <w:rsid w:val="00B833BE"/>
    <w:rsid w:val="00B87B08"/>
    <w:rsid w:val="00B956C4"/>
    <w:rsid w:val="00BB2152"/>
    <w:rsid w:val="00BB2BE0"/>
    <w:rsid w:val="00BB405B"/>
    <w:rsid w:val="00BC29D0"/>
    <w:rsid w:val="00BD797F"/>
    <w:rsid w:val="00BE1470"/>
    <w:rsid w:val="00BE6FFA"/>
    <w:rsid w:val="00BE7C72"/>
    <w:rsid w:val="00BF1421"/>
    <w:rsid w:val="00BF414E"/>
    <w:rsid w:val="00BF78BF"/>
    <w:rsid w:val="00C00BBF"/>
    <w:rsid w:val="00C01888"/>
    <w:rsid w:val="00C04AA4"/>
    <w:rsid w:val="00C05445"/>
    <w:rsid w:val="00C11BCB"/>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22D3"/>
    <w:rsid w:val="00CF55D6"/>
    <w:rsid w:val="00CF78D3"/>
    <w:rsid w:val="00D006FE"/>
    <w:rsid w:val="00D01E70"/>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E2C76"/>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67A0"/>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83C0812-192C-4CC6-AC27-6C2AFEAAB83B}"/>
</file>

<file path=customXml/itemProps3.xml><?xml version="1.0" encoding="utf-8"?>
<ds:datastoreItem xmlns:ds="http://schemas.openxmlformats.org/officeDocument/2006/customXml" ds:itemID="{336C7988-76A6-4C64-B9F7-8D416D86190F}"/>
</file>

<file path=customXml/itemProps4.xml><?xml version="1.0" encoding="utf-8"?>
<ds:datastoreItem xmlns:ds="http://schemas.openxmlformats.org/officeDocument/2006/customXml" ds:itemID="{ECA86588-8992-42FD-A93C-69944EDA4B87}"/>
</file>

<file path=docProps/app.xml><?xml version="1.0" encoding="utf-8"?>
<Properties xmlns="http://schemas.openxmlformats.org/officeDocument/2006/extended-properties" xmlns:vt="http://schemas.openxmlformats.org/officeDocument/2006/docPropsVTypes">
  <Template>Normal</Template>
  <TotalTime>125</TotalTime>
  <Pages>3</Pages>
  <Words>1169</Words>
  <Characters>6434</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35</cp:revision>
  <cp:lastPrinted>2021-05-17T16:10:00Z</cp:lastPrinted>
  <dcterms:created xsi:type="dcterms:W3CDTF">2020-12-18T20:17:00Z</dcterms:created>
  <dcterms:modified xsi:type="dcterms:W3CDTF">2022-02-14T19:38:00Z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