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6019D5C9" w:rsidR="00707C99" w:rsidRPr="00517CFF" w:rsidRDefault="00201C0D" w:rsidP="00F626D4">
      <w:pPr>
        <w:pStyle w:val="Ttulo2"/>
        <w:jc w:val="center"/>
        <w:rPr>
          <w:rFonts w:ascii="Times New Roman" w:hAnsi="Times New Roman" w:cs="Times New Roman"/>
          <w:b/>
          <w:bCs/>
          <w:sz w:val="24"/>
          <w:szCs w:val="24"/>
          <w:lang w:val="es-PE" w:eastAsia="ar-SA"/>
        </w:rPr>
      </w:pPr>
      <w:r w:rsidRPr="00517CFF">
        <w:rPr>
          <w:rFonts w:ascii="Times New Roman" w:hAnsi="Times New Roman" w:cs="Times New Roman"/>
          <w:b/>
          <w:bCs/>
          <w:color w:val="auto"/>
          <w:sz w:val="24"/>
          <w:szCs w:val="24"/>
          <w:lang w:val="es-PE" w:eastAsia="ar-SA"/>
        </w:rPr>
        <w:t xml:space="preserve">RESOLUCIÓN DE RECURSO IMPUGNATIVO </w:t>
      </w:r>
      <w:proofErr w:type="spellStart"/>
      <w:r w:rsidR="00707C99" w:rsidRPr="00517CFF">
        <w:rPr>
          <w:rFonts w:ascii="Times New Roman" w:hAnsi="Times New Roman" w:cs="Times New Roman"/>
          <w:b/>
          <w:bCs/>
          <w:color w:val="auto"/>
          <w:sz w:val="24"/>
          <w:szCs w:val="24"/>
          <w:lang w:val="es-PE" w:eastAsia="ar-SA"/>
        </w:rPr>
        <w:t>N°</w:t>
      </w:r>
      <w:proofErr w:type="spellEnd"/>
      <w:r w:rsidR="00707C99" w:rsidRPr="00517CFF">
        <w:rPr>
          <w:rFonts w:ascii="Times New Roman" w:hAnsi="Times New Roman" w:cs="Times New Roman"/>
          <w:b/>
          <w:bCs/>
          <w:color w:val="auto"/>
          <w:sz w:val="24"/>
          <w:szCs w:val="24"/>
          <w:lang w:val="es-PE" w:eastAsia="ar-SA"/>
        </w:rPr>
        <w:t xml:space="preserve"> </w:t>
      </w:r>
      <w:r w:rsidR="00C671F5" w:rsidRPr="00517CFF">
        <w:rPr>
          <w:rFonts w:ascii="Times New Roman" w:hAnsi="Times New Roman" w:cs="Times New Roman"/>
          <w:b/>
          <w:bCs/>
          <w:color w:val="auto"/>
          <w:sz w:val="24"/>
          <w:szCs w:val="24"/>
          <w:lang w:val="es-PE" w:eastAsia="ar-SA"/>
        </w:rPr>
        <w:t>0</w:t>
      </w:r>
      <w:r w:rsidR="004A374A" w:rsidRPr="00517CFF">
        <w:rPr>
          <w:rFonts w:ascii="Times New Roman" w:hAnsi="Times New Roman" w:cs="Times New Roman"/>
          <w:b/>
          <w:bCs/>
          <w:color w:val="auto"/>
          <w:sz w:val="24"/>
          <w:szCs w:val="24"/>
          <w:lang w:val="es-PE" w:eastAsia="ar-SA"/>
        </w:rPr>
        <w:t>3</w:t>
      </w:r>
      <w:r w:rsidR="00517CFF" w:rsidRPr="00517CFF">
        <w:rPr>
          <w:rFonts w:ascii="Times New Roman" w:hAnsi="Times New Roman" w:cs="Times New Roman"/>
          <w:b/>
          <w:bCs/>
          <w:color w:val="auto"/>
          <w:sz w:val="24"/>
          <w:szCs w:val="24"/>
          <w:lang w:val="es-PE" w:eastAsia="ar-SA"/>
        </w:rPr>
        <w:t>7/</w:t>
      </w:r>
      <w:r w:rsidR="00C671F5" w:rsidRPr="00517CFF">
        <w:rPr>
          <w:rFonts w:ascii="Times New Roman" w:hAnsi="Times New Roman" w:cs="Times New Roman"/>
          <w:b/>
          <w:bCs/>
          <w:color w:val="auto"/>
          <w:sz w:val="24"/>
          <w:szCs w:val="24"/>
          <w:lang w:val="es-PE" w:eastAsia="ar-SA"/>
        </w:rPr>
        <w:t>2</w:t>
      </w:r>
      <w:r w:rsidR="00231C58" w:rsidRPr="00517CFF">
        <w:rPr>
          <w:rFonts w:ascii="Times New Roman" w:hAnsi="Times New Roman" w:cs="Times New Roman"/>
          <w:b/>
          <w:bCs/>
          <w:color w:val="auto"/>
          <w:sz w:val="24"/>
          <w:szCs w:val="24"/>
          <w:lang w:val="es-PE" w:eastAsia="ar-SA"/>
        </w:rPr>
        <w:t>1</w:t>
      </w:r>
    </w:p>
    <w:p w14:paraId="428240E5" w14:textId="06F06948" w:rsidR="00707C99" w:rsidRPr="00517CFF"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3AB13352" w14:textId="77777777" w:rsidR="00517CFF" w:rsidRPr="00517CFF" w:rsidRDefault="00517CFF" w:rsidP="00517CFF">
      <w:pPr>
        <w:jc w:val="both"/>
        <w:outlineLvl w:val="0"/>
        <w:rPr>
          <w:rFonts w:ascii="Times New Roman" w:hAnsi="Times New Roman" w:cs="Times New Roman"/>
          <w:b/>
          <w:bCs/>
          <w:sz w:val="24"/>
          <w:szCs w:val="24"/>
          <w:lang w:val="es-PE"/>
        </w:rPr>
      </w:pPr>
      <w:r w:rsidRPr="00517CFF">
        <w:rPr>
          <w:rFonts w:ascii="Times New Roman" w:hAnsi="Times New Roman" w:cs="Times New Roman"/>
          <w:b/>
          <w:bCs/>
          <w:sz w:val="24"/>
          <w:szCs w:val="24"/>
          <w:lang w:val="es-PE"/>
        </w:rPr>
        <w:t>VISTOS:</w:t>
      </w:r>
    </w:p>
    <w:p w14:paraId="3B0A9FC4" w14:textId="77777777" w:rsidR="00517CFF" w:rsidRPr="00517CFF" w:rsidRDefault="00517CFF" w:rsidP="00517CFF">
      <w:pPr>
        <w:jc w:val="both"/>
        <w:rPr>
          <w:rFonts w:ascii="Times New Roman" w:hAnsi="Times New Roman" w:cs="Times New Roman"/>
          <w:b/>
          <w:bCs/>
          <w:sz w:val="24"/>
          <w:szCs w:val="24"/>
          <w:lang w:val="es-PE"/>
        </w:rPr>
      </w:pPr>
    </w:p>
    <w:p w14:paraId="219FE6EA" w14:textId="59E99E5B" w:rsidR="00517CFF" w:rsidRPr="00517CFF" w:rsidRDefault="00517CFF" w:rsidP="00517CFF">
      <w:pPr>
        <w:pStyle w:val="Default"/>
        <w:jc w:val="both"/>
        <w:rPr>
          <w:rFonts w:ascii="Times New Roman" w:hAnsi="Times New Roman" w:cs="Times New Roman"/>
        </w:rPr>
      </w:pPr>
      <w:r w:rsidRPr="00517CFF">
        <w:rPr>
          <w:rFonts w:ascii="Times New Roman" w:hAnsi="Times New Roman" w:cs="Times New Roman"/>
        </w:rPr>
        <w:t xml:space="preserve">El recurso de impugnación presentado por </w:t>
      </w:r>
      <w:r w:rsidR="007E2D81">
        <w:t>..................</w:t>
      </w:r>
      <w:r w:rsidR="007E2D81">
        <w:t xml:space="preserve"> </w:t>
      </w:r>
      <w:r w:rsidRPr="00517CFF">
        <w:rPr>
          <w:rFonts w:ascii="Times New Roman" w:hAnsi="Times New Roman" w:cs="Times New Roman"/>
        </w:rPr>
        <w:t xml:space="preserve">respecto de la Resolución Nro. 36/21, expedida por esta Defensoría del Asegurado (DEFASEG), conforme a la cual se declaró FUNDADA la reclamación interpuesta por </w:t>
      </w:r>
      <w:r w:rsidR="007E2D81">
        <w:t>..................</w:t>
      </w:r>
      <w:r w:rsidR="007E2D81">
        <w:t xml:space="preserve"> </w:t>
      </w:r>
      <w:r w:rsidRPr="00517CFF">
        <w:rPr>
          <w:rFonts w:ascii="Times New Roman" w:hAnsi="Times New Roman" w:cs="Times New Roman"/>
        </w:rPr>
        <w:t xml:space="preserve">respecto al </w:t>
      </w:r>
      <w:r w:rsidRPr="00517CFF">
        <w:rPr>
          <w:rFonts w:ascii="Times New Roman" w:hAnsi="Times New Roman" w:cs="Times New Roman"/>
          <w:b/>
          <w:bCs/>
        </w:rPr>
        <w:t xml:space="preserve">SEGURO DESGRAVAMEN HIPOTECARIO - PÓLIZA </w:t>
      </w:r>
      <w:r w:rsidR="007E2D81">
        <w:t>..................</w:t>
      </w:r>
      <w:r w:rsidRPr="00517CFF">
        <w:rPr>
          <w:rFonts w:ascii="Times New Roman" w:hAnsi="Times New Roman" w:cs="Times New Roman"/>
        </w:rPr>
        <w:t xml:space="preserve">, como consecuencia del fallecimiento del asegurado </w:t>
      </w:r>
      <w:bookmarkStart w:id="0" w:name="OLE_LINK2"/>
      <w:r w:rsidR="007E2D81">
        <w:t>..................</w:t>
      </w:r>
      <w:r w:rsidRPr="00517CFF">
        <w:rPr>
          <w:rFonts w:ascii="Times New Roman" w:hAnsi="Times New Roman" w:cs="Times New Roman"/>
        </w:rPr>
        <w:t>.</w:t>
      </w:r>
    </w:p>
    <w:bookmarkEnd w:id="0"/>
    <w:p w14:paraId="0E6A6824" w14:textId="77777777" w:rsidR="00517CFF" w:rsidRPr="00517CFF" w:rsidRDefault="00517CFF" w:rsidP="00517CFF">
      <w:pPr>
        <w:jc w:val="both"/>
        <w:rPr>
          <w:rFonts w:ascii="Times New Roman" w:hAnsi="Times New Roman" w:cs="Times New Roman"/>
          <w:sz w:val="24"/>
          <w:szCs w:val="24"/>
          <w:lang w:val="es-PE"/>
        </w:rPr>
      </w:pPr>
    </w:p>
    <w:p w14:paraId="2329EB58" w14:textId="77777777" w:rsidR="00517CFF" w:rsidRPr="00517CFF" w:rsidRDefault="00517CFF" w:rsidP="00517CFF">
      <w:pPr>
        <w:pStyle w:val="Default"/>
        <w:jc w:val="both"/>
        <w:rPr>
          <w:rFonts w:ascii="Times New Roman" w:hAnsi="Times New Roman" w:cs="Times New Roman"/>
        </w:rPr>
      </w:pPr>
      <w:r w:rsidRPr="00517CFF">
        <w:rPr>
          <w:rFonts w:ascii="Times New Roman" w:hAnsi="Times New Roman" w:cs="Times New Roman"/>
        </w:rPr>
        <w:t xml:space="preserve">Que, el indicado recurso se sustenta resumidamente en lo siguiente: (1) la carga de probar que el asegurado no padeció de cáncer desde una antigüedad de 10 años corresponde a la reclamante; (2) en el </w:t>
      </w:r>
      <w:proofErr w:type="spellStart"/>
      <w:r w:rsidRPr="00517CFF">
        <w:rPr>
          <w:rFonts w:ascii="Times New Roman" w:hAnsi="Times New Roman" w:cs="Times New Roman"/>
        </w:rPr>
        <w:t>el</w:t>
      </w:r>
      <w:proofErr w:type="spellEnd"/>
      <w:r w:rsidRPr="00517CFF">
        <w:rPr>
          <w:rFonts w:ascii="Times New Roman" w:hAnsi="Times New Roman" w:cs="Times New Roman"/>
        </w:rPr>
        <w:t xml:space="preserve"> ítem 6.3 de la “Guía Técnica para el Correcto Llenado del Certificado de Defunción” del Ministerio de Salud se dispone que: </w:t>
      </w:r>
      <w:r w:rsidRPr="00517CFF">
        <w:rPr>
          <w:rFonts w:ascii="Times New Roman" w:hAnsi="Times New Roman" w:cs="Times New Roman"/>
          <w:i/>
          <w:iCs/>
        </w:rPr>
        <w:t>“El médico tiene la responsabilidad ética y jurídica de llenar o completar los datos en todos los campos del certificado de defunción, tanto del formato en línea como del formato en papel, según sea el caso. Por lo tanto, debe revisarlo antes de firmarlo.”</w:t>
      </w:r>
      <w:r w:rsidRPr="00517CFF">
        <w:rPr>
          <w:rFonts w:ascii="Times New Roman" w:hAnsi="Times New Roman" w:cs="Times New Roman"/>
        </w:rPr>
        <w:t xml:space="preserve">, tal y como se establece en la Guía es el médico el que completa los datos de todos los campos; (3) en el literal c) del ítem 6.3.1 de la “Guía Técnica para el Correcto Llenado del Certificado de Defunción”, se estipula que se debe </w:t>
      </w:r>
      <w:r w:rsidRPr="00517CFF">
        <w:rPr>
          <w:rFonts w:ascii="Times New Roman" w:hAnsi="Times New Roman" w:cs="Times New Roman"/>
          <w:i/>
          <w:iCs/>
        </w:rPr>
        <w:t xml:space="preserve">“Utilizar toda la información disponible para identificar correctamente las causas de la muerte, lo que incluye: la revisión de la historia clínica y la </w:t>
      </w:r>
      <w:proofErr w:type="spellStart"/>
      <w:r w:rsidRPr="00517CFF">
        <w:rPr>
          <w:rFonts w:ascii="Times New Roman" w:hAnsi="Times New Roman" w:cs="Times New Roman"/>
          <w:i/>
          <w:iCs/>
        </w:rPr>
        <w:t>información</w:t>
      </w:r>
      <w:proofErr w:type="spellEnd"/>
      <w:r w:rsidRPr="00517CFF">
        <w:rPr>
          <w:rFonts w:ascii="Times New Roman" w:hAnsi="Times New Roman" w:cs="Times New Roman"/>
          <w:i/>
          <w:iCs/>
        </w:rPr>
        <w:t xml:space="preserve"> proporcionada por los familiares del fallecido.”</w:t>
      </w:r>
      <w:r w:rsidRPr="00517CFF">
        <w:rPr>
          <w:rFonts w:ascii="Times New Roman" w:hAnsi="Times New Roman" w:cs="Times New Roman"/>
        </w:rPr>
        <w:t>, (4) tal y como se observa en el referido ítem de la Guía, el médico revisa la Historia Clínica del difunto y la información proporcionada por los familiares para así poder identificar cuáles fueron las causales del fallecimiento; (5) es errónea la interpretación que se observa en la resolución impugnada,</w:t>
      </w:r>
      <w:r w:rsidRPr="00517CFF">
        <w:rPr>
          <w:rFonts w:ascii="Times New Roman" w:hAnsi="Times New Roman" w:cs="Times New Roman"/>
          <w:b/>
          <w:bCs/>
        </w:rPr>
        <w:t xml:space="preserve"> </w:t>
      </w:r>
      <w:r w:rsidRPr="00517CFF">
        <w:rPr>
          <w:rFonts w:ascii="Times New Roman" w:hAnsi="Times New Roman" w:cs="Times New Roman"/>
        </w:rPr>
        <w:t>pues para completar el Certificado de Defunción el médico ha debido revisar la historia clínica del asegurado</w:t>
      </w:r>
      <w:r w:rsidRPr="00517CFF">
        <w:rPr>
          <w:rFonts w:ascii="Times New Roman" w:hAnsi="Times New Roman" w:cs="Times New Roman"/>
          <w:b/>
          <w:bCs/>
        </w:rPr>
        <w:t xml:space="preserve"> </w:t>
      </w:r>
      <w:r w:rsidRPr="00517CFF">
        <w:rPr>
          <w:rFonts w:ascii="Times New Roman" w:hAnsi="Times New Roman" w:cs="Times New Roman"/>
        </w:rPr>
        <w:t>y la información que la familia del mismo remitió; (6) no es correcta la afirmación de la resolución impugnada en el extremo que establece que el Certificado de Defunción en el caso no es una prueba suficiente para acreditar la preexistencia del Cáncer padecido por el asegurado</w:t>
      </w:r>
      <w:r w:rsidRPr="00517CFF">
        <w:rPr>
          <w:rFonts w:ascii="Times New Roman" w:hAnsi="Times New Roman" w:cs="Times New Roman"/>
          <w:b/>
          <w:bCs/>
        </w:rPr>
        <w:t xml:space="preserve"> </w:t>
      </w:r>
      <w:r w:rsidRPr="00517CFF">
        <w:rPr>
          <w:rFonts w:ascii="Times New Roman" w:hAnsi="Times New Roman" w:cs="Times New Roman"/>
        </w:rPr>
        <w:t>cuando dicho documento legal ha sido emitido en base a la información observada en la historia clínica y en la información brindada por los familiares del asegurado</w:t>
      </w:r>
      <w:r w:rsidRPr="00517CFF">
        <w:rPr>
          <w:rFonts w:ascii="Times New Roman" w:hAnsi="Times New Roman" w:cs="Times New Roman"/>
          <w:b/>
          <w:bCs/>
        </w:rPr>
        <w:t xml:space="preserve">; </w:t>
      </w:r>
      <w:r w:rsidRPr="00517CFF">
        <w:rPr>
          <w:rFonts w:ascii="Times New Roman" w:hAnsi="Times New Roman" w:cs="Times New Roman"/>
        </w:rPr>
        <w:t>(7) en la resolución impugnada se establece que el Certificado de Defunción no constituye como medio de prueba para acreditar la enfermedad del fallecido, dada la antigüedad del fallecimiento, conforme a lo establecido en el literal c) del ítem 6.4.1. de la “Guía Técnica para el Correcto Llenado del Certificado”, cuando la defunción ocurre en un establecimiento de salud, el médico tratante debe certificar la defunción, y en ausencia de este, el médico que señala el Reglamento Interno del establecimiento de salud; (8) el Certificado de Defunción sí es un documento que acredita fehacientemente las causales del fallecimiento del asegurado, por lo que en caso la reclamante considere que la información observada en el Certificado de Defunción no es congruente con la Historia Clínica corresponde a la misma solicitar la corrección del documento a fin de probar que efectivamente el asegurado</w:t>
      </w:r>
      <w:r w:rsidRPr="00517CFF">
        <w:rPr>
          <w:rFonts w:ascii="Times New Roman" w:hAnsi="Times New Roman" w:cs="Times New Roman"/>
          <w:b/>
          <w:bCs/>
        </w:rPr>
        <w:t xml:space="preserve"> </w:t>
      </w:r>
      <w:r w:rsidRPr="00517CFF">
        <w:rPr>
          <w:rFonts w:ascii="Times New Roman" w:hAnsi="Times New Roman" w:cs="Times New Roman"/>
        </w:rPr>
        <w:t>no padecía de una enfermedad preexistente; (9) la carga de la prueba recae en la reclamante</w:t>
      </w:r>
      <w:r w:rsidRPr="00517CFF">
        <w:rPr>
          <w:rFonts w:ascii="Times New Roman" w:hAnsi="Times New Roman" w:cs="Times New Roman"/>
          <w:b/>
          <w:bCs/>
        </w:rPr>
        <w:t xml:space="preserve"> </w:t>
      </w:r>
      <w:r w:rsidRPr="00517CFF">
        <w:rPr>
          <w:rFonts w:ascii="Times New Roman" w:hAnsi="Times New Roman" w:cs="Times New Roman"/>
        </w:rPr>
        <w:t>y no en la aseguradora, toda vez que corresponde a la misma acreditar que el asegurado no falleció por una enfermedad que fue diagnosticada 10 años anteriores a su fallecimiento.</w:t>
      </w:r>
    </w:p>
    <w:p w14:paraId="1A3666A3" w14:textId="77777777" w:rsidR="00517CFF" w:rsidRPr="00517CFF" w:rsidRDefault="00517CFF" w:rsidP="00517CFF">
      <w:pPr>
        <w:pStyle w:val="Default"/>
        <w:jc w:val="both"/>
        <w:rPr>
          <w:rFonts w:ascii="Times New Roman" w:hAnsi="Times New Roman" w:cs="Times New Roman"/>
        </w:rPr>
      </w:pPr>
    </w:p>
    <w:p w14:paraId="340C429F" w14:textId="77777777" w:rsidR="00517CFF" w:rsidRPr="00517CFF" w:rsidRDefault="00517CFF" w:rsidP="00517CFF">
      <w:pPr>
        <w:pStyle w:val="Textoindependiente"/>
        <w:rPr>
          <w:lang w:val="es-PE"/>
        </w:rPr>
      </w:pPr>
      <w:r w:rsidRPr="00517CFF">
        <w:rPr>
          <w:lang w:val="es-PE"/>
        </w:rPr>
        <w:t xml:space="preserve">Que, la reclamante no absolvió el traslado del recurso interpuesto. </w:t>
      </w:r>
    </w:p>
    <w:p w14:paraId="5564AB92" w14:textId="77777777" w:rsidR="00517CFF" w:rsidRPr="00517CFF" w:rsidRDefault="00517CFF" w:rsidP="00517CFF">
      <w:pPr>
        <w:pStyle w:val="Textoindependiente"/>
        <w:rPr>
          <w:lang w:val="es-PE"/>
        </w:rPr>
      </w:pPr>
    </w:p>
    <w:p w14:paraId="1412C2FF" w14:textId="30D251FE" w:rsidR="00517CFF" w:rsidRPr="00517CFF" w:rsidRDefault="00517CFF" w:rsidP="00517CFF">
      <w:pPr>
        <w:pStyle w:val="Textoindependiente"/>
        <w:tabs>
          <w:tab w:val="left" w:pos="930"/>
        </w:tabs>
        <w:rPr>
          <w:lang w:val="es-PE"/>
        </w:rPr>
      </w:pPr>
      <w:r w:rsidRPr="00517CFF">
        <w:rPr>
          <w:lang w:val="es-PE"/>
        </w:rPr>
        <w:lastRenderedPageBreak/>
        <w:t>Que, atendiendo a lo expuesto, esta Defensoría resuelve finalmente lo siguiente:</w:t>
      </w:r>
    </w:p>
    <w:p w14:paraId="0FA05B9D" w14:textId="77777777" w:rsidR="00517CFF" w:rsidRPr="00517CFF" w:rsidRDefault="00517CFF" w:rsidP="00517CFF">
      <w:pPr>
        <w:pStyle w:val="Textoindependiente"/>
        <w:tabs>
          <w:tab w:val="left" w:pos="930"/>
        </w:tabs>
        <w:rPr>
          <w:lang w:val="es-PE"/>
        </w:rPr>
      </w:pPr>
    </w:p>
    <w:p w14:paraId="667CAFFB" w14:textId="158A868F"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b/>
          <w:sz w:val="24"/>
          <w:szCs w:val="24"/>
          <w:u w:val="single"/>
          <w:lang w:val="es-PE"/>
        </w:rPr>
        <w:t>PRIMERO</w:t>
      </w:r>
      <w:r w:rsidRPr="00517CFF">
        <w:rPr>
          <w:rFonts w:ascii="Times New Roman" w:hAnsi="Times New Roman" w:cs="Times New Roman"/>
          <w:b/>
          <w:sz w:val="24"/>
          <w:szCs w:val="24"/>
          <w:lang w:val="es-PE"/>
        </w:rPr>
        <w:t>:</w:t>
      </w:r>
      <w:r w:rsidRPr="00517CFF">
        <w:rPr>
          <w:rFonts w:ascii="Times New Roman" w:hAnsi="Times New Roman" w:cs="Times New Roman"/>
          <w:sz w:val="24"/>
          <w:szCs w:val="24"/>
          <w:lang w:val="es-PE"/>
        </w:rPr>
        <w:t xml:space="preserve"> El artículo 10 (Procedimiento) del Reglamento de la DEFASEG </w:t>
      </w:r>
      <w:r w:rsidRPr="00517CFF">
        <w:rPr>
          <w:rFonts w:ascii="Times New Roman" w:eastAsia="Arial Unicode MS" w:hAnsi="Times New Roman" w:cs="Times New Roman"/>
          <w:sz w:val="24"/>
          <w:szCs w:val="24"/>
          <w:lang w:val="es-PE"/>
        </w:rPr>
        <w:t>(http://www.defaseg.com.pe/reglamento)</w:t>
      </w:r>
      <w:r w:rsidRPr="00517CFF">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14:paraId="11224E79" w14:textId="7A6526B2"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14:paraId="0587AF91" w14:textId="7B4E000F"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b/>
          <w:bCs/>
          <w:sz w:val="24"/>
          <w:szCs w:val="24"/>
          <w:u w:val="single"/>
          <w:lang w:val="es-PE"/>
        </w:rPr>
        <w:t>SEGUNDO</w:t>
      </w:r>
      <w:r w:rsidRPr="00517CFF">
        <w:rPr>
          <w:rFonts w:ascii="Times New Roman" w:hAnsi="Times New Roman" w:cs="Times New Roman"/>
          <w:b/>
          <w:bCs/>
          <w:sz w:val="24"/>
          <w:szCs w:val="24"/>
          <w:lang w:val="es-PE"/>
        </w:rPr>
        <w:t>:</w:t>
      </w:r>
      <w:r w:rsidRPr="00517CFF">
        <w:rPr>
          <w:rFonts w:ascii="Times New Roman" w:hAnsi="Times New Roman" w:cs="Times New Roman"/>
          <w:bCs/>
          <w:sz w:val="24"/>
          <w:szCs w:val="24"/>
          <w:lang w:val="es-PE"/>
        </w:rPr>
        <w:t xml:space="preserve"> Que el recurso de impugnación presentado por la aseguradora no se sustenta en nueva prueba sino cuestionar la resolución impugnada por considerar que: (i) incurre en</w:t>
      </w:r>
      <w:r w:rsidRPr="00517CFF">
        <w:rPr>
          <w:rFonts w:ascii="Times New Roman" w:hAnsi="Times New Roman" w:cs="Times New Roman"/>
          <w:i/>
          <w:iCs/>
          <w:sz w:val="24"/>
          <w:szCs w:val="24"/>
          <w:lang w:val="es-PE"/>
        </w:rPr>
        <w:t xml:space="preserve"> Extra </w:t>
      </w:r>
      <w:proofErr w:type="spellStart"/>
      <w:r w:rsidRPr="00517CFF">
        <w:rPr>
          <w:rFonts w:ascii="Times New Roman" w:hAnsi="Times New Roman" w:cs="Times New Roman"/>
          <w:i/>
          <w:iCs/>
          <w:sz w:val="24"/>
          <w:szCs w:val="24"/>
          <w:lang w:val="es-PE"/>
        </w:rPr>
        <w:t>petita</w:t>
      </w:r>
      <w:proofErr w:type="spellEnd"/>
      <w:r w:rsidRPr="00517CFF">
        <w:rPr>
          <w:rFonts w:ascii="Times New Roman" w:hAnsi="Times New Roman" w:cs="Times New Roman"/>
          <w:sz w:val="24"/>
          <w:szCs w:val="24"/>
          <w:lang w:val="es-PE"/>
        </w:rPr>
        <w:t>, (</w:t>
      </w:r>
      <w:proofErr w:type="spellStart"/>
      <w:r w:rsidRPr="00517CFF">
        <w:rPr>
          <w:rFonts w:ascii="Times New Roman" w:hAnsi="Times New Roman" w:cs="Times New Roman"/>
          <w:sz w:val="24"/>
          <w:szCs w:val="24"/>
          <w:lang w:val="es-PE"/>
        </w:rPr>
        <w:t>ii</w:t>
      </w:r>
      <w:proofErr w:type="spellEnd"/>
      <w:r w:rsidRPr="00517CFF">
        <w:rPr>
          <w:rFonts w:ascii="Times New Roman" w:hAnsi="Times New Roman" w:cs="Times New Roman"/>
          <w:sz w:val="24"/>
          <w:szCs w:val="24"/>
          <w:lang w:val="es-PE"/>
        </w:rPr>
        <w:t xml:space="preserve">) así como por desconocer que la aseguradora no se encuentra en la obligación legal de conservar la documentación, tales como contratos, certificados, constancia de entrega de documentos, </w:t>
      </w:r>
      <w:proofErr w:type="spellStart"/>
      <w:r w:rsidRPr="00517CFF">
        <w:rPr>
          <w:rFonts w:ascii="Times New Roman" w:hAnsi="Times New Roman" w:cs="Times New Roman"/>
          <w:sz w:val="24"/>
          <w:szCs w:val="24"/>
          <w:lang w:val="es-PE"/>
        </w:rPr>
        <w:t>etc</w:t>
      </w:r>
      <w:proofErr w:type="spellEnd"/>
      <w:r w:rsidRPr="00517CFF">
        <w:rPr>
          <w:rFonts w:ascii="Times New Roman" w:hAnsi="Times New Roman" w:cs="Times New Roman"/>
          <w:sz w:val="24"/>
          <w:szCs w:val="24"/>
          <w:lang w:val="es-PE"/>
        </w:rPr>
        <w:t>, por el plazo de más de diez (10) años.</w:t>
      </w:r>
    </w:p>
    <w:p w14:paraId="2514A454" w14:textId="2ABEF872"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bCs/>
          <w:sz w:val="24"/>
          <w:szCs w:val="24"/>
          <w:lang w:val="es-PE"/>
        </w:rPr>
        <w:t>Al respecto, conforme ha sido establecido por esta Defensoría en reiterados precedentes,</w:t>
      </w:r>
      <w:r w:rsidRPr="00517CFF">
        <w:rPr>
          <w:rFonts w:ascii="Times New Roman" w:hAnsi="Times New Roman" w:cs="Times New Roman"/>
          <w:sz w:val="24"/>
          <w:szCs w:val="24"/>
          <w:lang w:val="es-PE"/>
        </w:rPr>
        <w:t xml:space="preserve"> </w:t>
      </w:r>
      <w:r w:rsidRPr="00517CFF">
        <w:rPr>
          <w:rFonts w:ascii="Times New Roman" w:hAnsi="Times New Roman" w:cs="Times New Roman"/>
          <w:bCs/>
          <w:sz w:val="24"/>
          <w:szCs w:val="24"/>
          <w:lang w:val="es-PE"/>
        </w:rPr>
        <w:t xml:space="preserve"> </w:t>
      </w:r>
      <w:r w:rsidRPr="00517CFF">
        <w:rPr>
          <w:rFonts w:ascii="Times New Roman" w:hAnsi="Times New Roman" w:cs="Times New Roman"/>
          <w:sz w:val="24"/>
          <w:szCs w:val="24"/>
          <w:lang w:val="es-PE"/>
        </w:rPr>
        <w:t xml:space="preserve">la existencia de una póliza colectiva o grupal, como ocurre en el presente caso, deriva en la aplicación de un determinado régimen normativo, de manera puntual para la oponibilidad de su contenido (en especial, de los términos de los alcances de cobertura, tales como las exclusiones y limitaciones de cobertura) a los asegurados no contratantes (como es el caso de la reclamante), ya que la aseguradora debe demostrar que dicho contenido fue oportuna y suficientemente informado a los asegurados, salvo que acredite en un caso concreto que el interesado conocía del respectivo contenido por otros medios. </w:t>
      </w:r>
    </w:p>
    <w:p w14:paraId="6D444B21" w14:textId="3A3F557A"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sz w:val="24"/>
          <w:szCs w:val="24"/>
          <w:lang w:val="es-PE"/>
        </w:rPr>
        <w:t xml:space="preserve">Ello, con el objeto que los asegurados no contratantes conozcan las características del seguro que adquieren, lo cual tiene por objetivo quebrar la asimetría informativa que existe ciertamente sobre el particular.  </w:t>
      </w:r>
    </w:p>
    <w:p w14:paraId="42FF1384" w14:textId="47BD0A42"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sz w:val="24"/>
          <w:szCs w:val="24"/>
          <w:lang w:val="es-PE"/>
        </w:rPr>
        <w:t xml:space="preserve">Por consiguiente, este Colegiado destaca que habiéndose opuesto al reclamante una limitación, resulta manifiesto que la aseguradora tiene la carga procesal esencial de demostrar el cumplimiento de los requisitos para oponer válidamente el respectivo pacto, esto es, que haya informado de los alcances del seguro a la asegurada, como es la limitación invocada.  </w:t>
      </w:r>
    </w:p>
    <w:p w14:paraId="679195E6" w14:textId="21B56A55"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sz w:val="24"/>
          <w:szCs w:val="24"/>
          <w:lang w:val="es-PE"/>
        </w:rPr>
        <w:t xml:space="preserve">De una lectura sistemática y finalista de las normas orientadas a la protección del consumidor, y a los usuarios de seguros, debe concluirse, que las aseguradoras están en la mejor condición de exigir, bajo un elemental régimen de traslado de costos, que las empresas contratantes de estas pólizas grupales o colectivas cumplan con proporcionar la póliza o certificado de seguro, conjuntamente con un resumen en el que conste de manera clara y breve, principalmente, las condiciones y requisitos de cobertura, los riesgos cubiertos, las exclusiones y demás información relevante. </w:t>
      </w:r>
    </w:p>
    <w:p w14:paraId="793117E5" w14:textId="7B8B88BF" w:rsidR="00517CFF" w:rsidRPr="00517CFF" w:rsidRDefault="00517CFF" w:rsidP="00517CFF">
      <w:pPr>
        <w:jc w:val="both"/>
        <w:rPr>
          <w:rFonts w:ascii="Times New Roman" w:hAnsi="Times New Roman" w:cs="Times New Roman"/>
          <w:bCs/>
          <w:sz w:val="24"/>
          <w:szCs w:val="24"/>
          <w:lang w:val="es-PE"/>
        </w:rPr>
      </w:pPr>
      <w:r w:rsidRPr="00517CFF">
        <w:rPr>
          <w:rFonts w:ascii="Times New Roman" w:hAnsi="Times New Roman" w:cs="Times New Roman"/>
          <w:bCs/>
          <w:sz w:val="24"/>
          <w:szCs w:val="24"/>
          <w:lang w:val="es-PE"/>
        </w:rPr>
        <w:t xml:space="preserve">A mayor abundamiento, de acuerdo al régimen legal vigente a la fecha, merece destacarse que en el artículo 137° de la Ley del Contrato de Seguro se sanciona explícitamente que </w:t>
      </w:r>
      <w:r w:rsidRPr="00517CFF">
        <w:rPr>
          <w:rFonts w:ascii="Times New Roman" w:hAnsi="Times New Roman" w:cs="Times New Roman"/>
          <w:bCs/>
          <w:i/>
          <w:sz w:val="24"/>
          <w:szCs w:val="24"/>
          <w:lang w:val="es-PE"/>
        </w:rPr>
        <w:t>“no son oponibles al asegurado los contenidos contractuales que no le hayan sido informados en el certificado mencionado en el artículo anterior, cuyo contenido mínimo se sujeta a las disposiciones de la Superintendencia”</w:t>
      </w:r>
      <w:r w:rsidRPr="00517CFF">
        <w:rPr>
          <w:rFonts w:ascii="Times New Roman" w:hAnsi="Times New Roman" w:cs="Times New Roman"/>
          <w:bCs/>
          <w:sz w:val="24"/>
          <w:szCs w:val="24"/>
          <w:lang w:val="es-PE"/>
        </w:rPr>
        <w:t>.</w:t>
      </w:r>
    </w:p>
    <w:p w14:paraId="0DA509CA" w14:textId="5BA8F352" w:rsidR="00517CFF" w:rsidRPr="00517CFF" w:rsidRDefault="00517CFF" w:rsidP="00517CFF">
      <w:pPr>
        <w:jc w:val="both"/>
        <w:rPr>
          <w:rFonts w:ascii="Times New Roman" w:eastAsia="Arial Unicode MS" w:hAnsi="Times New Roman" w:cs="Times New Roman"/>
          <w:bCs/>
          <w:sz w:val="24"/>
          <w:szCs w:val="24"/>
          <w:lang w:val="es-PE"/>
        </w:rPr>
      </w:pPr>
      <w:r w:rsidRPr="00517CFF">
        <w:rPr>
          <w:rFonts w:ascii="Times New Roman" w:eastAsia="Arial Unicode MS" w:hAnsi="Times New Roman" w:cs="Times New Roman"/>
          <w:bCs/>
          <w:sz w:val="24"/>
          <w:szCs w:val="24"/>
          <w:lang w:val="es-PE"/>
        </w:rPr>
        <w:lastRenderedPageBreak/>
        <w:t xml:space="preserve">De otro lado, cabe tener en cuenta que el tema de </w:t>
      </w:r>
      <w:r w:rsidRPr="00517CFF">
        <w:rPr>
          <w:rFonts w:ascii="Times New Roman" w:hAnsi="Times New Roman" w:cs="Times New Roman"/>
          <w:sz w:val="24"/>
          <w:szCs w:val="24"/>
          <w:lang w:val="es-PE"/>
        </w:rPr>
        <w:t>la carga procesal esencial de demostrar el cumplimiento de los requisitos para oponer válidamente los fundamentos del rechazo,</w:t>
      </w:r>
      <w:r w:rsidRPr="00517CFF">
        <w:rPr>
          <w:rFonts w:ascii="Times New Roman" w:eastAsia="Arial Unicode MS" w:hAnsi="Times New Roman" w:cs="Times New Roman"/>
          <w:bCs/>
          <w:sz w:val="24"/>
          <w:szCs w:val="24"/>
          <w:lang w:val="es-PE"/>
        </w:rPr>
        <w:t xml:space="preserve"> fue incluido como punto controvertido del proceso en la audiencia de vista virtual.</w:t>
      </w:r>
    </w:p>
    <w:p w14:paraId="21206398" w14:textId="0E367EBE" w:rsidR="00517CFF" w:rsidRPr="00517CFF" w:rsidRDefault="00517CFF" w:rsidP="00517CFF">
      <w:pPr>
        <w:jc w:val="both"/>
        <w:rPr>
          <w:rFonts w:ascii="Times New Roman" w:eastAsia="Arial Unicode MS" w:hAnsi="Times New Roman" w:cs="Times New Roman"/>
          <w:bCs/>
          <w:sz w:val="24"/>
          <w:szCs w:val="24"/>
          <w:lang w:val="es-PE"/>
        </w:rPr>
      </w:pPr>
      <w:r w:rsidRPr="00517CFF">
        <w:rPr>
          <w:rFonts w:ascii="Times New Roman" w:eastAsia="Arial Unicode MS" w:hAnsi="Times New Roman" w:cs="Times New Roman"/>
          <w:bCs/>
          <w:sz w:val="24"/>
          <w:szCs w:val="24"/>
          <w:lang w:val="es-PE"/>
        </w:rPr>
        <w:t xml:space="preserve">En efecto, tal como se aprecia en el Acta respectiva, se otorgó a la aseguradora cinco días hábiles para que presente la constancia de entrega del certificado de seguro. </w:t>
      </w:r>
    </w:p>
    <w:p w14:paraId="06B3A86C" w14:textId="26044E24"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sz w:val="24"/>
          <w:szCs w:val="24"/>
          <w:lang w:val="es-PE"/>
        </w:rPr>
        <w:t>En otras palabras, si bien la aseguradora ha alegado que no tiene la obligación legal de conservar documentación más allá de diez años, ello no la libera de su carga probatoria de demostrar que los contenidos contractuales fueron informados al asegurado, por cuanto la propia ley del contrato de seguro señala que no son oponibles al asegurado los contenidos contractuales que no han sido informados en el certificado, tal y como ha sido referido en la resolución impugnada.</w:t>
      </w:r>
    </w:p>
    <w:p w14:paraId="7C321AD2" w14:textId="7A18D730" w:rsidR="00517CFF" w:rsidRPr="00517CFF" w:rsidRDefault="00517CFF" w:rsidP="00517CFF">
      <w:pPr>
        <w:tabs>
          <w:tab w:val="left" w:pos="709"/>
          <w:tab w:val="left" w:pos="2160"/>
        </w:tabs>
        <w:jc w:val="both"/>
        <w:rPr>
          <w:rFonts w:ascii="Times New Roman" w:hAnsi="Times New Roman" w:cs="Times New Roman"/>
          <w:bCs/>
          <w:sz w:val="24"/>
          <w:szCs w:val="24"/>
          <w:lang w:val="es-PE"/>
        </w:rPr>
      </w:pPr>
      <w:r w:rsidRPr="00517CFF">
        <w:rPr>
          <w:rFonts w:ascii="Times New Roman" w:hAnsi="Times New Roman" w:cs="Times New Roman"/>
          <w:sz w:val="24"/>
          <w:szCs w:val="24"/>
          <w:lang w:val="es-PE"/>
        </w:rPr>
        <w:t>La resolución impugnada se ajusta al</w:t>
      </w:r>
      <w:r w:rsidRPr="00517CFF">
        <w:rPr>
          <w:rFonts w:ascii="Times New Roman" w:hAnsi="Times New Roman" w:cs="Times New Roman"/>
          <w:bCs/>
          <w:sz w:val="24"/>
          <w:szCs w:val="24"/>
          <w:lang w:val="es-PE"/>
        </w:rPr>
        <w:t xml:space="preserve"> criterio consistente y uniforme establecidos por esta Defensoría, respecto a los rechazos por exclusión de cobertura, estableciendo que se deben examinar al menos tres cuestiones: (i) ¿el contrato de seguro contiene la exclusión invocada?, (</w:t>
      </w:r>
      <w:proofErr w:type="spellStart"/>
      <w:r w:rsidRPr="00517CFF">
        <w:rPr>
          <w:rFonts w:ascii="Times New Roman" w:hAnsi="Times New Roman" w:cs="Times New Roman"/>
          <w:bCs/>
          <w:sz w:val="24"/>
          <w:szCs w:val="24"/>
          <w:lang w:val="es-PE"/>
        </w:rPr>
        <w:t>ii</w:t>
      </w:r>
      <w:proofErr w:type="spellEnd"/>
      <w:r w:rsidRPr="00517CFF">
        <w:rPr>
          <w:rFonts w:ascii="Times New Roman" w:hAnsi="Times New Roman" w:cs="Times New Roman"/>
          <w:bCs/>
          <w:sz w:val="24"/>
          <w:szCs w:val="24"/>
          <w:lang w:val="es-PE"/>
        </w:rPr>
        <w:t>) de ser afirmativa la respuesta anterior, ¿la misma es oponible, esto es, surte efectos frente al asegurado?, por último, de ser también afirmativa la respuesta anterior, (</w:t>
      </w:r>
      <w:proofErr w:type="spellStart"/>
      <w:r w:rsidRPr="00517CFF">
        <w:rPr>
          <w:rFonts w:ascii="Times New Roman" w:hAnsi="Times New Roman" w:cs="Times New Roman"/>
          <w:bCs/>
          <w:sz w:val="24"/>
          <w:szCs w:val="24"/>
          <w:lang w:val="es-PE"/>
        </w:rPr>
        <w:t>iii</w:t>
      </w:r>
      <w:proofErr w:type="spellEnd"/>
      <w:r w:rsidRPr="00517CFF">
        <w:rPr>
          <w:rFonts w:ascii="Times New Roman" w:hAnsi="Times New Roman" w:cs="Times New Roman"/>
          <w:bCs/>
          <w:sz w:val="24"/>
          <w:szCs w:val="24"/>
          <w:lang w:val="es-PE"/>
        </w:rPr>
        <w:t>) ¿se incurrió efectivamente en el supuesto de hecho que corresponde a la exclusión?</w:t>
      </w:r>
    </w:p>
    <w:p w14:paraId="79BF7F9B" w14:textId="626C918E" w:rsidR="00517CFF" w:rsidRPr="00517CFF" w:rsidRDefault="00517CFF" w:rsidP="00517CFF">
      <w:pPr>
        <w:tabs>
          <w:tab w:val="left" w:pos="709"/>
          <w:tab w:val="left" w:pos="2160"/>
        </w:tabs>
        <w:jc w:val="both"/>
        <w:rPr>
          <w:rFonts w:ascii="Times New Roman" w:hAnsi="Times New Roman" w:cs="Times New Roman"/>
          <w:bCs/>
          <w:sz w:val="24"/>
          <w:szCs w:val="24"/>
          <w:lang w:val="es-PE"/>
        </w:rPr>
      </w:pPr>
      <w:r w:rsidRPr="00517CFF">
        <w:rPr>
          <w:rFonts w:ascii="Times New Roman" w:hAnsi="Times New Roman" w:cs="Times New Roman"/>
          <w:bCs/>
          <w:sz w:val="24"/>
          <w:szCs w:val="24"/>
          <w:lang w:val="es-PE"/>
        </w:rPr>
        <w:t xml:space="preserve">Conforme a ello, el análisis correspondiente se practica de oficio, atendiendo a la asimetría informativa existente entre aseguradora y asegurado sobre el conocimiento de la regulación normativa del contrato de seguro -máxime cuando cualquier usuario de seguros puede recurrir a la DEFASEG sin requerirse de intervención de abogado-, salvo que el asegurado acepte o se haya evidenciado que sí recibió documentación y/o información sobre el régimen de exclusiones.  </w:t>
      </w:r>
    </w:p>
    <w:p w14:paraId="0E6B3A24" w14:textId="4811801C" w:rsidR="00517CFF" w:rsidRPr="00517CFF" w:rsidRDefault="00517CFF" w:rsidP="00517CFF">
      <w:pPr>
        <w:tabs>
          <w:tab w:val="left" w:pos="709"/>
          <w:tab w:val="left" w:pos="2160"/>
        </w:tabs>
        <w:jc w:val="both"/>
        <w:rPr>
          <w:rFonts w:ascii="Times New Roman" w:hAnsi="Times New Roman" w:cs="Times New Roman"/>
          <w:bCs/>
          <w:sz w:val="24"/>
          <w:szCs w:val="24"/>
          <w:lang w:val="es-PE"/>
        </w:rPr>
      </w:pPr>
      <w:r w:rsidRPr="00517CFF">
        <w:rPr>
          <w:rFonts w:ascii="Times New Roman" w:hAnsi="Times New Roman" w:cs="Times New Roman"/>
          <w:bCs/>
          <w:sz w:val="24"/>
          <w:szCs w:val="24"/>
          <w:lang w:val="es-PE"/>
        </w:rPr>
        <w:t>Así, no es suficiente que la aseguradora pruebe los alcances de la exclusión pactada en su oportunidad, o que la misma se ha materializado, sino que es absolutamente necesario que también pruebe que informó de manera oportuna, suficiente y adecuada sobre dicha exclusión, quebrando así la asimetría informativa también existente sobre el conocimiento de las condiciones contractuales, dado que el asegurado es un tercero que se afilia al contrato de seguro.</w:t>
      </w:r>
    </w:p>
    <w:p w14:paraId="61250851" w14:textId="3D9CEBDE"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sz w:val="24"/>
          <w:szCs w:val="24"/>
          <w:lang w:val="es-PE"/>
        </w:rPr>
        <w:t xml:space="preserve">Por lo tanto, este Colegiado advierte que no existe falta de motivación ni vulneración al debido proceso, o error en la resolución impugnada, por cuanto esta se fundamenta en la aplicación del </w:t>
      </w:r>
      <w:r w:rsidRPr="00517CFF">
        <w:rPr>
          <w:rFonts w:ascii="Times New Roman" w:hAnsi="Times New Roman" w:cs="Times New Roman"/>
          <w:bCs/>
          <w:sz w:val="24"/>
          <w:szCs w:val="24"/>
          <w:lang w:val="es-PE"/>
        </w:rPr>
        <w:t>régimen legal vigente a la fecha.</w:t>
      </w:r>
    </w:p>
    <w:p w14:paraId="42855BE5" w14:textId="582FD220" w:rsidR="00517CFF" w:rsidRPr="00517CFF" w:rsidRDefault="00517CFF" w:rsidP="00517CFF">
      <w:pPr>
        <w:jc w:val="both"/>
        <w:rPr>
          <w:rFonts w:ascii="Times New Roman" w:hAnsi="Times New Roman" w:cs="Times New Roman"/>
          <w:sz w:val="24"/>
          <w:szCs w:val="24"/>
          <w:lang w:val="es-PE"/>
        </w:rPr>
      </w:pPr>
      <w:r w:rsidRPr="00517CFF">
        <w:rPr>
          <w:rFonts w:ascii="Times New Roman" w:hAnsi="Times New Roman" w:cs="Times New Roman"/>
          <w:b/>
          <w:sz w:val="24"/>
          <w:szCs w:val="24"/>
          <w:u w:val="single"/>
          <w:lang w:val="es-PE"/>
        </w:rPr>
        <w:t>TERCERO</w:t>
      </w:r>
      <w:r w:rsidRPr="00517CFF">
        <w:rPr>
          <w:rFonts w:ascii="Times New Roman" w:hAnsi="Times New Roman" w:cs="Times New Roman"/>
          <w:b/>
          <w:sz w:val="24"/>
          <w:szCs w:val="24"/>
          <w:lang w:val="es-PE"/>
        </w:rPr>
        <w:t>:</w:t>
      </w:r>
      <w:r w:rsidRPr="00517CFF">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ni la recurrente ha aportado nueva prueba que conlleve a conclusiones distintas a las establecidas en la resolución materia de impugnación, por lo que no existe mérito ni razón objetiva para revocarla.</w:t>
      </w:r>
    </w:p>
    <w:p w14:paraId="0EE93CEB" w14:textId="76F60BCE" w:rsidR="00517CFF" w:rsidRPr="00517CFF" w:rsidRDefault="00517CFF" w:rsidP="00517CFF">
      <w:pPr>
        <w:jc w:val="both"/>
        <w:rPr>
          <w:rFonts w:ascii="Times New Roman" w:hAnsi="Times New Roman" w:cs="Times New Roman"/>
          <w:b/>
          <w:sz w:val="24"/>
          <w:szCs w:val="24"/>
          <w:lang w:val="es-PE"/>
        </w:rPr>
      </w:pPr>
      <w:r w:rsidRPr="00517CFF">
        <w:rPr>
          <w:rFonts w:ascii="Times New Roman" w:hAnsi="Times New Roman" w:cs="Times New Roman"/>
          <w:b/>
          <w:sz w:val="24"/>
          <w:szCs w:val="24"/>
          <w:lang w:val="es-PE"/>
        </w:rPr>
        <w:t>RESUELVE:</w:t>
      </w:r>
    </w:p>
    <w:p w14:paraId="24D2C084" w14:textId="723A6982" w:rsidR="00517CFF" w:rsidRPr="00517CFF" w:rsidRDefault="00517CFF" w:rsidP="00517CFF">
      <w:pPr>
        <w:jc w:val="both"/>
        <w:rPr>
          <w:rFonts w:ascii="Times New Roman" w:hAnsi="Times New Roman" w:cs="Times New Roman"/>
          <w:sz w:val="24"/>
          <w:szCs w:val="24"/>
          <w:lang w:val="es-PE"/>
        </w:rPr>
      </w:pPr>
      <w:r w:rsidRPr="00517CFF">
        <w:rPr>
          <w:rFonts w:ascii="Times New Roman" w:eastAsia="Arial Unicode MS" w:hAnsi="Times New Roman" w:cs="Times New Roman"/>
          <w:b/>
          <w:sz w:val="24"/>
          <w:szCs w:val="24"/>
          <w:lang w:val="es-PE"/>
        </w:rPr>
        <w:t xml:space="preserve">Declarar INFUNDADO el recurso de impugnación interpuesto y, por consiguiente, CONFIRMAR la Resolución Nro. </w:t>
      </w:r>
      <w:r>
        <w:rPr>
          <w:rFonts w:ascii="Times New Roman" w:eastAsia="Arial Unicode MS" w:hAnsi="Times New Roman" w:cs="Times New Roman"/>
          <w:b/>
          <w:sz w:val="24"/>
          <w:szCs w:val="24"/>
          <w:lang w:val="es-PE"/>
        </w:rPr>
        <w:t>036</w:t>
      </w:r>
      <w:r w:rsidRPr="00517CFF">
        <w:rPr>
          <w:rFonts w:ascii="Times New Roman" w:eastAsia="Arial Unicode MS" w:hAnsi="Times New Roman" w:cs="Times New Roman"/>
          <w:b/>
          <w:sz w:val="24"/>
          <w:szCs w:val="24"/>
          <w:lang w:val="es-PE"/>
        </w:rPr>
        <w:t>/202</w:t>
      </w:r>
      <w:r>
        <w:rPr>
          <w:rFonts w:ascii="Times New Roman" w:eastAsia="Arial Unicode MS" w:hAnsi="Times New Roman" w:cs="Times New Roman"/>
          <w:b/>
          <w:sz w:val="24"/>
          <w:szCs w:val="24"/>
          <w:lang w:val="es-PE"/>
        </w:rPr>
        <w:t>1</w:t>
      </w:r>
      <w:r w:rsidRPr="00517CFF">
        <w:rPr>
          <w:rFonts w:ascii="Times New Roman" w:hAnsi="Times New Roman" w:cs="Times New Roman"/>
          <w:sz w:val="24"/>
          <w:szCs w:val="24"/>
          <w:lang w:val="es-PE"/>
        </w:rPr>
        <w:t>.</w:t>
      </w:r>
    </w:p>
    <w:p w14:paraId="489525D7" w14:textId="77777777" w:rsidR="005E398E" w:rsidRPr="0032345B" w:rsidRDefault="005E398E" w:rsidP="005E398E">
      <w:pPr>
        <w:suppressAutoHyphens/>
        <w:spacing w:after="0" w:line="240" w:lineRule="auto"/>
        <w:jc w:val="right"/>
        <w:outlineLvl w:val="0"/>
        <w:rPr>
          <w:rFonts w:ascii="Times New Roman" w:eastAsia="Arial Unicode MS" w:hAnsi="Times New Roman" w:cs="Times New Roman"/>
          <w:bCs/>
          <w:sz w:val="24"/>
          <w:szCs w:val="24"/>
          <w:lang w:val="es-PE"/>
        </w:rPr>
      </w:pPr>
    </w:p>
    <w:p w14:paraId="486C3F46" w14:textId="4D56B0C1" w:rsidR="00C671F5" w:rsidRPr="0032345B" w:rsidRDefault="0091528B" w:rsidP="005E398E">
      <w:pPr>
        <w:suppressAutoHyphens/>
        <w:spacing w:after="0" w:line="240" w:lineRule="auto"/>
        <w:jc w:val="right"/>
        <w:outlineLvl w:val="0"/>
        <w:rPr>
          <w:rFonts w:ascii="Times New Roman" w:eastAsia="Arial Unicode MS" w:hAnsi="Times New Roman" w:cs="Times New Roman"/>
          <w:sz w:val="24"/>
          <w:szCs w:val="24"/>
          <w:lang w:val="es-PE" w:eastAsia="ar-SA"/>
        </w:rPr>
      </w:pPr>
      <w:r w:rsidRPr="0032345B">
        <w:rPr>
          <w:rFonts w:ascii="Times New Roman" w:eastAsia="Arial Unicode MS" w:hAnsi="Times New Roman" w:cs="Times New Roman"/>
          <w:sz w:val="24"/>
          <w:szCs w:val="24"/>
          <w:lang w:val="es-PE" w:eastAsia="ar-SA"/>
        </w:rPr>
        <w:t xml:space="preserve">Lima, </w:t>
      </w:r>
      <w:r w:rsidR="0032345B" w:rsidRPr="0032345B">
        <w:rPr>
          <w:rFonts w:ascii="Times New Roman" w:eastAsia="Arial Unicode MS" w:hAnsi="Times New Roman" w:cs="Times New Roman"/>
          <w:sz w:val="24"/>
          <w:szCs w:val="24"/>
          <w:lang w:val="es-PE" w:eastAsia="ar-SA"/>
        </w:rPr>
        <w:t>0</w:t>
      </w:r>
      <w:r w:rsidR="00517CFF">
        <w:rPr>
          <w:rFonts w:ascii="Times New Roman" w:eastAsia="Arial Unicode MS" w:hAnsi="Times New Roman" w:cs="Times New Roman"/>
          <w:sz w:val="24"/>
          <w:szCs w:val="24"/>
          <w:lang w:val="es-PE" w:eastAsia="ar-SA"/>
        </w:rPr>
        <w:t>7</w:t>
      </w:r>
      <w:r w:rsidR="005E398E" w:rsidRPr="0032345B">
        <w:rPr>
          <w:rFonts w:ascii="Times New Roman" w:eastAsia="Arial Unicode MS" w:hAnsi="Times New Roman" w:cs="Times New Roman"/>
          <w:sz w:val="24"/>
          <w:szCs w:val="24"/>
          <w:lang w:val="es-PE" w:eastAsia="ar-SA"/>
        </w:rPr>
        <w:t xml:space="preserve"> </w:t>
      </w:r>
      <w:r w:rsidR="00707C99" w:rsidRPr="0032345B">
        <w:rPr>
          <w:rFonts w:ascii="Times New Roman" w:eastAsia="Arial Unicode MS" w:hAnsi="Times New Roman" w:cs="Times New Roman"/>
          <w:sz w:val="24"/>
          <w:szCs w:val="24"/>
          <w:lang w:val="es-PE" w:eastAsia="ar-SA"/>
        </w:rPr>
        <w:t>de</w:t>
      </w:r>
      <w:r w:rsidR="00864B0B" w:rsidRPr="0032345B">
        <w:rPr>
          <w:rFonts w:ascii="Times New Roman" w:eastAsia="Arial Unicode MS" w:hAnsi="Times New Roman" w:cs="Times New Roman"/>
          <w:sz w:val="24"/>
          <w:szCs w:val="24"/>
          <w:lang w:val="es-PE" w:eastAsia="ar-SA"/>
        </w:rPr>
        <w:t xml:space="preserve"> </w:t>
      </w:r>
      <w:r w:rsidR="0032345B" w:rsidRPr="0032345B">
        <w:rPr>
          <w:rFonts w:ascii="Times New Roman" w:eastAsia="Arial Unicode MS" w:hAnsi="Times New Roman" w:cs="Times New Roman"/>
          <w:sz w:val="24"/>
          <w:szCs w:val="24"/>
          <w:lang w:val="es-PE" w:eastAsia="ar-SA"/>
        </w:rPr>
        <w:t>junio</w:t>
      </w:r>
      <w:r w:rsidR="00F06498" w:rsidRPr="0032345B">
        <w:rPr>
          <w:rFonts w:ascii="Times New Roman" w:eastAsia="Arial Unicode MS" w:hAnsi="Times New Roman" w:cs="Times New Roman"/>
          <w:sz w:val="24"/>
          <w:szCs w:val="24"/>
          <w:lang w:val="es-PE" w:eastAsia="ar-SA"/>
        </w:rPr>
        <w:t xml:space="preserve"> de 202</w:t>
      </w:r>
      <w:r w:rsidR="00231C58" w:rsidRPr="0032345B">
        <w:rPr>
          <w:rFonts w:ascii="Times New Roman" w:eastAsia="Arial Unicode MS" w:hAnsi="Times New Roman" w:cs="Times New Roman"/>
          <w:sz w:val="24"/>
          <w:szCs w:val="24"/>
          <w:lang w:val="es-PE" w:eastAsia="ar-SA"/>
        </w:rPr>
        <w:t>1</w:t>
      </w:r>
      <w:r w:rsidR="00707C99" w:rsidRPr="0032345B">
        <w:rPr>
          <w:rFonts w:ascii="Times New Roman" w:eastAsia="Times New Roman" w:hAnsi="Times New Roman" w:cs="Times New Roman"/>
          <w:sz w:val="24"/>
          <w:szCs w:val="24"/>
          <w:lang w:val="es-PE" w:eastAsia="ar-SA"/>
        </w:rPr>
        <w:t xml:space="preserve"> </w:t>
      </w:r>
    </w:p>
    <w:p w14:paraId="2B9BAAC8" w14:textId="77777777" w:rsidR="00231C58" w:rsidRPr="0032345B" w:rsidRDefault="00231C58" w:rsidP="004A374A">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r w:rsidRPr="0032345B">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32345B" w:rsidRDefault="00C671F5" w:rsidP="004A374A">
      <w:pPr>
        <w:spacing w:after="0" w:line="240" w:lineRule="auto"/>
        <w:jc w:val="both"/>
        <w:rPr>
          <w:rFonts w:ascii="Times New Roman" w:hAnsi="Times New Roman" w:cs="Times New Roman"/>
          <w:b/>
          <w:bCs/>
          <w:i/>
          <w:iCs/>
          <w:sz w:val="24"/>
          <w:szCs w:val="24"/>
          <w:lang w:val="es-PE"/>
        </w:rPr>
      </w:pPr>
    </w:p>
    <w:p w14:paraId="548B3E5B" w14:textId="2BD7B1B7" w:rsidR="00C671F5"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Marco Antonio Ortega Piana </w:t>
      </w:r>
      <w:r w:rsidR="00C671F5" w:rsidRPr="0032345B">
        <w:rPr>
          <w:rFonts w:ascii="Times New Roman" w:hAnsi="Times New Roman" w:cs="Times New Roman"/>
          <w:b/>
          <w:bCs/>
          <w:sz w:val="24"/>
          <w:szCs w:val="24"/>
          <w:lang w:val="es-PE"/>
        </w:rPr>
        <w:t>– Presidente</w:t>
      </w:r>
    </w:p>
    <w:p w14:paraId="033E3E13" w14:textId="7196E86D" w:rsidR="0032345B" w:rsidRPr="0032345B" w:rsidRDefault="0032345B"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María Eugenia Valdez Fernández Baca– Vocal</w:t>
      </w:r>
    </w:p>
    <w:p w14:paraId="3006BA35" w14:textId="7871895F" w:rsidR="00292018" w:rsidRPr="0032345B" w:rsidRDefault="00292018" w:rsidP="004A374A">
      <w:pPr>
        <w:spacing w:after="0" w:line="360" w:lineRule="auto"/>
        <w:jc w:val="center"/>
        <w:rPr>
          <w:rFonts w:ascii="Times New Roman" w:hAnsi="Times New Roman" w:cs="Times New Roman"/>
          <w:b/>
          <w:bCs/>
          <w:sz w:val="24"/>
          <w:szCs w:val="24"/>
          <w:lang w:val="es-PE"/>
        </w:rPr>
      </w:pPr>
      <w:r w:rsidRPr="0032345B">
        <w:rPr>
          <w:rFonts w:ascii="Times New Roman" w:hAnsi="Times New Roman" w:cs="Times New Roman"/>
          <w:b/>
          <w:bCs/>
          <w:sz w:val="24"/>
          <w:szCs w:val="24"/>
          <w:lang w:val="es-PE"/>
        </w:rPr>
        <w:t xml:space="preserve">Rolando Eyzaguirre </w:t>
      </w:r>
      <w:proofErr w:type="spellStart"/>
      <w:r w:rsidRPr="0032345B">
        <w:rPr>
          <w:rFonts w:ascii="Times New Roman" w:hAnsi="Times New Roman" w:cs="Times New Roman"/>
          <w:b/>
          <w:bCs/>
          <w:sz w:val="24"/>
          <w:szCs w:val="24"/>
          <w:lang w:val="es-PE"/>
        </w:rPr>
        <w:t>Maccan</w:t>
      </w:r>
      <w:proofErr w:type="spellEnd"/>
      <w:r w:rsidRPr="0032345B">
        <w:rPr>
          <w:rFonts w:ascii="Times New Roman" w:hAnsi="Times New Roman" w:cs="Times New Roman"/>
          <w:b/>
          <w:bCs/>
          <w:sz w:val="24"/>
          <w:szCs w:val="24"/>
          <w:lang w:val="es-PE"/>
        </w:rPr>
        <w:t xml:space="preserve"> – Vocal</w:t>
      </w:r>
    </w:p>
    <w:p w14:paraId="3A9CFE9F" w14:textId="4DFF4426" w:rsidR="00C671F5" w:rsidRPr="0032345B" w:rsidRDefault="00C671F5" w:rsidP="004A374A">
      <w:pPr>
        <w:spacing w:after="0" w:line="360" w:lineRule="auto"/>
        <w:jc w:val="center"/>
        <w:rPr>
          <w:rFonts w:ascii="Times New Roman" w:hAnsi="Times New Roman" w:cs="Times New Roman"/>
          <w:sz w:val="24"/>
          <w:szCs w:val="24"/>
          <w:lang w:val="es-PE"/>
        </w:rPr>
      </w:pPr>
      <w:r w:rsidRPr="0032345B">
        <w:rPr>
          <w:rFonts w:ascii="Times New Roman" w:hAnsi="Times New Roman" w:cs="Times New Roman"/>
          <w:b/>
          <w:bCs/>
          <w:sz w:val="24"/>
          <w:szCs w:val="24"/>
          <w:lang w:val="es-PE"/>
        </w:rPr>
        <w:t xml:space="preserve">Gonzalo Abad del Busto </w:t>
      </w:r>
      <w:r w:rsidR="00231C58" w:rsidRPr="0032345B">
        <w:rPr>
          <w:rFonts w:ascii="Times New Roman" w:hAnsi="Times New Roman" w:cs="Times New Roman"/>
          <w:b/>
          <w:bCs/>
          <w:sz w:val="24"/>
          <w:szCs w:val="24"/>
          <w:lang w:val="es-PE"/>
        </w:rPr>
        <w:t xml:space="preserve">– </w:t>
      </w:r>
      <w:r w:rsidRPr="0032345B">
        <w:rPr>
          <w:rFonts w:ascii="Times New Roman" w:hAnsi="Times New Roman" w:cs="Times New Roman"/>
          <w:b/>
          <w:bCs/>
          <w:sz w:val="24"/>
          <w:szCs w:val="24"/>
          <w:lang w:val="es-PE"/>
        </w:rPr>
        <w:t>Vocal</w:t>
      </w:r>
    </w:p>
    <w:p w14:paraId="33E0FAB8" w14:textId="77777777" w:rsidR="00C671F5" w:rsidRPr="0032345B" w:rsidRDefault="00C671F5" w:rsidP="004A374A">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32345B" w:rsidRDefault="00C671F5" w:rsidP="004A374A">
      <w:pPr>
        <w:spacing w:line="240" w:lineRule="auto"/>
        <w:rPr>
          <w:rFonts w:ascii="Times New Roman" w:eastAsia="Arial Unicode MS" w:hAnsi="Times New Roman" w:cs="Times New Roman"/>
          <w:sz w:val="24"/>
          <w:szCs w:val="24"/>
          <w:lang w:val="es-PE" w:eastAsia="ar-SA"/>
        </w:rPr>
      </w:pPr>
    </w:p>
    <w:sectPr w:rsidR="00C671F5" w:rsidRPr="0032345B"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66887" w14:textId="77777777" w:rsidR="00EF5376" w:rsidRDefault="00EF5376" w:rsidP="00784355">
      <w:pPr>
        <w:spacing w:after="0" w:line="240" w:lineRule="auto"/>
      </w:pPr>
      <w:r>
        <w:separator/>
      </w:r>
    </w:p>
  </w:endnote>
  <w:endnote w:type="continuationSeparator" w:id="0">
    <w:p w14:paraId="27A32695" w14:textId="77777777" w:rsidR="00EF5376" w:rsidRDefault="00EF5376"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D5136E" w14:textId="77777777" w:rsidR="00EF5376" w:rsidRDefault="00EF5376" w:rsidP="00784355">
      <w:pPr>
        <w:spacing w:after="0" w:line="240" w:lineRule="auto"/>
      </w:pPr>
      <w:r>
        <w:separator/>
      </w:r>
    </w:p>
  </w:footnote>
  <w:footnote w:type="continuationSeparator" w:id="0">
    <w:p w14:paraId="69F384A5" w14:textId="77777777" w:rsidR="00EF5376" w:rsidRDefault="00EF5376"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4492D"/>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01978"/>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C3466"/>
    <w:rsid w:val="002D0DB0"/>
    <w:rsid w:val="002D3B01"/>
    <w:rsid w:val="002E1221"/>
    <w:rsid w:val="002E17F9"/>
    <w:rsid w:val="002F09CA"/>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524E"/>
    <w:rsid w:val="005C5AB9"/>
    <w:rsid w:val="005D3E68"/>
    <w:rsid w:val="005E00D1"/>
    <w:rsid w:val="005E0EC2"/>
    <w:rsid w:val="005E2CBE"/>
    <w:rsid w:val="005E398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2D81"/>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6F67"/>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EF5376"/>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8B756F5-F834-441B-AF12-3094A5F9C2DB}"/>
</file>

<file path=customXml/itemProps3.xml><?xml version="1.0" encoding="utf-8"?>
<ds:datastoreItem xmlns:ds="http://schemas.openxmlformats.org/officeDocument/2006/customXml" ds:itemID="{2099B821-EB06-4E7A-AA06-F527F4841CA6}"/>
</file>

<file path=customXml/itemProps4.xml><?xml version="1.0" encoding="utf-8"?>
<ds:datastoreItem xmlns:ds="http://schemas.openxmlformats.org/officeDocument/2006/customXml" ds:itemID="{CECA01DE-4732-43A8-98B9-4AEB9296A0DA}"/>
</file>

<file path=docProps/app.xml><?xml version="1.0" encoding="utf-8"?>
<Properties xmlns="http://schemas.openxmlformats.org/officeDocument/2006/extended-properties" xmlns:vt="http://schemas.openxmlformats.org/officeDocument/2006/docPropsVTypes">
  <Template>Normal</Template>
  <TotalTime>245</TotalTime>
  <Pages>4</Pages>
  <Words>1576</Words>
  <Characters>8674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62</cp:revision>
  <cp:lastPrinted>2021-06-07T21:08:00Z</cp:lastPrinted>
  <dcterms:created xsi:type="dcterms:W3CDTF">2020-12-18T20:17:00Z</dcterms:created>
  <dcterms:modified xsi:type="dcterms:W3CDTF">2022-02-10T17:56:00Z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