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240E5" w14:textId="4DDF6C81" w:rsidR="00707C99" w:rsidRDefault="00201C0D" w:rsidP="00CF69DD">
      <w:pPr>
        <w:pStyle w:val="Ttulo2"/>
        <w:jc w:val="center"/>
        <w:rPr>
          <w:rFonts w:ascii="Times New Roman" w:hAnsi="Times New Roman" w:cs="Times New Roman"/>
          <w:b/>
          <w:bCs/>
          <w:color w:val="auto"/>
          <w:sz w:val="24"/>
          <w:szCs w:val="24"/>
          <w:lang w:val="es-PE" w:eastAsia="ar-SA"/>
        </w:rPr>
      </w:pPr>
      <w:r w:rsidRPr="00CF69DD">
        <w:rPr>
          <w:rFonts w:ascii="Times New Roman" w:hAnsi="Times New Roman" w:cs="Times New Roman"/>
          <w:b/>
          <w:bCs/>
          <w:color w:val="auto"/>
          <w:sz w:val="24"/>
          <w:szCs w:val="24"/>
          <w:lang w:val="es-PE" w:eastAsia="ar-SA"/>
        </w:rPr>
        <w:t xml:space="preserve">RESOLUCIÓN DE RECURSO IMPUGNATIVO </w:t>
      </w:r>
      <w:proofErr w:type="spellStart"/>
      <w:r w:rsidR="00707C99" w:rsidRPr="00CF69DD">
        <w:rPr>
          <w:rFonts w:ascii="Times New Roman" w:hAnsi="Times New Roman" w:cs="Times New Roman"/>
          <w:b/>
          <w:bCs/>
          <w:color w:val="auto"/>
          <w:sz w:val="24"/>
          <w:szCs w:val="24"/>
          <w:lang w:val="es-PE" w:eastAsia="ar-SA"/>
        </w:rPr>
        <w:t>N°</w:t>
      </w:r>
      <w:proofErr w:type="spellEnd"/>
      <w:r w:rsidR="00707C99" w:rsidRPr="00CF69DD">
        <w:rPr>
          <w:rFonts w:ascii="Times New Roman" w:hAnsi="Times New Roman" w:cs="Times New Roman"/>
          <w:b/>
          <w:bCs/>
          <w:color w:val="auto"/>
          <w:sz w:val="24"/>
          <w:szCs w:val="24"/>
          <w:lang w:val="es-PE" w:eastAsia="ar-SA"/>
        </w:rPr>
        <w:t xml:space="preserve"> </w:t>
      </w:r>
      <w:r w:rsidR="00C671F5" w:rsidRPr="00CF69DD">
        <w:rPr>
          <w:rFonts w:ascii="Times New Roman" w:hAnsi="Times New Roman" w:cs="Times New Roman"/>
          <w:b/>
          <w:bCs/>
          <w:color w:val="auto"/>
          <w:sz w:val="24"/>
          <w:szCs w:val="24"/>
          <w:lang w:val="es-PE" w:eastAsia="ar-SA"/>
        </w:rPr>
        <w:t>0</w:t>
      </w:r>
      <w:r w:rsidR="004A374A" w:rsidRPr="00CF69DD">
        <w:rPr>
          <w:rFonts w:ascii="Times New Roman" w:hAnsi="Times New Roman" w:cs="Times New Roman"/>
          <w:b/>
          <w:bCs/>
          <w:color w:val="auto"/>
          <w:sz w:val="24"/>
          <w:szCs w:val="24"/>
          <w:lang w:val="es-PE" w:eastAsia="ar-SA"/>
        </w:rPr>
        <w:t>3</w:t>
      </w:r>
      <w:r w:rsidR="00CF69DD">
        <w:rPr>
          <w:rFonts w:ascii="Times New Roman" w:hAnsi="Times New Roman" w:cs="Times New Roman"/>
          <w:b/>
          <w:bCs/>
          <w:color w:val="auto"/>
          <w:sz w:val="24"/>
          <w:szCs w:val="24"/>
          <w:lang w:val="es-PE" w:eastAsia="ar-SA"/>
        </w:rPr>
        <w:t>8</w:t>
      </w:r>
      <w:r w:rsidR="00517CFF" w:rsidRPr="00CF69DD">
        <w:rPr>
          <w:rFonts w:ascii="Times New Roman" w:hAnsi="Times New Roman" w:cs="Times New Roman"/>
          <w:b/>
          <w:bCs/>
          <w:color w:val="auto"/>
          <w:sz w:val="24"/>
          <w:szCs w:val="24"/>
          <w:lang w:val="es-PE" w:eastAsia="ar-SA"/>
        </w:rPr>
        <w:t>/</w:t>
      </w:r>
      <w:r w:rsidR="00C671F5" w:rsidRPr="00CF69DD">
        <w:rPr>
          <w:rFonts w:ascii="Times New Roman" w:hAnsi="Times New Roman" w:cs="Times New Roman"/>
          <w:b/>
          <w:bCs/>
          <w:color w:val="auto"/>
          <w:sz w:val="24"/>
          <w:szCs w:val="24"/>
          <w:lang w:val="es-PE" w:eastAsia="ar-SA"/>
        </w:rPr>
        <w:t>2</w:t>
      </w:r>
      <w:r w:rsidR="00231C58" w:rsidRPr="00CF69DD">
        <w:rPr>
          <w:rFonts w:ascii="Times New Roman" w:hAnsi="Times New Roman" w:cs="Times New Roman"/>
          <w:b/>
          <w:bCs/>
          <w:color w:val="auto"/>
          <w:sz w:val="24"/>
          <w:szCs w:val="24"/>
          <w:lang w:val="es-PE" w:eastAsia="ar-SA"/>
        </w:rPr>
        <w:t>1</w:t>
      </w:r>
    </w:p>
    <w:p w14:paraId="6A25FCE1" w14:textId="77777777" w:rsidR="00CF69DD" w:rsidRPr="00CF69DD" w:rsidRDefault="00CF69DD" w:rsidP="00CF69DD">
      <w:pPr>
        <w:rPr>
          <w:lang w:val="es-PE" w:eastAsia="ar-SA"/>
        </w:rPr>
      </w:pPr>
    </w:p>
    <w:p w14:paraId="67C35B5A" w14:textId="77777777" w:rsidR="00CF69DD" w:rsidRPr="00CF69DD" w:rsidRDefault="00CF69DD" w:rsidP="00CF69DD">
      <w:pPr>
        <w:spacing w:after="0" w:line="240" w:lineRule="auto"/>
        <w:jc w:val="both"/>
        <w:rPr>
          <w:rFonts w:ascii="Times New Roman" w:hAnsi="Times New Roman" w:cs="Times New Roman"/>
          <w:sz w:val="24"/>
          <w:szCs w:val="24"/>
          <w:lang w:val="es-PE"/>
        </w:rPr>
      </w:pPr>
      <w:r w:rsidRPr="00CF69DD">
        <w:rPr>
          <w:rFonts w:ascii="Times New Roman" w:hAnsi="Times New Roman" w:cs="Times New Roman"/>
          <w:b/>
          <w:sz w:val="24"/>
          <w:szCs w:val="24"/>
          <w:lang w:val="es-PE"/>
        </w:rPr>
        <w:t xml:space="preserve">Vistos: </w:t>
      </w:r>
    </w:p>
    <w:p w14:paraId="4C94890D" w14:textId="77777777" w:rsidR="00CF69DD" w:rsidRPr="00CF69DD" w:rsidRDefault="00CF69DD" w:rsidP="00CF69DD">
      <w:pPr>
        <w:spacing w:after="0" w:line="240" w:lineRule="auto"/>
        <w:jc w:val="both"/>
        <w:rPr>
          <w:rFonts w:ascii="Times New Roman" w:hAnsi="Times New Roman" w:cs="Times New Roman"/>
          <w:sz w:val="24"/>
          <w:szCs w:val="24"/>
          <w:lang w:val="es-PE"/>
        </w:rPr>
      </w:pPr>
    </w:p>
    <w:p w14:paraId="795A8D23" w14:textId="7E7A8E20"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sz w:val="24"/>
          <w:szCs w:val="24"/>
          <w:lang w:val="es-PE"/>
        </w:rPr>
        <w:t xml:space="preserve">El Recurso Impugnativo presentado el 10 de junio de 2021 </w:t>
      </w:r>
      <w:proofErr w:type="gramStart"/>
      <w:r w:rsidRPr="00CF69DD">
        <w:rPr>
          <w:rFonts w:ascii="Times New Roman" w:hAnsi="Times New Roman" w:cs="Times New Roman"/>
          <w:sz w:val="24"/>
          <w:szCs w:val="24"/>
          <w:lang w:val="es-PE"/>
        </w:rPr>
        <w:t xml:space="preserve">por </w:t>
      </w:r>
      <w:r w:rsidR="00A318CF" w:rsidRPr="00A318CF">
        <w:rPr>
          <w:lang w:val="es-PE"/>
        </w:rPr>
        <w:t>,</w:t>
      </w:r>
      <w:proofErr w:type="gramEnd"/>
      <w:r w:rsidR="00A318CF" w:rsidRPr="00A318CF">
        <w:rPr>
          <w:lang w:val="es-PE"/>
        </w:rPr>
        <w:t xml:space="preserve"> </w:t>
      </w:r>
      <w:r w:rsidR="00A318CF" w:rsidRPr="00D1514E">
        <w:rPr>
          <w:lang w:val="es-PE"/>
        </w:rPr>
        <w:t>.................</w:t>
      </w:r>
      <w:r w:rsidR="00A318CF" w:rsidRPr="00A318CF">
        <w:rPr>
          <w:lang w:val="es-PE"/>
        </w:rPr>
        <w:t>.</w:t>
      </w:r>
      <w:r w:rsidRPr="00CF69DD">
        <w:rPr>
          <w:rFonts w:ascii="Times New Roman" w:hAnsi="Times New Roman" w:cs="Times New Roman"/>
          <w:sz w:val="24"/>
          <w:szCs w:val="24"/>
          <w:lang w:val="es-PE"/>
        </w:rPr>
        <w:t xml:space="preserve">, respecto de la Resolución </w:t>
      </w:r>
      <w:proofErr w:type="spellStart"/>
      <w:r w:rsidRPr="00CF69DD">
        <w:rPr>
          <w:rFonts w:ascii="Times New Roman" w:hAnsi="Times New Roman" w:cs="Times New Roman"/>
          <w:sz w:val="24"/>
          <w:szCs w:val="24"/>
          <w:lang w:val="es-PE"/>
        </w:rPr>
        <w:t>N°</w:t>
      </w:r>
      <w:proofErr w:type="spellEnd"/>
      <w:r w:rsidRPr="00CF69DD">
        <w:rPr>
          <w:rFonts w:ascii="Times New Roman" w:hAnsi="Times New Roman" w:cs="Times New Roman"/>
          <w:sz w:val="24"/>
          <w:szCs w:val="24"/>
          <w:lang w:val="es-PE"/>
        </w:rPr>
        <w:t xml:space="preserve"> 068/21de fecha 03 de junio de 2021 emitida por esta Defensoría del Asegurado (DEFASEG) que declaró INFUNDADA la reclamación, sobre sobre otorgamiento de cobertura al siniestro ocurrido bajo la Póliza de Seguro de Vehículos contratada</w:t>
      </w:r>
    </w:p>
    <w:p w14:paraId="21E57A9E" w14:textId="7777777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sz w:val="24"/>
          <w:szCs w:val="24"/>
          <w:lang w:val="es-PE"/>
        </w:rPr>
        <w:t xml:space="preserve">Que el señalado Recurso Impugnativo se fundamenta resumidamente en lo siguiente: 1) Que, de conformidad a la resolución materia de impugnación, se señala que no se efectuó la denuncia correspondiente al siniestro, </w:t>
      </w:r>
      <w:proofErr w:type="gramStart"/>
      <w:r w:rsidRPr="00CF69DD">
        <w:rPr>
          <w:rFonts w:ascii="Times New Roman" w:hAnsi="Times New Roman" w:cs="Times New Roman"/>
          <w:sz w:val="24"/>
          <w:szCs w:val="24"/>
          <w:lang w:val="es-PE"/>
        </w:rPr>
        <w:t>a pesar que</w:t>
      </w:r>
      <w:proofErr w:type="gramEnd"/>
      <w:r w:rsidRPr="00CF69DD">
        <w:rPr>
          <w:rFonts w:ascii="Times New Roman" w:hAnsi="Times New Roman" w:cs="Times New Roman"/>
          <w:sz w:val="24"/>
          <w:szCs w:val="24"/>
          <w:lang w:val="es-PE"/>
        </w:rPr>
        <w:t xml:space="preserve"> al día siguiente del suceso, cualquiera de las personas afectadas pudo haber reportado lo ocurrido. 2) Que, ante ello se debe señalar que para la fecha en que ocurrió el accidente, 16 de marzo a las 11 pm del 2020, se encontraba a nivel nacional en aislamiento social obligatorio a consecuencia del brote de Covi 19 y, por ende, se encontraban imposibilitados de poder dirigirse a la comisaría, por lo que llamaron (cuando consiguieron señal en los celulares) a la aseguradora para reportar lo ocurrido. 3) Que, el Artículo 1315 del Código Civil señala lo siguiente:</w:t>
      </w:r>
    </w:p>
    <w:p w14:paraId="7B9DBF75" w14:textId="7777777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sz w:val="24"/>
          <w:szCs w:val="24"/>
          <w:lang w:val="es-PE"/>
        </w:rPr>
        <w:t>“Artículo 1315°. - Caso fortuito o fuerza mayor es la causa no imputable consistente en un evento extraordinario, imprevisible e irresistible que impide la ejecución de la obligación o determina su cumplimiento parcial, tardío o defectuoso”.</w:t>
      </w:r>
    </w:p>
    <w:p w14:paraId="6DC6F751" w14:textId="7777777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sz w:val="24"/>
          <w:szCs w:val="24"/>
          <w:lang w:val="es-PE"/>
        </w:rPr>
        <w:t xml:space="preserve">Que, en ese sentido, el contexto en que se encontraba el </w:t>
      </w:r>
      <w:proofErr w:type="gramStart"/>
      <w:r w:rsidRPr="00CF69DD">
        <w:rPr>
          <w:rFonts w:ascii="Times New Roman" w:hAnsi="Times New Roman" w:cs="Times New Roman"/>
          <w:sz w:val="24"/>
          <w:szCs w:val="24"/>
          <w:lang w:val="es-PE"/>
        </w:rPr>
        <w:t>país,</w:t>
      </w:r>
      <w:proofErr w:type="gramEnd"/>
      <w:r w:rsidRPr="00CF69DD">
        <w:rPr>
          <w:rFonts w:ascii="Times New Roman" w:hAnsi="Times New Roman" w:cs="Times New Roman"/>
          <w:sz w:val="24"/>
          <w:szCs w:val="24"/>
          <w:lang w:val="es-PE"/>
        </w:rPr>
        <w:t xml:space="preserve"> imposibilitaba al asegurado, conductor o acompañantes, a actuar como si fuera un día normal; además se debe tener en cuenta que agotaron todas las alternativas para hacer de conocimiento de la aseguradora los hechos ocurridos, a pesar que por el lugar donde se encontraban no había señal que permitiese la comunicación respectiva.</w:t>
      </w:r>
    </w:p>
    <w:p w14:paraId="050ADC89" w14:textId="7777777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sz w:val="24"/>
          <w:szCs w:val="24"/>
          <w:lang w:val="es-PE"/>
        </w:rPr>
        <w:t>Que, con fecha 11 de junio de 2021, la Defensoría del Asegurado corrió traslado del Recurso Impugnativo presentado, a la aseguradora, sin que hasta la fecha la misma se haya pronunciado sobre el mencionado recurso</w:t>
      </w:r>
    </w:p>
    <w:p w14:paraId="0CBB1BDC" w14:textId="7777777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sz w:val="24"/>
          <w:szCs w:val="24"/>
          <w:lang w:val="es-PE"/>
        </w:rPr>
        <w:t>Que, atendiendo a lo expuesto, esta Defensoría resuelve finalmente lo siguiente:</w:t>
      </w:r>
    </w:p>
    <w:p w14:paraId="01288138" w14:textId="7777777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b/>
          <w:sz w:val="24"/>
          <w:szCs w:val="24"/>
          <w:lang w:val="es-PE"/>
        </w:rPr>
        <w:t>PRIMERO:</w:t>
      </w:r>
      <w:r w:rsidRPr="00CF69DD">
        <w:rPr>
          <w:rFonts w:ascii="Times New Roman" w:hAnsi="Times New Roman" w:cs="Times New Roman"/>
          <w:sz w:val="24"/>
          <w:szCs w:val="24"/>
          <w:lang w:val="es-PE"/>
        </w:rPr>
        <w:t xml:space="preserve"> Que el artículo 10 (Procedimiento) del Reglamento de la DEFASEG (</w:t>
      </w:r>
      <w:hyperlink r:id="rId8" w:history="1">
        <w:r w:rsidRPr="00CF69DD">
          <w:rPr>
            <w:rStyle w:val="Hipervnculo"/>
            <w:rFonts w:ascii="Times New Roman" w:hAnsi="Times New Roman" w:cs="Times New Roman"/>
            <w:sz w:val="24"/>
            <w:szCs w:val="24"/>
            <w:lang w:val="es-PE"/>
          </w:rPr>
          <w:t>http://www.defaseg.com.pe/reglamento</w:t>
        </w:r>
      </w:hyperlink>
      <w:r w:rsidRPr="00CF69DD">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 Luis Enrique Ferrari Tantalean,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14:paraId="09F200F6" w14:textId="7777777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b/>
          <w:sz w:val="24"/>
          <w:szCs w:val="24"/>
          <w:lang w:val="es-PE"/>
        </w:rPr>
        <w:t>SEGUNDO:</w:t>
      </w:r>
      <w:r w:rsidRPr="00CF69DD">
        <w:rPr>
          <w:rFonts w:ascii="Times New Roman" w:hAnsi="Times New Roman" w:cs="Times New Roman"/>
          <w:sz w:val="24"/>
          <w:szCs w:val="24"/>
          <w:lang w:val="es-PE"/>
        </w:rPr>
        <w:t xml:space="preserve"> Que, de la lectura del Recurso Impugnativo interpuesto se aprecia que el asegurado insiste en lo ya expresado con ocasión de presentar su escrito de reclamación, argumentos que ya fueron debidamente analizados en los Considerandos, Sétimo, Octavo, Noveno y Décimo de la Resolución recurrida. A juicio de este colegiado, el contenido del señalado recurso impugnativo evidencia simplemente la disconformidad de este último con el </w:t>
      </w:r>
      <w:r w:rsidRPr="00CF69DD">
        <w:rPr>
          <w:rFonts w:ascii="Times New Roman" w:hAnsi="Times New Roman" w:cs="Times New Roman"/>
          <w:sz w:val="24"/>
          <w:szCs w:val="24"/>
          <w:lang w:val="es-PE"/>
        </w:rPr>
        <w:lastRenderedPageBreak/>
        <w:t>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14:paraId="241B9903" w14:textId="7777777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sz w:val="24"/>
          <w:szCs w:val="24"/>
          <w:lang w:val="es-PE"/>
        </w:rPr>
        <w:t xml:space="preserve">Sin perjuicio de lo anterior, la DEFASEG considera oportuno aclarar algunos puntos del Recurso Impugnativo presentado: </w:t>
      </w:r>
    </w:p>
    <w:p w14:paraId="51C9DD8B" w14:textId="7777777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sz w:val="24"/>
          <w:szCs w:val="24"/>
          <w:lang w:val="es-PE"/>
        </w:rPr>
        <w:t xml:space="preserve">1.- Que, el reporte del siniestro a la aseguradora bien pudo haber sido hecho por la persona que consiguió movilidad para llevarlo a otro sitio que consideró </w:t>
      </w:r>
      <w:proofErr w:type="spellStart"/>
      <w:r w:rsidRPr="00CF69DD">
        <w:rPr>
          <w:rFonts w:ascii="Times New Roman" w:hAnsi="Times New Roman" w:cs="Times New Roman"/>
          <w:sz w:val="24"/>
          <w:szCs w:val="24"/>
          <w:lang w:val="es-PE"/>
        </w:rPr>
        <w:t>mas</w:t>
      </w:r>
      <w:proofErr w:type="spellEnd"/>
      <w:r w:rsidRPr="00CF69DD">
        <w:rPr>
          <w:rFonts w:ascii="Times New Roman" w:hAnsi="Times New Roman" w:cs="Times New Roman"/>
          <w:sz w:val="24"/>
          <w:szCs w:val="24"/>
          <w:lang w:val="es-PE"/>
        </w:rPr>
        <w:t xml:space="preserve"> seguro y no necesariamente por la persona que quedó en el lugar del accidente.</w:t>
      </w:r>
    </w:p>
    <w:p w14:paraId="484510B3" w14:textId="7777777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sz w:val="24"/>
          <w:szCs w:val="24"/>
          <w:lang w:val="es-PE"/>
        </w:rPr>
        <w:t xml:space="preserve">2.- Que, </w:t>
      </w:r>
      <w:proofErr w:type="gramStart"/>
      <w:r w:rsidRPr="00CF69DD">
        <w:rPr>
          <w:rFonts w:ascii="Times New Roman" w:hAnsi="Times New Roman" w:cs="Times New Roman"/>
          <w:sz w:val="24"/>
          <w:szCs w:val="24"/>
          <w:lang w:val="es-PE"/>
        </w:rPr>
        <w:t>en relación a</w:t>
      </w:r>
      <w:proofErr w:type="gramEnd"/>
      <w:r w:rsidRPr="00CF69DD">
        <w:rPr>
          <w:rFonts w:ascii="Times New Roman" w:hAnsi="Times New Roman" w:cs="Times New Roman"/>
          <w:sz w:val="24"/>
          <w:szCs w:val="24"/>
          <w:lang w:val="es-PE"/>
        </w:rPr>
        <w:t xml:space="preserve"> la Denuncia Policial, no es explicable que cuando se consiguió la grúa para llevar el vehículo a un taller, no se hayan dirigido a la comisaría </w:t>
      </w:r>
      <w:proofErr w:type="spellStart"/>
      <w:r w:rsidRPr="00CF69DD">
        <w:rPr>
          <w:rFonts w:ascii="Times New Roman" w:hAnsi="Times New Roman" w:cs="Times New Roman"/>
          <w:sz w:val="24"/>
          <w:szCs w:val="24"/>
          <w:lang w:val="es-PE"/>
        </w:rPr>
        <w:t>mas</w:t>
      </w:r>
      <w:proofErr w:type="spellEnd"/>
      <w:r w:rsidRPr="00CF69DD">
        <w:rPr>
          <w:rFonts w:ascii="Times New Roman" w:hAnsi="Times New Roman" w:cs="Times New Roman"/>
          <w:sz w:val="24"/>
          <w:szCs w:val="24"/>
          <w:lang w:val="es-PE"/>
        </w:rPr>
        <w:t xml:space="preserve"> cercana a realizar la denuncia policial y pasar el dosaje etílico correspondiente, cuando son requisitos establecidos tanto por las Condiciones de la Póliza, como por el Reglamento General de Tránsito.</w:t>
      </w:r>
    </w:p>
    <w:p w14:paraId="1C9E741A" w14:textId="7777777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sz w:val="24"/>
          <w:szCs w:val="24"/>
          <w:lang w:val="es-PE"/>
        </w:rPr>
        <w:t>Que, así mismo, es necesario agregar que, sobre las declaraciones inconsistentes brindadas por el asegurado sobre la identidad del conductor de la unidad asegurada al momento del siniestro, el asegurado no ha hecho ningún comentario en el Recurso Impugnatorio presentado.</w:t>
      </w:r>
    </w:p>
    <w:p w14:paraId="05D8D175" w14:textId="7777777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sz w:val="24"/>
          <w:szCs w:val="24"/>
          <w:lang w:val="es-PE"/>
        </w:rPr>
        <w:t>Por consiguiente, este colegiado reitera su análisis contenido en la resolución recurrida.</w:t>
      </w:r>
    </w:p>
    <w:p w14:paraId="69E817F8" w14:textId="7777777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14:paraId="07EC7437" w14:textId="77777777" w:rsidR="00CF69DD" w:rsidRPr="00CF69DD" w:rsidRDefault="00CF69DD" w:rsidP="00CF69DD">
      <w:pPr>
        <w:spacing w:line="240" w:lineRule="auto"/>
        <w:jc w:val="both"/>
        <w:rPr>
          <w:rFonts w:ascii="Times New Roman" w:hAnsi="Times New Roman" w:cs="Times New Roman"/>
          <w:b/>
          <w:sz w:val="24"/>
          <w:szCs w:val="24"/>
          <w:lang w:val="es-PE"/>
        </w:rPr>
      </w:pPr>
      <w:r w:rsidRPr="00CF69DD">
        <w:rPr>
          <w:rFonts w:ascii="Times New Roman" w:hAnsi="Times New Roman" w:cs="Times New Roman"/>
          <w:b/>
          <w:sz w:val="24"/>
          <w:szCs w:val="24"/>
          <w:lang w:val="es-PE"/>
        </w:rPr>
        <w:t xml:space="preserve">RESUELVE: </w:t>
      </w:r>
    </w:p>
    <w:p w14:paraId="153323C5" w14:textId="324F6857" w:rsidR="00CF69DD" w:rsidRPr="00CF69DD" w:rsidRDefault="00CF69DD" w:rsidP="00CF69DD">
      <w:pPr>
        <w:spacing w:line="240" w:lineRule="auto"/>
        <w:jc w:val="both"/>
        <w:rPr>
          <w:rFonts w:ascii="Times New Roman" w:hAnsi="Times New Roman" w:cs="Times New Roman"/>
          <w:sz w:val="24"/>
          <w:szCs w:val="24"/>
          <w:lang w:val="es-PE"/>
        </w:rPr>
      </w:pPr>
      <w:r w:rsidRPr="00CF69DD">
        <w:rPr>
          <w:rFonts w:ascii="Times New Roman" w:hAnsi="Times New Roman" w:cs="Times New Roman"/>
          <w:sz w:val="24"/>
          <w:szCs w:val="24"/>
          <w:lang w:val="es-PE"/>
        </w:rPr>
        <w:t xml:space="preserve">Declarar </w:t>
      </w:r>
      <w:r w:rsidRPr="00CF69DD">
        <w:rPr>
          <w:rFonts w:ascii="Times New Roman" w:hAnsi="Times New Roman" w:cs="Times New Roman"/>
          <w:b/>
          <w:sz w:val="24"/>
          <w:szCs w:val="24"/>
          <w:lang w:val="es-PE"/>
        </w:rPr>
        <w:t>INFUNDADO</w:t>
      </w:r>
      <w:r w:rsidRPr="00CF69DD">
        <w:rPr>
          <w:rFonts w:ascii="Times New Roman" w:hAnsi="Times New Roman" w:cs="Times New Roman"/>
          <w:sz w:val="24"/>
          <w:szCs w:val="24"/>
          <w:lang w:val="es-PE"/>
        </w:rPr>
        <w:t xml:space="preserve"> el Recurso Impugnativo interpuesto y, por consiguiente, RATIFICAR la Resolución </w:t>
      </w:r>
      <w:proofErr w:type="spellStart"/>
      <w:r w:rsidRPr="00CF69DD">
        <w:rPr>
          <w:rFonts w:ascii="Times New Roman" w:hAnsi="Times New Roman" w:cs="Times New Roman"/>
          <w:sz w:val="24"/>
          <w:szCs w:val="24"/>
          <w:lang w:val="es-PE"/>
        </w:rPr>
        <w:t>N°</w:t>
      </w:r>
      <w:proofErr w:type="spellEnd"/>
      <w:r w:rsidRPr="00CF69DD">
        <w:rPr>
          <w:rFonts w:ascii="Times New Roman" w:hAnsi="Times New Roman" w:cs="Times New Roman"/>
          <w:sz w:val="24"/>
          <w:szCs w:val="24"/>
          <w:lang w:val="es-PE"/>
        </w:rPr>
        <w:t xml:space="preserve"> 068/21 que declaró INFUNDADA la reclamación interpuesta po</w:t>
      </w:r>
      <w:r w:rsidR="00A318CF">
        <w:rPr>
          <w:rFonts w:ascii="Times New Roman" w:hAnsi="Times New Roman" w:cs="Times New Roman"/>
          <w:sz w:val="24"/>
          <w:szCs w:val="24"/>
          <w:lang w:val="es-PE"/>
        </w:rPr>
        <w:t>r</w:t>
      </w:r>
      <w:r w:rsidR="00A318CF" w:rsidRPr="00A318CF">
        <w:rPr>
          <w:lang w:val="es-PE"/>
        </w:rPr>
        <w:t xml:space="preserve">, </w:t>
      </w:r>
      <w:r w:rsidR="00A318CF" w:rsidRPr="00D1514E">
        <w:rPr>
          <w:lang w:val="es-PE"/>
        </w:rPr>
        <w:t>.................</w:t>
      </w:r>
      <w:r w:rsidR="00A318CF" w:rsidRPr="00A318CF">
        <w:rPr>
          <w:lang w:val="es-PE"/>
        </w:rPr>
        <w:t>.</w:t>
      </w:r>
      <w:r w:rsidRPr="00CF69DD">
        <w:rPr>
          <w:rFonts w:ascii="Times New Roman" w:hAnsi="Times New Roman" w:cs="Times New Roman"/>
          <w:sz w:val="24"/>
          <w:szCs w:val="24"/>
          <w:lang w:val="es-PE"/>
        </w:rPr>
        <w:t xml:space="preserve">, </w:t>
      </w:r>
      <w:proofErr w:type="gramStart"/>
      <w:r w:rsidRPr="00CF69DD">
        <w:rPr>
          <w:rFonts w:ascii="Times New Roman" w:hAnsi="Times New Roman" w:cs="Times New Roman"/>
          <w:sz w:val="24"/>
          <w:szCs w:val="24"/>
          <w:lang w:val="es-PE"/>
        </w:rPr>
        <w:t xml:space="preserve">contra </w:t>
      </w:r>
      <w:r w:rsidR="00A318CF" w:rsidRPr="00A318CF">
        <w:rPr>
          <w:lang w:val="es-PE"/>
        </w:rPr>
        <w:t>,</w:t>
      </w:r>
      <w:proofErr w:type="gramEnd"/>
      <w:r w:rsidR="00A318CF" w:rsidRPr="00A318CF">
        <w:rPr>
          <w:lang w:val="es-PE"/>
        </w:rPr>
        <w:t xml:space="preserve"> </w:t>
      </w:r>
      <w:r w:rsidR="00A318CF" w:rsidRPr="00D1514E">
        <w:rPr>
          <w:lang w:val="es-PE"/>
        </w:rPr>
        <w:t>.................</w:t>
      </w:r>
      <w:r w:rsidR="00A318CF" w:rsidRPr="00A318CF">
        <w:rPr>
          <w:lang w:val="es-PE"/>
        </w:rPr>
        <w:t>.</w:t>
      </w:r>
      <w:r w:rsidRPr="00CF69DD">
        <w:rPr>
          <w:rFonts w:ascii="Times New Roman" w:hAnsi="Times New Roman" w:cs="Times New Roman"/>
          <w:sz w:val="24"/>
          <w:szCs w:val="24"/>
          <w:lang w:val="es-PE"/>
        </w:rPr>
        <w:t>, dejando a salvo el derecho del reclamante de acudir a otras instancias que considere pertinentes.</w:t>
      </w:r>
    </w:p>
    <w:p w14:paraId="489525D7" w14:textId="77777777" w:rsidR="005E398E" w:rsidRPr="0032345B" w:rsidRDefault="005E398E" w:rsidP="00CF69DD">
      <w:pPr>
        <w:suppressAutoHyphens/>
        <w:spacing w:after="0" w:line="240" w:lineRule="auto"/>
        <w:outlineLvl w:val="0"/>
        <w:rPr>
          <w:rFonts w:ascii="Times New Roman" w:eastAsia="Arial Unicode MS" w:hAnsi="Times New Roman" w:cs="Times New Roman"/>
          <w:bCs/>
          <w:sz w:val="24"/>
          <w:szCs w:val="24"/>
          <w:lang w:val="es-PE"/>
        </w:rPr>
      </w:pPr>
    </w:p>
    <w:p w14:paraId="486C3F46" w14:textId="59EC1B0C" w:rsidR="00C671F5" w:rsidRPr="0032345B" w:rsidRDefault="0091528B" w:rsidP="005E398E">
      <w:pPr>
        <w:suppressAutoHyphens/>
        <w:spacing w:after="0" w:line="240" w:lineRule="auto"/>
        <w:jc w:val="right"/>
        <w:outlineLvl w:val="0"/>
        <w:rPr>
          <w:rFonts w:ascii="Times New Roman" w:eastAsia="Arial Unicode MS" w:hAnsi="Times New Roman" w:cs="Times New Roman"/>
          <w:sz w:val="24"/>
          <w:szCs w:val="24"/>
          <w:lang w:val="es-PE" w:eastAsia="ar-SA"/>
        </w:rPr>
      </w:pPr>
      <w:r w:rsidRPr="0032345B">
        <w:rPr>
          <w:rFonts w:ascii="Times New Roman" w:eastAsia="Arial Unicode MS" w:hAnsi="Times New Roman" w:cs="Times New Roman"/>
          <w:sz w:val="24"/>
          <w:szCs w:val="24"/>
          <w:lang w:val="es-PE" w:eastAsia="ar-SA"/>
        </w:rPr>
        <w:t xml:space="preserve">Lima, </w:t>
      </w:r>
      <w:r w:rsidR="0032345B" w:rsidRPr="0032345B">
        <w:rPr>
          <w:rFonts w:ascii="Times New Roman" w:eastAsia="Arial Unicode MS" w:hAnsi="Times New Roman" w:cs="Times New Roman"/>
          <w:sz w:val="24"/>
          <w:szCs w:val="24"/>
          <w:lang w:val="es-PE" w:eastAsia="ar-SA"/>
        </w:rPr>
        <w:t>0</w:t>
      </w:r>
      <w:r w:rsidR="00CF69DD">
        <w:rPr>
          <w:rFonts w:ascii="Times New Roman" w:eastAsia="Arial Unicode MS" w:hAnsi="Times New Roman" w:cs="Times New Roman"/>
          <w:sz w:val="24"/>
          <w:szCs w:val="24"/>
          <w:lang w:val="es-PE" w:eastAsia="ar-SA"/>
        </w:rPr>
        <w:t xml:space="preserve">5 </w:t>
      </w:r>
      <w:r w:rsidR="00707C99" w:rsidRPr="0032345B">
        <w:rPr>
          <w:rFonts w:ascii="Times New Roman" w:eastAsia="Arial Unicode MS" w:hAnsi="Times New Roman" w:cs="Times New Roman"/>
          <w:sz w:val="24"/>
          <w:szCs w:val="24"/>
          <w:lang w:val="es-PE" w:eastAsia="ar-SA"/>
        </w:rPr>
        <w:t>de</w:t>
      </w:r>
      <w:r w:rsidR="00864B0B" w:rsidRPr="0032345B">
        <w:rPr>
          <w:rFonts w:ascii="Times New Roman" w:eastAsia="Arial Unicode MS" w:hAnsi="Times New Roman" w:cs="Times New Roman"/>
          <w:sz w:val="24"/>
          <w:szCs w:val="24"/>
          <w:lang w:val="es-PE" w:eastAsia="ar-SA"/>
        </w:rPr>
        <w:t xml:space="preserve"> </w:t>
      </w:r>
      <w:r w:rsidR="0032345B" w:rsidRPr="0032345B">
        <w:rPr>
          <w:rFonts w:ascii="Times New Roman" w:eastAsia="Arial Unicode MS" w:hAnsi="Times New Roman" w:cs="Times New Roman"/>
          <w:sz w:val="24"/>
          <w:szCs w:val="24"/>
          <w:lang w:val="es-PE" w:eastAsia="ar-SA"/>
        </w:rPr>
        <w:t>ju</w:t>
      </w:r>
      <w:r w:rsidR="00CF69DD">
        <w:rPr>
          <w:rFonts w:ascii="Times New Roman" w:eastAsia="Arial Unicode MS" w:hAnsi="Times New Roman" w:cs="Times New Roman"/>
          <w:sz w:val="24"/>
          <w:szCs w:val="24"/>
          <w:lang w:val="es-PE" w:eastAsia="ar-SA"/>
        </w:rPr>
        <w:t>lio</w:t>
      </w:r>
      <w:r w:rsidR="00F06498" w:rsidRPr="0032345B">
        <w:rPr>
          <w:rFonts w:ascii="Times New Roman" w:eastAsia="Arial Unicode MS" w:hAnsi="Times New Roman" w:cs="Times New Roman"/>
          <w:sz w:val="24"/>
          <w:szCs w:val="24"/>
          <w:lang w:val="es-PE" w:eastAsia="ar-SA"/>
        </w:rPr>
        <w:t xml:space="preserve"> de 202</w:t>
      </w:r>
      <w:r w:rsidR="00231C58" w:rsidRPr="0032345B">
        <w:rPr>
          <w:rFonts w:ascii="Times New Roman" w:eastAsia="Arial Unicode MS" w:hAnsi="Times New Roman" w:cs="Times New Roman"/>
          <w:sz w:val="24"/>
          <w:szCs w:val="24"/>
          <w:lang w:val="es-PE" w:eastAsia="ar-SA"/>
        </w:rPr>
        <w:t>1</w:t>
      </w:r>
      <w:r w:rsidR="00707C99" w:rsidRPr="0032345B">
        <w:rPr>
          <w:rFonts w:ascii="Times New Roman" w:eastAsia="Times New Roman" w:hAnsi="Times New Roman" w:cs="Times New Roman"/>
          <w:sz w:val="24"/>
          <w:szCs w:val="24"/>
          <w:lang w:val="es-PE" w:eastAsia="ar-SA"/>
        </w:rPr>
        <w:t xml:space="preserve"> </w:t>
      </w:r>
    </w:p>
    <w:p w14:paraId="2B9BAAC8" w14:textId="77777777" w:rsidR="00231C58" w:rsidRPr="0032345B" w:rsidRDefault="00231C58" w:rsidP="004A374A">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32345B" w:rsidRDefault="00C671F5" w:rsidP="004A374A">
      <w:pPr>
        <w:spacing w:after="0" w:line="240" w:lineRule="auto"/>
        <w:jc w:val="both"/>
        <w:rPr>
          <w:rFonts w:ascii="Times New Roman" w:hAnsi="Times New Roman" w:cs="Times New Roman"/>
          <w:b/>
          <w:bCs/>
          <w:i/>
          <w:iCs/>
          <w:sz w:val="24"/>
          <w:szCs w:val="24"/>
          <w:lang w:val="es-PE"/>
        </w:rPr>
      </w:pPr>
      <w:r w:rsidRPr="0032345B">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32345B" w:rsidRDefault="00C671F5" w:rsidP="004A374A">
      <w:pPr>
        <w:spacing w:after="0" w:line="240" w:lineRule="auto"/>
        <w:jc w:val="both"/>
        <w:rPr>
          <w:rFonts w:ascii="Times New Roman" w:hAnsi="Times New Roman" w:cs="Times New Roman"/>
          <w:b/>
          <w:bCs/>
          <w:i/>
          <w:iCs/>
          <w:sz w:val="24"/>
          <w:szCs w:val="24"/>
          <w:lang w:val="es-PE"/>
        </w:rPr>
      </w:pPr>
    </w:p>
    <w:p w14:paraId="548B3E5B" w14:textId="2BD7B1B7" w:rsidR="00C671F5" w:rsidRDefault="0032345B" w:rsidP="004A374A">
      <w:pPr>
        <w:spacing w:after="0" w:line="360" w:lineRule="auto"/>
        <w:jc w:val="center"/>
        <w:rPr>
          <w:rFonts w:ascii="Times New Roman" w:hAnsi="Times New Roman" w:cs="Times New Roman"/>
          <w:b/>
          <w:bCs/>
          <w:sz w:val="24"/>
          <w:szCs w:val="24"/>
          <w:lang w:val="es-PE"/>
        </w:rPr>
      </w:pPr>
      <w:r w:rsidRPr="0032345B">
        <w:rPr>
          <w:rFonts w:ascii="Times New Roman" w:hAnsi="Times New Roman" w:cs="Times New Roman"/>
          <w:b/>
          <w:bCs/>
          <w:sz w:val="24"/>
          <w:szCs w:val="24"/>
          <w:lang w:val="es-PE"/>
        </w:rPr>
        <w:t xml:space="preserve">Marco Antonio Ortega Piana </w:t>
      </w:r>
      <w:r w:rsidR="00C671F5" w:rsidRPr="0032345B">
        <w:rPr>
          <w:rFonts w:ascii="Times New Roman" w:hAnsi="Times New Roman" w:cs="Times New Roman"/>
          <w:b/>
          <w:bCs/>
          <w:sz w:val="24"/>
          <w:szCs w:val="24"/>
          <w:lang w:val="es-PE"/>
        </w:rPr>
        <w:t xml:space="preserve">– </w:t>
      </w:r>
      <w:proofErr w:type="gramStart"/>
      <w:r w:rsidR="00C671F5" w:rsidRPr="0032345B">
        <w:rPr>
          <w:rFonts w:ascii="Times New Roman" w:hAnsi="Times New Roman" w:cs="Times New Roman"/>
          <w:b/>
          <w:bCs/>
          <w:sz w:val="24"/>
          <w:szCs w:val="24"/>
          <w:lang w:val="es-PE"/>
        </w:rPr>
        <w:t>Presidente</w:t>
      </w:r>
      <w:proofErr w:type="gramEnd"/>
    </w:p>
    <w:p w14:paraId="033E3E13" w14:textId="7196E86D" w:rsidR="0032345B" w:rsidRPr="0032345B" w:rsidRDefault="0032345B" w:rsidP="004A374A">
      <w:pPr>
        <w:spacing w:after="0" w:line="360" w:lineRule="auto"/>
        <w:jc w:val="center"/>
        <w:rPr>
          <w:rFonts w:ascii="Times New Roman" w:hAnsi="Times New Roman" w:cs="Times New Roman"/>
          <w:b/>
          <w:bCs/>
          <w:sz w:val="24"/>
          <w:szCs w:val="24"/>
          <w:lang w:val="es-PE"/>
        </w:rPr>
      </w:pPr>
      <w:r w:rsidRPr="0032345B">
        <w:rPr>
          <w:rFonts w:ascii="Times New Roman" w:hAnsi="Times New Roman" w:cs="Times New Roman"/>
          <w:b/>
          <w:bCs/>
          <w:sz w:val="24"/>
          <w:szCs w:val="24"/>
          <w:lang w:val="es-PE"/>
        </w:rPr>
        <w:t>María Eugenia Valdez Fernández Baca– Vocal</w:t>
      </w:r>
    </w:p>
    <w:p w14:paraId="3006BA35" w14:textId="7871895F" w:rsidR="00292018" w:rsidRPr="0032345B" w:rsidRDefault="00292018" w:rsidP="004A374A">
      <w:pPr>
        <w:spacing w:after="0" w:line="360" w:lineRule="auto"/>
        <w:jc w:val="center"/>
        <w:rPr>
          <w:rFonts w:ascii="Times New Roman" w:hAnsi="Times New Roman" w:cs="Times New Roman"/>
          <w:b/>
          <w:bCs/>
          <w:sz w:val="24"/>
          <w:szCs w:val="24"/>
          <w:lang w:val="es-PE"/>
        </w:rPr>
      </w:pPr>
      <w:r w:rsidRPr="0032345B">
        <w:rPr>
          <w:rFonts w:ascii="Times New Roman" w:hAnsi="Times New Roman" w:cs="Times New Roman"/>
          <w:b/>
          <w:bCs/>
          <w:sz w:val="24"/>
          <w:szCs w:val="24"/>
          <w:lang w:val="es-PE"/>
        </w:rPr>
        <w:t xml:space="preserve">Rolando Eyzaguirre </w:t>
      </w:r>
      <w:proofErr w:type="spellStart"/>
      <w:r w:rsidRPr="0032345B">
        <w:rPr>
          <w:rFonts w:ascii="Times New Roman" w:hAnsi="Times New Roman" w:cs="Times New Roman"/>
          <w:b/>
          <w:bCs/>
          <w:sz w:val="24"/>
          <w:szCs w:val="24"/>
          <w:lang w:val="es-PE"/>
        </w:rPr>
        <w:t>Maccan</w:t>
      </w:r>
      <w:proofErr w:type="spellEnd"/>
      <w:r w:rsidRPr="0032345B">
        <w:rPr>
          <w:rFonts w:ascii="Times New Roman" w:hAnsi="Times New Roman" w:cs="Times New Roman"/>
          <w:b/>
          <w:bCs/>
          <w:sz w:val="24"/>
          <w:szCs w:val="24"/>
          <w:lang w:val="es-PE"/>
        </w:rPr>
        <w:t xml:space="preserve"> – Vocal</w:t>
      </w:r>
    </w:p>
    <w:p w14:paraId="3A9CFE9F" w14:textId="4DFF4426" w:rsidR="00C671F5" w:rsidRPr="0032345B" w:rsidRDefault="00C671F5" w:rsidP="004A374A">
      <w:pPr>
        <w:spacing w:after="0" w:line="360" w:lineRule="auto"/>
        <w:jc w:val="center"/>
        <w:rPr>
          <w:rFonts w:ascii="Times New Roman" w:hAnsi="Times New Roman" w:cs="Times New Roman"/>
          <w:sz w:val="24"/>
          <w:szCs w:val="24"/>
          <w:lang w:val="es-PE"/>
        </w:rPr>
      </w:pPr>
      <w:r w:rsidRPr="0032345B">
        <w:rPr>
          <w:rFonts w:ascii="Times New Roman" w:hAnsi="Times New Roman" w:cs="Times New Roman"/>
          <w:b/>
          <w:bCs/>
          <w:sz w:val="24"/>
          <w:szCs w:val="24"/>
          <w:lang w:val="es-PE"/>
        </w:rPr>
        <w:t xml:space="preserve">Gonzalo Abad del Busto </w:t>
      </w:r>
      <w:r w:rsidR="00231C58" w:rsidRPr="0032345B">
        <w:rPr>
          <w:rFonts w:ascii="Times New Roman" w:hAnsi="Times New Roman" w:cs="Times New Roman"/>
          <w:b/>
          <w:bCs/>
          <w:sz w:val="24"/>
          <w:szCs w:val="24"/>
          <w:lang w:val="es-PE"/>
        </w:rPr>
        <w:t xml:space="preserve">– </w:t>
      </w:r>
      <w:r w:rsidRPr="0032345B">
        <w:rPr>
          <w:rFonts w:ascii="Times New Roman" w:hAnsi="Times New Roman" w:cs="Times New Roman"/>
          <w:b/>
          <w:bCs/>
          <w:sz w:val="24"/>
          <w:szCs w:val="24"/>
          <w:lang w:val="es-PE"/>
        </w:rPr>
        <w:t>Vocal</w:t>
      </w:r>
    </w:p>
    <w:p w14:paraId="33E0FAB8" w14:textId="77777777" w:rsidR="00C671F5" w:rsidRPr="0032345B" w:rsidRDefault="00C671F5" w:rsidP="004A374A">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32345B" w:rsidRDefault="00C671F5" w:rsidP="004A374A">
      <w:pPr>
        <w:spacing w:line="240" w:lineRule="auto"/>
        <w:rPr>
          <w:rFonts w:ascii="Times New Roman" w:eastAsia="Arial Unicode MS" w:hAnsi="Times New Roman" w:cs="Times New Roman"/>
          <w:sz w:val="24"/>
          <w:szCs w:val="24"/>
          <w:lang w:val="es-PE" w:eastAsia="ar-SA"/>
        </w:rPr>
      </w:pPr>
    </w:p>
    <w:sectPr w:rsidR="00C671F5" w:rsidRPr="0032345B" w:rsidSect="00077B6F">
      <w:headerReference w:type="default" r:id="rId9"/>
      <w:footerReference w:type="default" r:id="rId10"/>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35DE5" w14:textId="77777777" w:rsidR="001928BF" w:rsidRDefault="001928BF" w:rsidP="00784355">
      <w:pPr>
        <w:spacing w:after="0" w:line="240" w:lineRule="auto"/>
      </w:pPr>
      <w:r>
        <w:separator/>
      </w:r>
    </w:p>
  </w:endnote>
  <w:endnote w:type="continuationSeparator" w:id="0">
    <w:p w14:paraId="4C1F71C1" w14:textId="77777777" w:rsidR="001928BF" w:rsidRDefault="001928BF"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4F048" w14:textId="77777777" w:rsidR="001928BF" w:rsidRDefault="001928BF" w:rsidP="00784355">
      <w:pPr>
        <w:spacing w:after="0" w:line="240" w:lineRule="auto"/>
      </w:pPr>
      <w:r>
        <w:separator/>
      </w:r>
    </w:p>
  </w:footnote>
  <w:footnote w:type="continuationSeparator" w:id="0">
    <w:p w14:paraId="01A448D9" w14:textId="77777777" w:rsidR="001928BF" w:rsidRDefault="001928BF"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4492D"/>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928BF"/>
    <w:rsid w:val="001A008A"/>
    <w:rsid w:val="001A3395"/>
    <w:rsid w:val="001A44E1"/>
    <w:rsid w:val="001B1E59"/>
    <w:rsid w:val="001B58A3"/>
    <w:rsid w:val="001D0EED"/>
    <w:rsid w:val="001D59D9"/>
    <w:rsid w:val="001D6136"/>
    <w:rsid w:val="001E119C"/>
    <w:rsid w:val="001E30F1"/>
    <w:rsid w:val="00201C0D"/>
    <w:rsid w:val="00203EF7"/>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2688"/>
    <w:rsid w:val="005A4C4E"/>
    <w:rsid w:val="005A782D"/>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1BF"/>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18CF"/>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D3BD0B3-7214-4617-BE8C-248BA33E656D}"/>
</file>

<file path=customXml/itemProps3.xml><?xml version="1.0" encoding="utf-8"?>
<ds:datastoreItem xmlns:ds="http://schemas.openxmlformats.org/officeDocument/2006/customXml" ds:itemID="{4AF1B7E8-E4FE-4461-BF9A-7191213E9618}"/>
</file>

<file path=customXml/itemProps4.xml><?xml version="1.0" encoding="utf-8"?>
<ds:datastoreItem xmlns:ds="http://schemas.openxmlformats.org/officeDocument/2006/customXml" ds:itemID="{77B332AE-F87A-4045-83D2-B7E934BB0CA9}"/>
</file>

<file path=docProps/app.xml><?xml version="1.0" encoding="utf-8"?>
<Properties xmlns="http://schemas.openxmlformats.org/officeDocument/2006/extended-properties" xmlns:vt="http://schemas.openxmlformats.org/officeDocument/2006/docPropsVTypes">
  <Template>Normal</Template>
  <TotalTime>248</TotalTime>
  <Pages>2</Pages>
  <Words>876</Words>
  <Characters>4821</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64</cp:revision>
  <cp:lastPrinted>2021-07-06T16:30:00Z</cp:lastPrinted>
  <dcterms:created xsi:type="dcterms:W3CDTF">2020-12-18T20:17:00Z</dcterms:created>
  <dcterms:modified xsi:type="dcterms:W3CDTF">2022-03-10T16:26:00Z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