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240E5" w14:textId="2D173608" w:rsidR="00707C99" w:rsidRPr="00217715" w:rsidRDefault="00201C0D" w:rsidP="00CF69DD">
      <w:pPr>
        <w:pStyle w:val="Ttulo2"/>
        <w:jc w:val="center"/>
        <w:rPr>
          <w:rFonts w:ascii="Times New Roman" w:hAnsi="Times New Roman" w:cs="Times New Roman"/>
          <w:b/>
          <w:bCs/>
          <w:color w:val="auto"/>
          <w:sz w:val="24"/>
          <w:szCs w:val="24"/>
          <w:lang w:val="es-PE" w:eastAsia="ar-SA"/>
        </w:rPr>
      </w:pPr>
      <w:r w:rsidRPr="00217715">
        <w:rPr>
          <w:rFonts w:ascii="Times New Roman" w:hAnsi="Times New Roman" w:cs="Times New Roman"/>
          <w:b/>
          <w:bCs/>
          <w:color w:val="auto"/>
          <w:sz w:val="24"/>
          <w:szCs w:val="24"/>
          <w:lang w:val="es-PE" w:eastAsia="ar-SA"/>
        </w:rPr>
        <w:t xml:space="preserve">RESOLUCIÓN DE RECURSO IMPUGNATIVO </w:t>
      </w:r>
      <w:proofErr w:type="spellStart"/>
      <w:r w:rsidR="00707C99" w:rsidRPr="00217715">
        <w:rPr>
          <w:rFonts w:ascii="Times New Roman" w:hAnsi="Times New Roman" w:cs="Times New Roman"/>
          <w:b/>
          <w:bCs/>
          <w:color w:val="auto"/>
          <w:sz w:val="24"/>
          <w:szCs w:val="24"/>
          <w:lang w:val="es-PE" w:eastAsia="ar-SA"/>
        </w:rPr>
        <w:t>N°</w:t>
      </w:r>
      <w:proofErr w:type="spellEnd"/>
      <w:r w:rsidR="00707C99" w:rsidRPr="00217715">
        <w:rPr>
          <w:rFonts w:ascii="Times New Roman" w:hAnsi="Times New Roman" w:cs="Times New Roman"/>
          <w:b/>
          <w:bCs/>
          <w:color w:val="auto"/>
          <w:sz w:val="24"/>
          <w:szCs w:val="24"/>
          <w:lang w:val="es-PE" w:eastAsia="ar-SA"/>
        </w:rPr>
        <w:t xml:space="preserve"> </w:t>
      </w:r>
      <w:r w:rsidR="00C671F5" w:rsidRPr="00217715">
        <w:rPr>
          <w:rFonts w:ascii="Times New Roman" w:hAnsi="Times New Roman" w:cs="Times New Roman"/>
          <w:b/>
          <w:bCs/>
          <w:color w:val="auto"/>
          <w:sz w:val="24"/>
          <w:szCs w:val="24"/>
          <w:lang w:val="es-PE" w:eastAsia="ar-SA"/>
        </w:rPr>
        <w:t>0</w:t>
      </w:r>
      <w:r w:rsidR="004A374A" w:rsidRPr="00217715">
        <w:rPr>
          <w:rFonts w:ascii="Times New Roman" w:hAnsi="Times New Roman" w:cs="Times New Roman"/>
          <w:b/>
          <w:bCs/>
          <w:color w:val="auto"/>
          <w:sz w:val="24"/>
          <w:szCs w:val="24"/>
          <w:lang w:val="es-PE" w:eastAsia="ar-SA"/>
        </w:rPr>
        <w:t>3</w:t>
      </w:r>
      <w:r w:rsidR="00217715" w:rsidRPr="00217715">
        <w:rPr>
          <w:rFonts w:ascii="Times New Roman" w:hAnsi="Times New Roman" w:cs="Times New Roman"/>
          <w:b/>
          <w:bCs/>
          <w:color w:val="auto"/>
          <w:sz w:val="24"/>
          <w:szCs w:val="24"/>
          <w:lang w:val="es-PE" w:eastAsia="ar-SA"/>
        </w:rPr>
        <w:t>9</w:t>
      </w:r>
      <w:r w:rsidR="00517CFF" w:rsidRPr="00217715">
        <w:rPr>
          <w:rFonts w:ascii="Times New Roman" w:hAnsi="Times New Roman" w:cs="Times New Roman"/>
          <w:b/>
          <w:bCs/>
          <w:color w:val="auto"/>
          <w:sz w:val="24"/>
          <w:szCs w:val="24"/>
          <w:lang w:val="es-PE" w:eastAsia="ar-SA"/>
        </w:rPr>
        <w:t>/</w:t>
      </w:r>
      <w:r w:rsidR="00C671F5" w:rsidRPr="00217715">
        <w:rPr>
          <w:rFonts w:ascii="Times New Roman" w:hAnsi="Times New Roman" w:cs="Times New Roman"/>
          <w:b/>
          <w:bCs/>
          <w:color w:val="auto"/>
          <w:sz w:val="24"/>
          <w:szCs w:val="24"/>
          <w:lang w:val="es-PE" w:eastAsia="ar-SA"/>
        </w:rPr>
        <w:t>2</w:t>
      </w:r>
      <w:r w:rsidR="00231C58" w:rsidRPr="00217715">
        <w:rPr>
          <w:rFonts w:ascii="Times New Roman" w:hAnsi="Times New Roman" w:cs="Times New Roman"/>
          <w:b/>
          <w:bCs/>
          <w:color w:val="auto"/>
          <w:sz w:val="24"/>
          <w:szCs w:val="24"/>
          <w:lang w:val="es-PE" w:eastAsia="ar-SA"/>
        </w:rPr>
        <w:t>1</w:t>
      </w:r>
    </w:p>
    <w:p w14:paraId="6A25FCE1" w14:textId="77777777" w:rsidR="00CF69DD" w:rsidRPr="00217715" w:rsidRDefault="00CF69DD" w:rsidP="00CF69DD">
      <w:pPr>
        <w:rPr>
          <w:rFonts w:ascii="Times New Roman" w:hAnsi="Times New Roman" w:cs="Times New Roman"/>
          <w:sz w:val="24"/>
          <w:szCs w:val="24"/>
          <w:lang w:val="es-PE" w:eastAsia="ar-SA"/>
        </w:rPr>
      </w:pPr>
    </w:p>
    <w:p w14:paraId="7729F514" w14:textId="77777777" w:rsidR="00217715" w:rsidRPr="00217715" w:rsidRDefault="00217715" w:rsidP="00217715">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17715">
        <w:rPr>
          <w:rFonts w:ascii="Times New Roman" w:eastAsia="Times New Roman" w:hAnsi="Times New Roman" w:cs="Times New Roman"/>
          <w:b/>
          <w:bCs/>
          <w:sz w:val="24"/>
          <w:szCs w:val="24"/>
          <w:lang w:val="es-MX" w:eastAsia="ar-SA"/>
        </w:rPr>
        <w:t>Vistos:</w:t>
      </w:r>
    </w:p>
    <w:p w14:paraId="1FABF468" w14:textId="77777777" w:rsidR="00217715" w:rsidRPr="00217715" w:rsidRDefault="00217715" w:rsidP="00217715">
      <w:pPr>
        <w:suppressAutoHyphens/>
        <w:spacing w:after="0" w:line="240" w:lineRule="auto"/>
        <w:jc w:val="both"/>
        <w:rPr>
          <w:rFonts w:ascii="Times New Roman" w:eastAsia="Times New Roman" w:hAnsi="Times New Roman" w:cs="Times New Roman"/>
          <w:b/>
          <w:bCs/>
          <w:sz w:val="24"/>
          <w:szCs w:val="24"/>
          <w:lang w:val="es-MX" w:eastAsia="ar-SA"/>
        </w:rPr>
      </w:pPr>
      <w:r w:rsidRPr="00217715">
        <w:rPr>
          <w:rFonts w:ascii="Times New Roman" w:eastAsia="Times New Roman" w:hAnsi="Times New Roman" w:cs="Times New Roman"/>
          <w:b/>
          <w:bCs/>
          <w:sz w:val="24"/>
          <w:szCs w:val="24"/>
          <w:lang w:val="es-MX" w:eastAsia="ar-SA"/>
        </w:rPr>
        <w:t xml:space="preserve">   </w:t>
      </w:r>
    </w:p>
    <w:p w14:paraId="22CC023D" w14:textId="42BA224A" w:rsidR="00217715" w:rsidRPr="00217715" w:rsidRDefault="00217715" w:rsidP="00217715">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217715">
        <w:rPr>
          <w:rFonts w:ascii="Times New Roman" w:eastAsia="Times New Roman" w:hAnsi="Times New Roman" w:cs="Times New Roman"/>
          <w:sz w:val="24"/>
          <w:szCs w:val="24"/>
          <w:lang w:val="es-ES" w:eastAsia="ar-SA"/>
        </w:rPr>
        <w:t xml:space="preserve">El recurso de impugnación presentado con fecha 8 de junio de 2021 por </w:t>
      </w:r>
      <w:r w:rsidR="008D35DB" w:rsidRPr="00D906DD">
        <w:rPr>
          <w:rFonts w:ascii="Arial" w:hAnsi="Arial" w:cs="Arial"/>
          <w:lang w:val="es-PE"/>
        </w:rPr>
        <w:t>...................</w:t>
      </w:r>
      <w:r w:rsidR="008D35DB">
        <w:rPr>
          <w:rFonts w:ascii="Arial" w:hAnsi="Arial" w:cs="Arial"/>
          <w:lang w:val="es-PE"/>
        </w:rPr>
        <w:t xml:space="preserve">, </w:t>
      </w:r>
      <w:r w:rsidRPr="00217715">
        <w:rPr>
          <w:rFonts w:ascii="Times New Roman" w:eastAsia="Times New Roman" w:hAnsi="Times New Roman" w:cs="Times New Roman"/>
          <w:sz w:val="24"/>
          <w:szCs w:val="24"/>
          <w:lang w:val="es-PE" w:eastAsia="es-ES"/>
        </w:rPr>
        <w:t xml:space="preserve">debidamente representada por su gerente general, señor </w:t>
      </w:r>
      <w:r w:rsidR="008D35DB" w:rsidRPr="00D906DD">
        <w:rPr>
          <w:rFonts w:ascii="Arial" w:hAnsi="Arial" w:cs="Arial"/>
          <w:lang w:val="es-PE"/>
        </w:rPr>
        <w:t>...................</w:t>
      </w:r>
      <w:r w:rsidRPr="00217715">
        <w:rPr>
          <w:rFonts w:ascii="Times New Roman" w:eastAsia="Times New Roman" w:hAnsi="Times New Roman" w:cs="Times New Roman"/>
          <w:sz w:val="24"/>
          <w:szCs w:val="24"/>
          <w:lang w:val="es-PE" w:eastAsia="es-ES"/>
        </w:rPr>
        <w:t>, según representación acreditada</w:t>
      </w:r>
      <w:r w:rsidRPr="00217715">
        <w:rPr>
          <w:rFonts w:ascii="Times New Roman" w:eastAsia="Times New Roman" w:hAnsi="Times New Roman" w:cs="Times New Roman"/>
          <w:sz w:val="24"/>
          <w:szCs w:val="24"/>
          <w:lang w:val="es-ES" w:eastAsia="ar-SA"/>
        </w:rPr>
        <w:t xml:space="preserve">, respecto de la Resolución  Nro. 070/21, de fecha 3 de junio de 2021, emitida por esta Defensoría del Asegurado (DEFASEG), que declaró INFUNDADA </w:t>
      </w:r>
      <w:r w:rsidRPr="00217715">
        <w:rPr>
          <w:rFonts w:ascii="Times New Roman" w:eastAsia="Arial Unicode MS" w:hAnsi="Times New Roman" w:cs="Times New Roman"/>
          <w:sz w:val="24"/>
          <w:szCs w:val="24"/>
          <w:lang w:val="es-PE"/>
        </w:rPr>
        <w:t xml:space="preserve">su reclamación contra </w:t>
      </w:r>
      <w:bookmarkStart w:id="0" w:name="OLE_LINK2"/>
      <w:r w:rsidR="008D35DB" w:rsidRPr="00D906DD">
        <w:rPr>
          <w:rFonts w:ascii="Arial" w:hAnsi="Arial" w:cs="Arial"/>
          <w:lang w:val="es-PE"/>
        </w:rPr>
        <w:t>...................</w:t>
      </w:r>
      <w:r w:rsidR="008D35DB">
        <w:rPr>
          <w:rFonts w:ascii="Arial" w:hAnsi="Arial" w:cs="Arial"/>
          <w:lang w:val="es-PE"/>
        </w:rPr>
        <w:t xml:space="preserve"> </w:t>
      </w:r>
      <w:r w:rsidRPr="00217715">
        <w:rPr>
          <w:rFonts w:ascii="Times New Roman" w:eastAsia="Times New Roman" w:hAnsi="Times New Roman" w:cs="Times New Roman"/>
          <w:bCs/>
          <w:sz w:val="24"/>
          <w:szCs w:val="24"/>
          <w:lang w:val="es-PE" w:eastAsia="es-ES"/>
        </w:rPr>
        <w:t>sobre otorgamiento de cobertura al</w:t>
      </w:r>
      <w:r w:rsidRPr="00217715">
        <w:rPr>
          <w:rFonts w:ascii="Times New Roman" w:eastAsia="Times New Roman" w:hAnsi="Times New Roman" w:cs="Times New Roman"/>
          <w:sz w:val="24"/>
          <w:szCs w:val="24"/>
          <w:lang w:val="es-PE" w:eastAsia="es-ES"/>
        </w:rPr>
        <w:t xml:space="preserve"> siniestro vehicular ocurrido con fecha 24 de agosto de 2019, conforme a los términos y condiciones del </w:t>
      </w:r>
      <w:r w:rsidRPr="00217715">
        <w:rPr>
          <w:rFonts w:ascii="Times New Roman" w:hAnsi="Times New Roman" w:cs="Times New Roman"/>
          <w:sz w:val="24"/>
          <w:szCs w:val="24"/>
          <w:lang w:val="es-ES"/>
        </w:rPr>
        <w:t xml:space="preserve">Seguro de Auto a Medida, Póliza Nro. </w:t>
      </w:r>
      <w:r w:rsidR="008D35DB" w:rsidRPr="00D906DD">
        <w:rPr>
          <w:rFonts w:ascii="Arial" w:hAnsi="Arial" w:cs="Arial"/>
          <w:lang w:val="es-PE"/>
        </w:rPr>
        <w:t>...................</w:t>
      </w:r>
      <w:r w:rsidRPr="00217715">
        <w:rPr>
          <w:rFonts w:ascii="Times New Roman" w:hAnsi="Times New Roman" w:cs="Times New Roman"/>
          <w:sz w:val="24"/>
          <w:szCs w:val="24"/>
          <w:lang w:val="es-ES"/>
        </w:rPr>
        <w:t>;</w:t>
      </w:r>
    </w:p>
    <w:bookmarkEnd w:id="0"/>
    <w:p w14:paraId="077EAA71" w14:textId="77777777" w:rsidR="00217715" w:rsidRPr="00217715" w:rsidRDefault="00217715" w:rsidP="00217715">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p>
    <w:p w14:paraId="215D6115" w14:textId="77777777"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r w:rsidRPr="00217715">
        <w:rPr>
          <w:rFonts w:ascii="Times New Roman" w:eastAsia="Times New Roman" w:hAnsi="Times New Roman" w:cs="Times New Roman"/>
          <w:bCs/>
          <w:sz w:val="24"/>
          <w:szCs w:val="24"/>
          <w:lang w:val="es-MX" w:eastAsia="ar-SA"/>
        </w:rPr>
        <w:t>Que, a través del señalado recurso, la asegurada cuestiona lo resuelto por la DEFASEG, destacando principalmente lo siguiente: a) Invocando la aplicabilidad de la Ley Nro. 27444 – Ley del Procedimiento Administrativo General, se interpone apelación contra la</w:t>
      </w:r>
      <w:r w:rsidRPr="00217715">
        <w:rPr>
          <w:rFonts w:ascii="Times New Roman" w:eastAsia="Times New Roman" w:hAnsi="Times New Roman" w:cs="Times New Roman"/>
          <w:sz w:val="24"/>
          <w:szCs w:val="24"/>
          <w:lang w:val="es-ES" w:eastAsia="ar-SA"/>
        </w:rPr>
        <w:t xml:space="preserve"> Resolución Nro. 070/21, señalando que este colegiado ha resuelto en forma parcializada, vulnerando principios constitucionales y contractuales, b) Reiterando todo lo expresado con ocasión de presentar su reclamación, se destaca nuevamente que lo sucedido fue un asalto a mano armada, no un accidente de tránsito, por lo que la Defensoría ha actuado de manera amañada y parcializada, c) Se destaca que se actuó conforme a lo indicado por el procurador, por lo que al señalarse que no hay medios de prueba se evidencia que la resolución sólo contiene hechos y referencia a normas, pero sin ningún razonamiento o análisis lógico jurídico que sustente objetivamente lo resuelto, d) Se expresa la discrepancia con lo expuesto en el numeral 6.2 de la resolución, preguntándose ¿en qué cabeza cabe que solo los que cumplan los requisitos de la póliza no serán pasibles de un asalto a mano armada?, siendo que ese razonamiento vulnera principios fundamentales de veracidad y </w:t>
      </w:r>
      <w:proofErr w:type="spellStart"/>
      <w:r w:rsidRPr="00217715">
        <w:rPr>
          <w:rFonts w:ascii="Times New Roman" w:eastAsia="Times New Roman" w:hAnsi="Times New Roman" w:cs="Times New Roman"/>
          <w:sz w:val="24"/>
          <w:szCs w:val="24"/>
          <w:lang w:val="es-ES" w:eastAsia="ar-SA"/>
        </w:rPr>
        <w:t>contractualidad</w:t>
      </w:r>
      <w:proofErr w:type="spellEnd"/>
      <w:r w:rsidRPr="00217715">
        <w:rPr>
          <w:rFonts w:ascii="Times New Roman" w:eastAsia="Times New Roman" w:hAnsi="Times New Roman" w:cs="Times New Roman"/>
          <w:sz w:val="24"/>
          <w:szCs w:val="24"/>
          <w:lang w:val="es-ES" w:eastAsia="ar-SA"/>
        </w:rPr>
        <w:t>, se apela, e) Respecto al numeral 6.3, se reitera que el conductor fue el propio señor Flores Hurtado, quien con autorización del procurador , se dedicó a perseguir a los delincuentes, por lo que el señor Franklin Ortega Salcedo quedaría encargado de formalizar la denuncia, siendo que él no era el conductor, y f) La argumentación contenida en el numeral 6.9 es, en general, burda, por lo que recurre al superior jerárquico de la Defensoría, en busca de justicia;</w:t>
      </w:r>
    </w:p>
    <w:p w14:paraId="166226AB" w14:textId="77777777"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p>
    <w:p w14:paraId="4E721EE6" w14:textId="5CFF0615"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r w:rsidRPr="00217715">
        <w:rPr>
          <w:rFonts w:ascii="Times New Roman" w:eastAsia="Times New Roman" w:hAnsi="Times New Roman" w:cs="Times New Roman"/>
          <w:bCs/>
          <w:sz w:val="24"/>
          <w:szCs w:val="24"/>
          <w:lang w:val="es-MX" w:eastAsia="ar-SA"/>
        </w:rPr>
        <w:t xml:space="preserve">Que, habiéndosele corrido traslado a </w:t>
      </w:r>
      <w:r w:rsidR="008D35DB" w:rsidRPr="00D906DD">
        <w:rPr>
          <w:rFonts w:ascii="Arial" w:hAnsi="Arial" w:cs="Arial"/>
          <w:lang w:val="es-PE"/>
        </w:rPr>
        <w:t>...................</w:t>
      </w:r>
      <w:r w:rsidR="008D35DB">
        <w:rPr>
          <w:rFonts w:ascii="Arial" w:hAnsi="Arial" w:cs="Arial"/>
          <w:lang w:val="es-PE"/>
        </w:rPr>
        <w:t xml:space="preserve"> </w:t>
      </w:r>
      <w:r w:rsidRPr="00217715">
        <w:rPr>
          <w:rFonts w:ascii="Times New Roman" w:eastAsia="Times New Roman" w:hAnsi="Times New Roman" w:cs="Times New Roman"/>
          <w:bCs/>
          <w:sz w:val="24"/>
          <w:szCs w:val="24"/>
          <w:lang w:val="es-MX" w:eastAsia="ar-SA"/>
        </w:rPr>
        <w:t>de la señalada impugnación, mediante escrito presentado con fecha 15 de junio de 2021, la aseguradora solicitó que el mismo sea desestimado, estimando resumidamente lo siguiente: a) Dejando de lado que la Ley del Procedimiento Administrativo General es ajena a la presente reclamación y al procedimiento derivado ante la DEFASEG, se destaca que el mismo sólo se rige por el correspondiente reglamento, b) El rechazo se sustenta en una exclusión de cobertura que ha sido ciertamente probada por el acta de procuración y por lo declarado por el propio señor Flores Hurtado al realizar el aviso de ocurrencia a la aseguradora, conforme a lo cual el conductor era el señor Franklin Ortega, siendo que el reclamante no ha demostrado cosa distinta a lo que se declaró en su oportunidad, o de lo que habría sido, según su relato, autorizado por el procurador , y c) En consecuencia, la impugnación no se sustenta en prueba o argumento razonable que desvirtúe lo resuelto por la DEFASEG;</w:t>
      </w:r>
    </w:p>
    <w:p w14:paraId="0B1840EA" w14:textId="77777777"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p>
    <w:p w14:paraId="3C7EFEF0" w14:textId="77777777" w:rsidR="00217715" w:rsidRPr="00217715" w:rsidRDefault="00217715" w:rsidP="00217715">
      <w:pPr>
        <w:suppressAutoHyphens/>
        <w:spacing w:after="0" w:line="240" w:lineRule="auto"/>
        <w:jc w:val="both"/>
        <w:rPr>
          <w:rFonts w:ascii="Times New Roman" w:hAnsi="Times New Roman" w:cs="Times New Roman"/>
          <w:bCs/>
          <w:sz w:val="24"/>
          <w:szCs w:val="24"/>
          <w:lang w:val="es-ES"/>
        </w:rPr>
      </w:pPr>
      <w:r w:rsidRPr="00217715">
        <w:rPr>
          <w:rFonts w:ascii="Times New Roman" w:hAnsi="Times New Roman" w:cs="Times New Roman"/>
          <w:bCs/>
          <w:sz w:val="24"/>
          <w:szCs w:val="24"/>
          <w:lang w:val="es-ES"/>
        </w:rPr>
        <w:lastRenderedPageBreak/>
        <w:t>Que, ambas partes han tenido la oportunidad para ejercer su derecho de defensa con relación a la impugnación de la resolución recurrida, siendo que este colegiado estima que se encuentra suficientemente informado para resolver de manera definitiva;</w:t>
      </w:r>
    </w:p>
    <w:p w14:paraId="6F072449" w14:textId="77777777"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p>
    <w:p w14:paraId="00080254" w14:textId="77777777" w:rsidR="00217715" w:rsidRPr="00217715" w:rsidRDefault="00217715" w:rsidP="00217715">
      <w:pPr>
        <w:suppressAutoHyphens/>
        <w:spacing w:after="0" w:line="240" w:lineRule="auto"/>
        <w:jc w:val="both"/>
        <w:rPr>
          <w:rFonts w:ascii="Times New Roman" w:eastAsia="Times New Roman" w:hAnsi="Times New Roman" w:cs="Times New Roman"/>
          <w:bCs/>
          <w:sz w:val="24"/>
          <w:szCs w:val="24"/>
          <w:lang w:val="es-MX" w:eastAsia="ar-SA"/>
        </w:rPr>
      </w:pPr>
      <w:r w:rsidRPr="00217715">
        <w:rPr>
          <w:rFonts w:ascii="Times New Roman" w:eastAsia="Times New Roman" w:hAnsi="Times New Roman" w:cs="Times New Roman"/>
          <w:b/>
          <w:bCs/>
          <w:sz w:val="24"/>
          <w:szCs w:val="24"/>
          <w:lang w:val="es-MX" w:eastAsia="ar-SA"/>
        </w:rPr>
        <w:t>Considerando:</w:t>
      </w:r>
    </w:p>
    <w:p w14:paraId="4E4E0317" w14:textId="77777777" w:rsidR="00217715" w:rsidRPr="00217715" w:rsidRDefault="00217715" w:rsidP="00217715">
      <w:pPr>
        <w:suppressAutoHyphens/>
        <w:spacing w:after="0" w:line="240" w:lineRule="auto"/>
        <w:jc w:val="both"/>
        <w:rPr>
          <w:rFonts w:ascii="Times New Roman" w:eastAsia="Times New Roman" w:hAnsi="Times New Roman" w:cs="Times New Roman"/>
          <w:sz w:val="24"/>
          <w:szCs w:val="24"/>
          <w:lang w:val="es-ES" w:eastAsia="ar-SA"/>
        </w:rPr>
      </w:pPr>
    </w:p>
    <w:p w14:paraId="21D97A80" w14:textId="77777777" w:rsidR="00217715" w:rsidRPr="00217715" w:rsidRDefault="00217715" w:rsidP="00217715">
      <w:pPr>
        <w:spacing w:after="0" w:line="240" w:lineRule="auto"/>
        <w:jc w:val="both"/>
        <w:rPr>
          <w:rFonts w:ascii="Times New Roman" w:hAnsi="Times New Roman" w:cs="Times New Roman"/>
          <w:sz w:val="24"/>
          <w:szCs w:val="24"/>
          <w:lang w:val="es-PE"/>
        </w:rPr>
      </w:pPr>
      <w:r w:rsidRPr="00217715">
        <w:rPr>
          <w:rFonts w:ascii="Times New Roman" w:hAnsi="Times New Roman" w:cs="Times New Roman"/>
          <w:b/>
          <w:sz w:val="24"/>
          <w:szCs w:val="24"/>
          <w:u w:val="single"/>
          <w:lang w:val="es-PE"/>
        </w:rPr>
        <w:t>Primero</w:t>
      </w:r>
      <w:r w:rsidRPr="00217715">
        <w:rPr>
          <w:rFonts w:ascii="Times New Roman" w:hAnsi="Times New Roman" w:cs="Times New Roman"/>
          <w:b/>
          <w:sz w:val="24"/>
          <w:szCs w:val="24"/>
          <w:lang w:val="es-PE"/>
        </w:rPr>
        <w:t>:</w:t>
      </w:r>
      <w:r w:rsidRPr="00217715">
        <w:rPr>
          <w:rFonts w:ascii="Times New Roman" w:hAnsi="Times New Roman" w:cs="Times New Roman"/>
          <w:sz w:val="24"/>
          <w:szCs w:val="24"/>
          <w:lang w:val="es-PE"/>
        </w:rPr>
        <w:t xml:space="preserve"> El Reglamento de la DEFASEG </w:t>
      </w:r>
      <w:r w:rsidRPr="00217715">
        <w:rPr>
          <w:rFonts w:ascii="Times New Roman" w:eastAsia="Arial Unicode MS" w:hAnsi="Times New Roman" w:cs="Times New Roman"/>
          <w:sz w:val="24"/>
          <w:szCs w:val="24"/>
          <w:lang w:val="es-PE"/>
        </w:rPr>
        <w:t xml:space="preserve">(http://www.defaseg.com.pe/reglamento), en su artículo 10, </w:t>
      </w:r>
      <w:r w:rsidRPr="00217715">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217715">
        <w:rPr>
          <w:rFonts w:ascii="Times New Roman" w:hAnsi="Times New Roman" w:cs="Times New Roman"/>
          <w:sz w:val="24"/>
          <w:szCs w:val="24"/>
          <w:lang w:val="es-ES"/>
        </w:rPr>
        <w:t>usuario de seguro recurre en forma voluntaria a la Defensoría, siendo que la presentación de una reclamación n</w:t>
      </w:r>
      <w:r w:rsidRPr="00217715">
        <w:rPr>
          <w:rFonts w:ascii="Times New Roman" w:hAnsi="Times New Roman" w:cs="Times New Roman"/>
          <w:sz w:val="24"/>
          <w:szCs w:val="24"/>
          <w:lang w:val="es-PE"/>
        </w:rPr>
        <w:t>o limita su derecho a recurrir posteriormente ante el órgano administrativo o jurisdiccional que considere pertinente.  De acuerdo a lo anterior, si el asegurado no se encuentra conforme  con lo resuelto, esto último no limita la posibilidad de poder recurrir a las instancias correspondientes, a diferencia de la aseguradora que sí queda comprometida con lo resuelto por la DEFASEG.</w:t>
      </w:r>
    </w:p>
    <w:p w14:paraId="2F3D4C41" w14:textId="77777777" w:rsidR="00217715" w:rsidRPr="00217715" w:rsidRDefault="00217715" w:rsidP="00217715">
      <w:pPr>
        <w:spacing w:after="0" w:line="240" w:lineRule="auto"/>
        <w:jc w:val="both"/>
        <w:rPr>
          <w:rFonts w:ascii="Times New Roman" w:hAnsi="Times New Roman" w:cs="Times New Roman"/>
          <w:sz w:val="24"/>
          <w:szCs w:val="24"/>
          <w:lang w:val="es-PE"/>
        </w:rPr>
      </w:pPr>
    </w:p>
    <w:p w14:paraId="5DA32597" w14:textId="77777777" w:rsidR="00217715" w:rsidRPr="00217715" w:rsidRDefault="00217715" w:rsidP="00217715">
      <w:pPr>
        <w:tabs>
          <w:tab w:val="left" w:pos="0"/>
          <w:tab w:val="left" w:pos="2160"/>
        </w:tabs>
        <w:spacing w:after="0" w:line="240" w:lineRule="auto"/>
        <w:jc w:val="both"/>
        <w:rPr>
          <w:rFonts w:ascii="Times New Roman" w:hAnsi="Times New Roman" w:cs="Times New Roman"/>
          <w:bCs/>
          <w:sz w:val="24"/>
          <w:szCs w:val="24"/>
          <w:lang w:val="es-PE"/>
        </w:rPr>
      </w:pPr>
      <w:r w:rsidRPr="00217715">
        <w:rPr>
          <w:rFonts w:ascii="Times New Roman" w:hAnsi="Times New Roman" w:cs="Times New Roman"/>
          <w:b/>
          <w:sz w:val="24"/>
          <w:szCs w:val="24"/>
          <w:u w:val="single"/>
          <w:lang w:val="es-PE"/>
        </w:rPr>
        <w:t>Segundo</w:t>
      </w:r>
      <w:r w:rsidRPr="00217715">
        <w:rPr>
          <w:rFonts w:ascii="Times New Roman" w:hAnsi="Times New Roman" w:cs="Times New Roman"/>
          <w:b/>
          <w:sz w:val="24"/>
          <w:szCs w:val="24"/>
          <w:lang w:val="es-PE"/>
        </w:rPr>
        <w:t>:</w:t>
      </w:r>
      <w:r w:rsidRPr="00217715">
        <w:rPr>
          <w:rFonts w:ascii="Times New Roman" w:hAnsi="Times New Roman" w:cs="Times New Roman"/>
          <w:sz w:val="24"/>
          <w:szCs w:val="24"/>
          <w:lang w:val="es-PE"/>
        </w:rPr>
        <w:t xml:space="preserve"> Atendiendo a los fundamentos de la impugnación interpuesta, no</w:t>
      </w:r>
      <w:r w:rsidRPr="00217715">
        <w:rPr>
          <w:rFonts w:ascii="Times New Roman" w:hAnsi="Times New Roman" w:cs="Times New Roman"/>
          <w:bCs/>
          <w:sz w:val="24"/>
          <w:szCs w:val="24"/>
          <w:lang w:val="es-PE"/>
        </w:rPr>
        <w:t xml:space="preserve"> habiéndose expuesto ni acreditado nuevo argumento que desautorice lo resuelto, se estima que el </w:t>
      </w:r>
      <w:r w:rsidRPr="00217715">
        <w:rPr>
          <w:rFonts w:ascii="Times New Roman" w:hAnsi="Times New Roman" w:cs="Times New Roman"/>
          <w:sz w:val="24"/>
          <w:szCs w:val="24"/>
          <w:lang w:val="es-ES"/>
        </w:rPr>
        <w:t xml:space="preserve">recurso impugnativo interpuesto puede ser categorizado, por su contenido objetivo mismo, como una solicitud de revisión general, sustentado exclusivamente en el criterio de la reclamante, que este colegiado no comparte definitivamente, sin aportar medio probatorio que permita apreciar que se incurrió en un error o vicio al momento de resolver, obviándose la elemental carga probatoria de probar los hechos invocados.  De acuerdo a ello, la impugnación debe sustentarse en argumentos concretos antes que en la invocación de nociones abstractas y generales, o realizando calificativos que poco o nada contribuyen a dilucidar los hechos, </w:t>
      </w:r>
      <w:r w:rsidRPr="00217715">
        <w:rPr>
          <w:rFonts w:ascii="Times New Roman" w:hAnsi="Times New Roman" w:cs="Times New Roman"/>
          <w:bCs/>
          <w:sz w:val="24"/>
          <w:szCs w:val="24"/>
          <w:lang w:val="es-PE"/>
        </w:rPr>
        <w:t>careciendo de relevancia las calificaciones sobre una pretendida parcialidad de este colegiado, imputada por el solo hecho que no se ha reconocido la viabilidad jurídica de la reclamación.</w:t>
      </w:r>
    </w:p>
    <w:p w14:paraId="56E5F2BD" w14:textId="77777777" w:rsidR="00217715" w:rsidRPr="00217715" w:rsidRDefault="00217715" w:rsidP="00217715">
      <w:pPr>
        <w:tabs>
          <w:tab w:val="left" w:pos="0"/>
          <w:tab w:val="left" w:pos="2160"/>
        </w:tabs>
        <w:spacing w:after="0" w:line="240" w:lineRule="auto"/>
        <w:jc w:val="both"/>
        <w:rPr>
          <w:rFonts w:ascii="Times New Roman" w:hAnsi="Times New Roman" w:cs="Times New Roman"/>
          <w:sz w:val="24"/>
          <w:szCs w:val="24"/>
          <w:lang w:val="es-ES"/>
        </w:rPr>
      </w:pPr>
    </w:p>
    <w:p w14:paraId="4E9E112E" w14:textId="77777777" w:rsidR="00217715" w:rsidRPr="00217715" w:rsidRDefault="00217715" w:rsidP="00217715">
      <w:pPr>
        <w:tabs>
          <w:tab w:val="left" w:pos="0"/>
          <w:tab w:val="left" w:pos="2160"/>
        </w:tabs>
        <w:spacing w:after="0" w:line="240" w:lineRule="auto"/>
        <w:jc w:val="both"/>
        <w:rPr>
          <w:rFonts w:ascii="Times New Roman" w:hAnsi="Times New Roman" w:cs="Times New Roman"/>
          <w:bCs/>
          <w:sz w:val="24"/>
          <w:szCs w:val="24"/>
          <w:lang w:val="es-PE"/>
        </w:rPr>
      </w:pPr>
      <w:r w:rsidRPr="00217715">
        <w:rPr>
          <w:rFonts w:ascii="Times New Roman" w:hAnsi="Times New Roman" w:cs="Times New Roman"/>
          <w:sz w:val="24"/>
          <w:szCs w:val="24"/>
          <w:lang w:val="es-PE"/>
        </w:rPr>
        <w:t>En tal virtud, según fue analizado al expedirse la resolución recurrida, lo cual este colegiado reitera, el rechazo de cobertura se encuentra final y legítimamente sustentado, ajustándose al marco legal y a los términos de la póliza contratada</w:t>
      </w:r>
      <w:r w:rsidRPr="00217715">
        <w:rPr>
          <w:rFonts w:ascii="Times New Roman" w:hAnsi="Times New Roman" w:cs="Times New Roman"/>
          <w:bCs/>
          <w:sz w:val="24"/>
          <w:szCs w:val="24"/>
          <w:lang w:val="es-PE"/>
        </w:rPr>
        <w:t>, por lo que disponer el otorgamiento del beneficio reclamado significaría una arbitraria contravención al contrato de seguro, respecto a un riesgo no aceptado en vía de exclusión, por más que la reclamante tenga una lectura singular de lo que se representa por una exclusión.</w:t>
      </w:r>
    </w:p>
    <w:p w14:paraId="2105E75B" w14:textId="77777777" w:rsidR="00217715" w:rsidRPr="00217715" w:rsidRDefault="00217715" w:rsidP="00217715">
      <w:pPr>
        <w:spacing w:after="0" w:line="240" w:lineRule="auto"/>
        <w:jc w:val="both"/>
        <w:rPr>
          <w:rFonts w:ascii="Times New Roman" w:hAnsi="Times New Roman" w:cs="Times New Roman"/>
          <w:sz w:val="24"/>
          <w:szCs w:val="24"/>
          <w:lang w:val="es-PE"/>
        </w:rPr>
      </w:pPr>
    </w:p>
    <w:p w14:paraId="7A895922" w14:textId="77777777" w:rsidR="00217715" w:rsidRPr="00217715" w:rsidRDefault="00217715" w:rsidP="00217715">
      <w:pPr>
        <w:tabs>
          <w:tab w:val="left" w:pos="0"/>
          <w:tab w:val="left" w:pos="2160"/>
        </w:tabs>
        <w:spacing w:after="0" w:line="240" w:lineRule="auto"/>
        <w:jc w:val="both"/>
        <w:rPr>
          <w:rFonts w:ascii="Times New Roman" w:hAnsi="Times New Roman" w:cs="Times New Roman"/>
          <w:bCs/>
          <w:sz w:val="24"/>
          <w:szCs w:val="24"/>
          <w:lang w:val="es-PE"/>
        </w:rPr>
      </w:pPr>
      <w:r w:rsidRPr="00217715">
        <w:rPr>
          <w:rFonts w:ascii="Times New Roman" w:hAnsi="Times New Roman" w:cs="Times New Roman"/>
          <w:b/>
          <w:sz w:val="24"/>
          <w:szCs w:val="24"/>
          <w:u w:val="single"/>
          <w:lang w:val="es-PE"/>
        </w:rPr>
        <w:t>Tercero</w:t>
      </w:r>
      <w:r w:rsidRPr="00217715">
        <w:rPr>
          <w:rFonts w:ascii="Times New Roman" w:hAnsi="Times New Roman" w:cs="Times New Roman"/>
          <w:b/>
          <w:sz w:val="24"/>
          <w:szCs w:val="24"/>
          <w:lang w:val="es-PE"/>
        </w:rPr>
        <w:t xml:space="preserve">:  </w:t>
      </w:r>
      <w:r w:rsidRPr="00217715">
        <w:rPr>
          <w:rFonts w:ascii="Times New Roman" w:hAnsi="Times New Roman" w:cs="Times New Roman"/>
          <w:bCs/>
          <w:sz w:val="24"/>
          <w:szCs w:val="24"/>
          <w:lang w:val="es-PE"/>
        </w:rPr>
        <w:t>Sin perjuicio de lo señalado precedentemente, se deja expresa constancia que las reclamaciones sometidas al conocimiento y decisión de la DEFASEG, se rigen por su Reglamento, lo cual debería ser revisado diligentemente de manera previa por la reclamante o por sus abogados, no encontrándose bajo el ámbito de aplicación de la Ley de Procedimiento Administrativo General, siendo que la DEFASEG es un organismo privado de solución de controversias, no ejerciendo función administrativa.</w:t>
      </w:r>
    </w:p>
    <w:p w14:paraId="022D6DB5" w14:textId="77777777" w:rsidR="00217715" w:rsidRPr="00217715" w:rsidRDefault="00217715" w:rsidP="00217715">
      <w:pPr>
        <w:tabs>
          <w:tab w:val="left" w:pos="0"/>
          <w:tab w:val="left" w:pos="2160"/>
        </w:tabs>
        <w:spacing w:after="0" w:line="240" w:lineRule="auto"/>
        <w:jc w:val="both"/>
        <w:rPr>
          <w:rFonts w:ascii="Times New Roman" w:hAnsi="Times New Roman" w:cs="Times New Roman"/>
          <w:sz w:val="24"/>
          <w:szCs w:val="24"/>
          <w:lang w:val="es-ES"/>
        </w:rPr>
      </w:pPr>
    </w:p>
    <w:p w14:paraId="23D67213" w14:textId="77777777" w:rsidR="00217715" w:rsidRPr="00217715" w:rsidRDefault="00217715" w:rsidP="00217715">
      <w:pPr>
        <w:tabs>
          <w:tab w:val="left" w:pos="2160"/>
        </w:tabs>
        <w:spacing w:after="0" w:line="240" w:lineRule="auto"/>
        <w:jc w:val="both"/>
        <w:rPr>
          <w:rFonts w:ascii="Times New Roman" w:hAnsi="Times New Roman" w:cs="Times New Roman"/>
          <w:sz w:val="24"/>
          <w:szCs w:val="24"/>
          <w:lang w:val="es-ES"/>
        </w:rPr>
      </w:pPr>
      <w:r w:rsidRPr="00217715">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14:paraId="74E31B04" w14:textId="77777777" w:rsidR="00217715" w:rsidRPr="00217715" w:rsidRDefault="00217715" w:rsidP="00217715">
      <w:pPr>
        <w:spacing w:after="0" w:line="240" w:lineRule="auto"/>
        <w:jc w:val="both"/>
        <w:rPr>
          <w:rFonts w:ascii="Times New Roman" w:eastAsia="Times New Roman" w:hAnsi="Times New Roman" w:cs="Times New Roman"/>
          <w:bCs/>
          <w:sz w:val="24"/>
          <w:szCs w:val="24"/>
          <w:lang w:val="es-ES" w:eastAsia="ar-SA"/>
        </w:rPr>
      </w:pPr>
    </w:p>
    <w:p w14:paraId="479070AC" w14:textId="77777777" w:rsidR="00217715" w:rsidRPr="00217715" w:rsidRDefault="00217715" w:rsidP="00217715">
      <w:pPr>
        <w:spacing w:after="0" w:line="240" w:lineRule="auto"/>
        <w:jc w:val="both"/>
        <w:rPr>
          <w:rFonts w:ascii="Times New Roman" w:hAnsi="Times New Roman" w:cs="Times New Roman"/>
          <w:b/>
          <w:sz w:val="24"/>
          <w:szCs w:val="24"/>
          <w:lang w:val="es-PE"/>
        </w:rPr>
      </w:pPr>
      <w:r w:rsidRPr="00217715">
        <w:rPr>
          <w:rFonts w:ascii="Times New Roman" w:hAnsi="Times New Roman" w:cs="Times New Roman"/>
          <w:b/>
          <w:sz w:val="24"/>
          <w:szCs w:val="24"/>
          <w:lang w:val="es-PE"/>
        </w:rPr>
        <w:t>Atendiendo a lo expresado, conforme a su reglamento, este colegiado resuelve:</w:t>
      </w:r>
    </w:p>
    <w:p w14:paraId="0B3F5905" w14:textId="77777777" w:rsidR="00217715" w:rsidRPr="00217715" w:rsidRDefault="00217715" w:rsidP="00217715">
      <w:pPr>
        <w:spacing w:after="0" w:line="240" w:lineRule="auto"/>
        <w:jc w:val="both"/>
        <w:rPr>
          <w:rFonts w:ascii="Times New Roman" w:eastAsia="Arial Unicode MS" w:hAnsi="Times New Roman" w:cs="Times New Roman"/>
          <w:b/>
          <w:sz w:val="24"/>
          <w:szCs w:val="24"/>
          <w:lang w:val="es-PE"/>
        </w:rPr>
      </w:pPr>
    </w:p>
    <w:p w14:paraId="1846C2D3" w14:textId="1589253C" w:rsidR="00217715" w:rsidRPr="00217715" w:rsidRDefault="00217715" w:rsidP="00217715">
      <w:pPr>
        <w:spacing w:after="0" w:line="240" w:lineRule="auto"/>
        <w:jc w:val="both"/>
        <w:rPr>
          <w:rFonts w:ascii="Times New Roman" w:eastAsia="Times New Roman" w:hAnsi="Times New Roman" w:cs="Times New Roman"/>
          <w:sz w:val="24"/>
          <w:szCs w:val="24"/>
          <w:lang w:val="es-ES" w:eastAsia="ar-SA"/>
        </w:rPr>
      </w:pPr>
      <w:r w:rsidRPr="00217715">
        <w:rPr>
          <w:rFonts w:ascii="Times New Roman" w:eastAsia="Arial Unicode MS" w:hAnsi="Times New Roman" w:cs="Times New Roman"/>
          <w:b/>
          <w:sz w:val="24"/>
          <w:szCs w:val="24"/>
          <w:lang w:val="es-PE"/>
        </w:rPr>
        <w:lastRenderedPageBreak/>
        <w:t xml:space="preserve">Declarar INFUNDADO el recurso impugnativo </w:t>
      </w:r>
      <w:r w:rsidRPr="00217715">
        <w:rPr>
          <w:rFonts w:ascii="Times New Roman" w:eastAsia="Arial Unicode MS" w:hAnsi="Times New Roman" w:cs="Times New Roman"/>
          <w:sz w:val="24"/>
          <w:szCs w:val="24"/>
          <w:lang w:val="es-PE"/>
        </w:rPr>
        <w:t xml:space="preserve">interpuesto por </w:t>
      </w:r>
      <w:r w:rsidR="008D35DB" w:rsidRPr="00D906DD">
        <w:rPr>
          <w:rFonts w:ascii="Arial" w:hAnsi="Arial" w:cs="Arial"/>
          <w:lang w:val="es-PE"/>
        </w:rPr>
        <w:t>...................</w:t>
      </w:r>
      <w:r w:rsidRPr="00217715">
        <w:rPr>
          <w:rFonts w:ascii="Times New Roman" w:eastAsia="Times New Roman" w:hAnsi="Times New Roman" w:cs="Times New Roman"/>
          <w:sz w:val="24"/>
          <w:szCs w:val="24"/>
          <w:lang w:val="es-PE" w:eastAsia="es-ES"/>
        </w:rPr>
        <w:t xml:space="preserve"> </w:t>
      </w:r>
      <w:r w:rsidRPr="00217715">
        <w:rPr>
          <w:rFonts w:ascii="Times New Roman" w:hAnsi="Times New Roman" w:cs="Times New Roman"/>
          <w:bCs/>
          <w:sz w:val="24"/>
          <w:szCs w:val="24"/>
          <w:lang w:val="es-ES"/>
        </w:rPr>
        <w:t>y, por consiguiente, ratificar</w:t>
      </w:r>
      <w:r w:rsidRPr="00217715">
        <w:rPr>
          <w:rFonts w:ascii="Times New Roman" w:eastAsia="Times New Roman" w:hAnsi="Times New Roman" w:cs="Times New Roman"/>
          <w:sz w:val="24"/>
          <w:szCs w:val="24"/>
          <w:lang w:val="es-ES" w:eastAsia="ar-SA"/>
        </w:rPr>
        <w:t xml:space="preserve"> la Resolución Nro. 070/21, de fecha 3 de junio de 2021.</w:t>
      </w:r>
    </w:p>
    <w:p w14:paraId="6DACE05B" w14:textId="77777777" w:rsidR="00217715" w:rsidRDefault="00217715" w:rsidP="00217715">
      <w:pPr>
        <w:spacing w:after="0" w:line="240" w:lineRule="auto"/>
        <w:jc w:val="both"/>
        <w:rPr>
          <w:rFonts w:ascii="Arial" w:eastAsia="Times New Roman" w:hAnsi="Arial" w:cs="Arial"/>
          <w:lang w:val="es-ES" w:eastAsia="ar-SA"/>
        </w:rPr>
      </w:pPr>
    </w:p>
    <w:p w14:paraId="489525D7" w14:textId="77777777" w:rsidR="005E398E" w:rsidRPr="0032345B" w:rsidRDefault="005E398E" w:rsidP="00CF69DD">
      <w:pPr>
        <w:suppressAutoHyphens/>
        <w:spacing w:after="0" w:line="240" w:lineRule="auto"/>
        <w:outlineLvl w:val="0"/>
        <w:rPr>
          <w:rFonts w:ascii="Times New Roman" w:eastAsia="Arial Unicode MS" w:hAnsi="Times New Roman" w:cs="Times New Roman"/>
          <w:bCs/>
          <w:sz w:val="24"/>
          <w:szCs w:val="24"/>
          <w:lang w:val="es-PE"/>
        </w:rPr>
      </w:pPr>
    </w:p>
    <w:p w14:paraId="486C3F46" w14:textId="59EC1B0C" w:rsidR="00C671F5" w:rsidRPr="0032345B"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32345B">
        <w:rPr>
          <w:rFonts w:ascii="Times New Roman" w:eastAsia="Arial Unicode MS" w:hAnsi="Times New Roman" w:cs="Times New Roman"/>
          <w:sz w:val="24"/>
          <w:szCs w:val="24"/>
          <w:lang w:val="es-PE" w:eastAsia="ar-SA"/>
        </w:rPr>
        <w:t xml:space="preserve">Lima, </w:t>
      </w:r>
      <w:r w:rsidR="0032345B" w:rsidRPr="0032345B">
        <w:rPr>
          <w:rFonts w:ascii="Times New Roman" w:eastAsia="Arial Unicode MS" w:hAnsi="Times New Roman" w:cs="Times New Roman"/>
          <w:sz w:val="24"/>
          <w:szCs w:val="24"/>
          <w:lang w:val="es-PE" w:eastAsia="ar-SA"/>
        </w:rPr>
        <w:t>0</w:t>
      </w:r>
      <w:r w:rsidR="00CF69DD">
        <w:rPr>
          <w:rFonts w:ascii="Times New Roman" w:eastAsia="Arial Unicode MS" w:hAnsi="Times New Roman" w:cs="Times New Roman"/>
          <w:sz w:val="24"/>
          <w:szCs w:val="24"/>
          <w:lang w:val="es-PE" w:eastAsia="ar-SA"/>
        </w:rPr>
        <w:t xml:space="preserve">5 </w:t>
      </w:r>
      <w:r w:rsidR="00707C99" w:rsidRPr="0032345B">
        <w:rPr>
          <w:rFonts w:ascii="Times New Roman" w:eastAsia="Arial Unicode MS" w:hAnsi="Times New Roman" w:cs="Times New Roman"/>
          <w:sz w:val="24"/>
          <w:szCs w:val="24"/>
          <w:lang w:val="es-PE" w:eastAsia="ar-SA"/>
        </w:rPr>
        <w:t>de</w:t>
      </w:r>
      <w:r w:rsidR="00864B0B" w:rsidRPr="0032345B">
        <w:rPr>
          <w:rFonts w:ascii="Times New Roman" w:eastAsia="Arial Unicode MS" w:hAnsi="Times New Roman" w:cs="Times New Roman"/>
          <w:sz w:val="24"/>
          <w:szCs w:val="24"/>
          <w:lang w:val="es-PE" w:eastAsia="ar-SA"/>
        </w:rPr>
        <w:t xml:space="preserve"> </w:t>
      </w:r>
      <w:r w:rsidR="0032345B" w:rsidRPr="0032345B">
        <w:rPr>
          <w:rFonts w:ascii="Times New Roman" w:eastAsia="Arial Unicode MS" w:hAnsi="Times New Roman" w:cs="Times New Roman"/>
          <w:sz w:val="24"/>
          <w:szCs w:val="24"/>
          <w:lang w:val="es-PE" w:eastAsia="ar-SA"/>
        </w:rPr>
        <w:t>ju</w:t>
      </w:r>
      <w:r w:rsidR="00CF69DD">
        <w:rPr>
          <w:rFonts w:ascii="Times New Roman" w:eastAsia="Arial Unicode MS" w:hAnsi="Times New Roman" w:cs="Times New Roman"/>
          <w:sz w:val="24"/>
          <w:szCs w:val="24"/>
          <w:lang w:val="es-PE" w:eastAsia="ar-SA"/>
        </w:rPr>
        <w:t>lio</w:t>
      </w:r>
      <w:r w:rsidR="00F06498" w:rsidRPr="0032345B">
        <w:rPr>
          <w:rFonts w:ascii="Times New Roman" w:eastAsia="Arial Unicode MS" w:hAnsi="Times New Roman" w:cs="Times New Roman"/>
          <w:sz w:val="24"/>
          <w:szCs w:val="24"/>
          <w:lang w:val="es-PE" w:eastAsia="ar-SA"/>
        </w:rPr>
        <w:t xml:space="preserve"> de 202</w:t>
      </w:r>
      <w:r w:rsidR="00231C58" w:rsidRPr="0032345B">
        <w:rPr>
          <w:rFonts w:ascii="Times New Roman" w:eastAsia="Arial Unicode MS" w:hAnsi="Times New Roman" w:cs="Times New Roman"/>
          <w:sz w:val="24"/>
          <w:szCs w:val="24"/>
          <w:lang w:val="es-PE" w:eastAsia="ar-SA"/>
        </w:rPr>
        <w:t>1</w:t>
      </w:r>
      <w:r w:rsidR="00707C99" w:rsidRPr="0032345B">
        <w:rPr>
          <w:rFonts w:ascii="Times New Roman" w:eastAsia="Times New Roman" w:hAnsi="Times New Roman" w:cs="Times New Roman"/>
          <w:sz w:val="24"/>
          <w:szCs w:val="24"/>
          <w:lang w:val="es-PE" w:eastAsia="ar-SA"/>
        </w:rPr>
        <w:t xml:space="preserve"> </w:t>
      </w:r>
    </w:p>
    <w:p w14:paraId="2B9BAAC8" w14:textId="77777777" w:rsidR="00231C58" w:rsidRPr="0032345B"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r w:rsidRPr="0032345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Marco Antonio Ortega Piana </w:t>
      </w:r>
      <w:r w:rsidR="00C671F5" w:rsidRPr="0032345B">
        <w:rPr>
          <w:rFonts w:ascii="Times New Roman" w:hAnsi="Times New Roman" w:cs="Times New Roman"/>
          <w:b/>
          <w:bCs/>
          <w:sz w:val="24"/>
          <w:szCs w:val="24"/>
          <w:lang w:val="es-PE"/>
        </w:rPr>
        <w:t>– Presidente</w:t>
      </w:r>
    </w:p>
    <w:p w14:paraId="033E3E13" w14:textId="7196E86D" w:rsidR="0032345B" w:rsidRPr="0032345B"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María Eugenia Valdez Fernández Baca– Vocal</w:t>
      </w:r>
    </w:p>
    <w:p w14:paraId="3006BA35" w14:textId="7871895F" w:rsidR="00292018" w:rsidRPr="0032345B" w:rsidRDefault="00292018"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Rolando Eyzaguirre </w:t>
      </w:r>
      <w:proofErr w:type="spellStart"/>
      <w:r w:rsidRPr="0032345B">
        <w:rPr>
          <w:rFonts w:ascii="Times New Roman" w:hAnsi="Times New Roman" w:cs="Times New Roman"/>
          <w:b/>
          <w:bCs/>
          <w:sz w:val="24"/>
          <w:szCs w:val="24"/>
          <w:lang w:val="es-PE"/>
        </w:rPr>
        <w:t>Maccan</w:t>
      </w:r>
      <w:proofErr w:type="spellEnd"/>
      <w:r w:rsidRPr="0032345B">
        <w:rPr>
          <w:rFonts w:ascii="Times New Roman" w:hAnsi="Times New Roman" w:cs="Times New Roman"/>
          <w:b/>
          <w:bCs/>
          <w:sz w:val="24"/>
          <w:szCs w:val="24"/>
          <w:lang w:val="es-PE"/>
        </w:rPr>
        <w:t xml:space="preserve"> – Vocal</w:t>
      </w:r>
    </w:p>
    <w:p w14:paraId="3A9CFE9F" w14:textId="4DFF4426" w:rsidR="00C671F5" w:rsidRPr="0032345B" w:rsidRDefault="00C671F5" w:rsidP="004A374A">
      <w:pPr>
        <w:spacing w:after="0" w:line="360" w:lineRule="auto"/>
        <w:jc w:val="center"/>
        <w:rPr>
          <w:rFonts w:ascii="Times New Roman" w:hAnsi="Times New Roman" w:cs="Times New Roman"/>
          <w:sz w:val="24"/>
          <w:szCs w:val="24"/>
          <w:lang w:val="es-PE"/>
        </w:rPr>
      </w:pPr>
      <w:r w:rsidRPr="0032345B">
        <w:rPr>
          <w:rFonts w:ascii="Times New Roman" w:hAnsi="Times New Roman" w:cs="Times New Roman"/>
          <w:b/>
          <w:bCs/>
          <w:sz w:val="24"/>
          <w:szCs w:val="24"/>
          <w:lang w:val="es-PE"/>
        </w:rPr>
        <w:t xml:space="preserve">Gonzalo Abad del Busto </w:t>
      </w:r>
      <w:r w:rsidR="00231C58" w:rsidRPr="0032345B">
        <w:rPr>
          <w:rFonts w:ascii="Times New Roman" w:hAnsi="Times New Roman" w:cs="Times New Roman"/>
          <w:b/>
          <w:bCs/>
          <w:sz w:val="24"/>
          <w:szCs w:val="24"/>
          <w:lang w:val="es-PE"/>
        </w:rPr>
        <w:t xml:space="preserve">– </w:t>
      </w:r>
      <w:r w:rsidRPr="0032345B">
        <w:rPr>
          <w:rFonts w:ascii="Times New Roman" w:hAnsi="Times New Roman" w:cs="Times New Roman"/>
          <w:b/>
          <w:bCs/>
          <w:sz w:val="24"/>
          <w:szCs w:val="24"/>
          <w:lang w:val="es-PE"/>
        </w:rPr>
        <w:t>Vocal</w:t>
      </w:r>
    </w:p>
    <w:p w14:paraId="33E0FAB8" w14:textId="77777777" w:rsidR="00C671F5" w:rsidRPr="0032345B"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29932" w14:textId="77777777" w:rsidR="00AE7A1B" w:rsidRDefault="00AE7A1B" w:rsidP="00784355">
      <w:pPr>
        <w:spacing w:after="0" w:line="240" w:lineRule="auto"/>
      </w:pPr>
      <w:r>
        <w:separator/>
      </w:r>
    </w:p>
  </w:endnote>
  <w:endnote w:type="continuationSeparator" w:id="0">
    <w:p w14:paraId="513EE6B1" w14:textId="77777777" w:rsidR="00AE7A1B" w:rsidRDefault="00AE7A1B"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F4428" w14:textId="77777777" w:rsidR="00AE7A1B" w:rsidRDefault="00AE7A1B" w:rsidP="00784355">
      <w:pPr>
        <w:spacing w:after="0" w:line="240" w:lineRule="auto"/>
      </w:pPr>
      <w:r>
        <w:separator/>
      </w:r>
    </w:p>
  </w:footnote>
  <w:footnote w:type="continuationSeparator" w:id="0">
    <w:p w14:paraId="4B5750D6" w14:textId="77777777" w:rsidR="00AE7A1B" w:rsidRDefault="00AE7A1B"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35DB"/>
    <w:rsid w:val="008D55AF"/>
    <w:rsid w:val="008D6DDF"/>
    <w:rsid w:val="008F1161"/>
    <w:rsid w:val="008F1AB2"/>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E7A1B"/>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266D770-5ED7-4688-BADE-226EA7FE2C39}"/>
</file>

<file path=customXml/itemProps3.xml><?xml version="1.0" encoding="utf-8"?>
<ds:datastoreItem xmlns:ds="http://schemas.openxmlformats.org/officeDocument/2006/customXml" ds:itemID="{CE9FE9A7-94B0-47A4-A92E-C2DB2D87FC0F}"/>
</file>

<file path=customXml/itemProps4.xml><?xml version="1.0" encoding="utf-8"?>
<ds:datastoreItem xmlns:ds="http://schemas.openxmlformats.org/officeDocument/2006/customXml" ds:itemID="{D837E6A6-240C-497D-86AA-0698B02DC344}"/>
</file>

<file path=docProps/app.xml><?xml version="1.0" encoding="utf-8"?>
<Properties xmlns="http://schemas.openxmlformats.org/officeDocument/2006/extended-properties" xmlns:vt="http://schemas.openxmlformats.org/officeDocument/2006/docPropsVTypes">
  <Template>Normal</Template>
  <TotalTime>247</TotalTime>
  <Pages>3</Pages>
  <Words>1109</Words>
  <Characters>6102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64</cp:revision>
  <cp:lastPrinted>2021-07-06T16:38:00Z</cp:lastPrinted>
  <dcterms:created xsi:type="dcterms:W3CDTF">2020-12-18T20:17:00Z</dcterms:created>
  <dcterms:modified xsi:type="dcterms:W3CDTF">2022-03-10T17:12:00Z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