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C635A" w14:textId="5B14855B" w:rsidR="00EF0B7F" w:rsidRDefault="00201C0D" w:rsidP="00EF0B7F">
      <w:pPr>
        <w:pStyle w:val="Ttulo2"/>
        <w:jc w:val="center"/>
        <w:rPr>
          <w:rFonts w:ascii="Times New Roman" w:hAnsi="Times New Roman" w:cs="Times New Roman"/>
          <w:b/>
          <w:bCs/>
          <w:color w:val="auto"/>
          <w:sz w:val="24"/>
          <w:szCs w:val="24"/>
          <w:lang w:val="es-PE" w:eastAsia="ar-SA"/>
        </w:rPr>
      </w:pPr>
      <w:r w:rsidRPr="00EF0B7F">
        <w:rPr>
          <w:rFonts w:ascii="Times New Roman" w:hAnsi="Times New Roman" w:cs="Times New Roman"/>
          <w:b/>
          <w:bCs/>
          <w:color w:val="auto"/>
          <w:sz w:val="24"/>
          <w:szCs w:val="24"/>
          <w:lang w:val="es-PE" w:eastAsia="ar-SA"/>
        </w:rPr>
        <w:t xml:space="preserve">RESOLUCIÓN DE RECURSO IMPUGNATIVO </w:t>
      </w:r>
      <w:proofErr w:type="spellStart"/>
      <w:r w:rsidR="00707C99" w:rsidRPr="00EF0B7F">
        <w:rPr>
          <w:rFonts w:ascii="Times New Roman" w:hAnsi="Times New Roman" w:cs="Times New Roman"/>
          <w:b/>
          <w:bCs/>
          <w:color w:val="auto"/>
          <w:sz w:val="24"/>
          <w:szCs w:val="24"/>
          <w:lang w:val="es-PE" w:eastAsia="ar-SA"/>
        </w:rPr>
        <w:t>N°</w:t>
      </w:r>
      <w:proofErr w:type="spellEnd"/>
      <w:r w:rsidR="00707C99" w:rsidRPr="00EF0B7F">
        <w:rPr>
          <w:rFonts w:ascii="Times New Roman" w:hAnsi="Times New Roman" w:cs="Times New Roman"/>
          <w:b/>
          <w:bCs/>
          <w:color w:val="auto"/>
          <w:sz w:val="24"/>
          <w:szCs w:val="24"/>
          <w:lang w:val="es-PE" w:eastAsia="ar-SA"/>
        </w:rPr>
        <w:t xml:space="preserve"> </w:t>
      </w:r>
      <w:r w:rsidR="00C671F5" w:rsidRPr="00EF0B7F">
        <w:rPr>
          <w:rFonts w:ascii="Times New Roman" w:hAnsi="Times New Roman" w:cs="Times New Roman"/>
          <w:b/>
          <w:bCs/>
          <w:color w:val="auto"/>
          <w:sz w:val="24"/>
          <w:szCs w:val="24"/>
          <w:lang w:val="es-PE" w:eastAsia="ar-SA"/>
        </w:rPr>
        <w:t>0</w:t>
      </w:r>
      <w:r w:rsidR="00EF0B7F" w:rsidRPr="00EF0B7F">
        <w:rPr>
          <w:rFonts w:ascii="Times New Roman" w:hAnsi="Times New Roman" w:cs="Times New Roman"/>
          <w:b/>
          <w:bCs/>
          <w:color w:val="auto"/>
          <w:sz w:val="24"/>
          <w:szCs w:val="24"/>
          <w:lang w:val="es-PE" w:eastAsia="ar-SA"/>
        </w:rPr>
        <w:t>40</w:t>
      </w:r>
      <w:r w:rsidR="00517CFF" w:rsidRPr="00EF0B7F">
        <w:rPr>
          <w:rFonts w:ascii="Times New Roman" w:hAnsi="Times New Roman" w:cs="Times New Roman"/>
          <w:b/>
          <w:bCs/>
          <w:color w:val="auto"/>
          <w:sz w:val="24"/>
          <w:szCs w:val="24"/>
          <w:lang w:val="es-PE" w:eastAsia="ar-SA"/>
        </w:rPr>
        <w:t>/</w:t>
      </w:r>
      <w:r w:rsidR="00C671F5" w:rsidRPr="00EF0B7F">
        <w:rPr>
          <w:rFonts w:ascii="Times New Roman" w:hAnsi="Times New Roman" w:cs="Times New Roman"/>
          <w:b/>
          <w:bCs/>
          <w:color w:val="auto"/>
          <w:sz w:val="24"/>
          <w:szCs w:val="24"/>
          <w:lang w:val="es-PE" w:eastAsia="ar-SA"/>
        </w:rPr>
        <w:t>2</w:t>
      </w:r>
      <w:r w:rsidR="00231C58" w:rsidRPr="00EF0B7F">
        <w:rPr>
          <w:rFonts w:ascii="Times New Roman" w:hAnsi="Times New Roman" w:cs="Times New Roman"/>
          <w:b/>
          <w:bCs/>
          <w:color w:val="auto"/>
          <w:sz w:val="24"/>
          <w:szCs w:val="24"/>
          <w:lang w:val="es-PE" w:eastAsia="ar-SA"/>
        </w:rPr>
        <w:t>1</w:t>
      </w:r>
    </w:p>
    <w:p w14:paraId="3D4CE234" w14:textId="77777777" w:rsidR="00EF0B7F" w:rsidRPr="00EF0B7F" w:rsidRDefault="00EF0B7F" w:rsidP="00EF0B7F">
      <w:pPr>
        <w:rPr>
          <w:lang w:val="es-PE" w:eastAsia="ar-SA"/>
        </w:rPr>
      </w:pPr>
    </w:p>
    <w:p w14:paraId="60EDBE52" w14:textId="63753CE3" w:rsidR="00EF0B7F" w:rsidRPr="00EF0B7F" w:rsidRDefault="00EF0B7F" w:rsidP="00EF0B7F">
      <w:pPr>
        <w:jc w:val="both"/>
        <w:outlineLvl w:val="0"/>
        <w:rPr>
          <w:rFonts w:ascii="Times New Roman" w:hAnsi="Times New Roman" w:cs="Times New Roman"/>
          <w:b/>
          <w:sz w:val="24"/>
          <w:szCs w:val="24"/>
          <w:lang w:val="es-PE"/>
        </w:rPr>
      </w:pPr>
      <w:r w:rsidRPr="00EF0B7F">
        <w:rPr>
          <w:rFonts w:ascii="Times New Roman" w:hAnsi="Times New Roman" w:cs="Times New Roman"/>
          <w:b/>
          <w:sz w:val="24"/>
          <w:szCs w:val="24"/>
          <w:lang w:val="es-PE"/>
        </w:rPr>
        <w:t>VISTOS:</w:t>
      </w:r>
    </w:p>
    <w:p w14:paraId="146B08FE" w14:textId="69ADBE56" w:rsidR="00EF0B7F" w:rsidRPr="00EF0B7F" w:rsidRDefault="00EF0B7F" w:rsidP="00EF0B7F">
      <w:pPr>
        <w:jc w:val="both"/>
        <w:rPr>
          <w:rFonts w:ascii="Times New Roman" w:hAnsi="Times New Roman" w:cs="Times New Roman"/>
          <w:sz w:val="24"/>
          <w:szCs w:val="24"/>
          <w:lang w:val="es-PE"/>
        </w:rPr>
      </w:pPr>
      <w:r w:rsidRPr="00EF0B7F">
        <w:rPr>
          <w:rFonts w:ascii="Times New Roman" w:hAnsi="Times New Roman" w:cs="Times New Roman"/>
          <w:bCs/>
          <w:sz w:val="24"/>
          <w:szCs w:val="24"/>
          <w:lang w:val="es-PE"/>
        </w:rPr>
        <w:t>El recurso de impugnación presentado el 21 de mayo de 2021 por</w:t>
      </w:r>
      <w:r w:rsidR="00357629">
        <w:rPr>
          <w:rFonts w:ascii="Arial" w:hAnsi="Arial" w:cs="Arial"/>
          <w:sz w:val="24"/>
          <w:szCs w:val="24"/>
          <w:lang w:val="es-PE"/>
        </w:rPr>
        <w:t>...................</w:t>
      </w:r>
      <w:r w:rsidRPr="00EF0B7F">
        <w:rPr>
          <w:rFonts w:ascii="Times New Roman" w:hAnsi="Times New Roman" w:cs="Times New Roman"/>
          <w:bCs/>
          <w:sz w:val="24"/>
          <w:szCs w:val="24"/>
          <w:lang w:val="es-PE"/>
        </w:rPr>
        <w:t xml:space="preserve"> respecto de la Resolución Nro. 059/21 de fecha 24 de mayo de 2021, expedida por esta Defensoría del Asegurado (DEFASEG), conforme a la cual se declaró </w:t>
      </w:r>
      <w:r w:rsidRPr="00EF0B7F">
        <w:rPr>
          <w:rFonts w:ascii="Times New Roman" w:hAnsi="Times New Roman" w:cs="Times New Roman"/>
          <w:b/>
          <w:bCs/>
          <w:sz w:val="24"/>
          <w:szCs w:val="24"/>
          <w:lang w:val="es-PE"/>
        </w:rPr>
        <w:t xml:space="preserve">FUNDADA </w:t>
      </w:r>
      <w:r w:rsidRPr="00EF0B7F">
        <w:rPr>
          <w:rFonts w:ascii="Times New Roman" w:hAnsi="Times New Roman" w:cs="Times New Roman"/>
          <w:bCs/>
          <w:sz w:val="24"/>
          <w:szCs w:val="24"/>
          <w:lang w:val="es-PE"/>
        </w:rPr>
        <w:t xml:space="preserve">la reclamación interpuesta por doña </w:t>
      </w:r>
      <w:r w:rsidR="00357629">
        <w:rPr>
          <w:rFonts w:ascii="Arial" w:hAnsi="Arial" w:cs="Arial"/>
          <w:sz w:val="24"/>
          <w:szCs w:val="24"/>
          <w:lang w:val="es-PE"/>
        </w:rPr>
        <w:t>...................</w:t>
      </w:r>
      <w:r w:rsidR="00357629">
        <w:rPr>
          <w:rFonts w:ascii="Arial" w:hAnsi="Arial" w:cs="Arial"/>
          <w:sz w:val="24"/>
          <w:szCs w:val="24"/>
          <w:lang w:val="es-PE"/>
        </w:rPr>
        <w:t xml:space="preserve"> </w:t>
      </w:r>
      <w:r w:rsidRPr="00EF0B7F">
        <w:rPr>
          <w:rFonts w:ascii="Times New Roman" w:hAnsi="Times New Roman" w:cs="Times New Roman"/>
          <w:bCs/>
          <w:sz w:val="24"/>
          <w:szCs w:val="24"/>
          <w:lang w:val="es-PE"/>
        </w:rPr>
        <w:t xml:space="preserve">respecto de la póliza de </w:t>
      </w:r>
      <w:r w:rsidRPr="00EF0B7F">
        <w:rPr>
          <w:rFonts w:ascii="Times New Roman" w:hAnsi="Times New Roman" w:cs="Times New Roman"/>
          <w:sz w:val="24"/>
          <w:szCs w:val="24"/>
          <w:lang w:val="es-PE"/>
        </w:rPr>
        <w:t xml:space="preserve">Seguro de Protección de Tarjeta – </w:t>
      </w:r>
      <w:r w:rsidR="00357629">
        <w:rPr>
          <w:rFonts w:ascii="Arial" w:hAnsi="Arial" w:cs="Arial"/>
          <w:sz w:val="24"/>
          <w:szCs w:val="24"/>
          <w:lang w:val="es-PE"/>
        </w:rPr>
        <w:t>...................</w:t>
      </w:r>
      <w:r w:rsidR="00357629" w:rsidRPr="00EF0B7F">
        <w:rPr>
          <w:rFonts w:ascii="Times New Roman" w:hAnsi="Times New Roman" w:cs="Times New Roman"/>
          <w:sz w:val="24"/>
          <w:szCs w:val="24"/>
          <w:lang w:val="es-PE"/>
        </w:rPr>
        <w:t xml:space="preserve"> </w:t>
      </w:r>
      <w:r w:rsidRPr="00EF0B7F">
        <w:rPr>
          <w:rFonts w:ascii="Times New Roman" w:hAnsi="Times New Roman" w:cs="Times New Roman"/>
          <w:sz w:val="24"/>
          <w:szCs w:val="24"/>
          <w:lang w:val="es-PE"/>
        </w:rPr>
        <w:t xml:space="preserve">(Póliza </w:t>
      </w:r>
      <w:proofErr w:type="spellStart"/>
      <w:r w:rsidRPr="00EF0B7F">
        <w:rPr>
          <w:rFonts w:ascii="Times New Roman" w:hAnsi="Times New Roman" w:cs="Times New Roman"/>
          <w:sz w:val="24"/>
          <w:szCs w:val="24"/>
          <w:lang w:val="es-PE"/>
        </w:rPr>
        <w:t>Nº</w:t>
      </w:r>
      <w:proofErr w:type="spellEnd"/>
      <w:r w:rsidRPr="00EF0B7F">
        <w:rPr>
          <w:rFonts w:ascii="Times New Roman" w:hAnsi="Times New Roman" w:cs="Times New Roman"/>
          <w:sz w:val="24"/>
          <w:szCs w:val="24"/>
          <w:lang w:val="es-PE"/>
        </w:rPr>
        <w:t xml:space="preserve"> </w:t>
      </w:r>
      <w:r w:rsidR="00357629">
        <w:rPr>
          <w:rFonts w:ascii="Arial" w:hAnsi="Arial" w:cs="Arial"/>
          <w:sz w:val="24"/>
          <w:szCs w:val="24"/>
          <w:lang w:val="es-PE"/>
        </w:rPr>
        <w:t>...................</w:t>
      </w:r>
      <w:r w:rsidRPr="00EF0B7F">
        <w:rPr>
          <w:rFonts w:ascii="Times New Roman" w:hAnsi="Times New Roman" w:cs="Times New Roman"/>
          <w:sz w:val="24"/>
          <w:szCs w:val="24"/>
          <w:lang w:val="es-PE"/>
        </w:rPr>
        <w:t>).</w:t>
      </w:r>
    </w:p>
    <w:p w14:paraId="6944C440" w14:textId="331BC685" w:rsidR="00EF0B7F" w:rsidRPr="00EF0B7F" w:rsidRDefault="00EF0B7F" w:rsidP="00EF0B7F">
      <w:pPr>
        <w:pStyle w:val="Textoindependiente"/>
        <w:rPr>
          <w:lang w:val="es-PE"/>
        </w:rPr>
      </w:pPr>
      <w:r w:rsidRPr="00EF0B7F">
        <w:rPr>
          <w:lang w:val="es-PE"/>
        </w:rPr>
        <w:t xml:space="preserve">Que, el indicado recurso se sustenta resumidamente en lo siguiente: a) se ha declarado fundado el reclamo por cuanto se considera que la obligación de realizar la denuncia policial dentro de las 24 horas constituye una carga convencional, de lo cual discrepan pues ello no fue establecido como carga sino como un elemento que delimita el riesgo asegurado sobre el cual su representada otorga cobertura; b) añaden que tanto en la póliza como en el certificado la denuncia policial se encuentra prevista como una condición necesaria para que se configure el riesgo asegurado sobre el cual </w:t>
      </w:r>
      <w:r w:rsidR="00357629">
        <w:rPr>
          <w:rFonts w:ascii="Arial" w:hAnsi="Arial" w:cs="Arial"/>
          <w:lang w:val="es-PE"/>
        </w:rPr>
        <w:t>...................</w:t>
      </w:r>
      <w:r w:rsidRPr="00EF0B7F">
        <w:rPr>
          <w:lang w:val="es-PE"/>
        </w:rPr>
        <w:t>otorga la cobertura; c) destacan que la importancia de la delimitación radica en que, el asegurador se obliga a cumplir la prestación debida si y sólo si ocurre el evento previsto en las condiciones generales de la póliza.</w:t>
      </w:r>
    </w:p>
    <w:p w14:paraId="0E29AC23" w14:textId="77777777" w:rsidR="00EF0B7F" w:rsidRPr="00EF0B7F" w:rsidRDefault="00EF0B7F" w:rsidP="00EF0B7F">
      <w:pPr>
        <w:pStyle w:val="Textoindependiente"/>
        <w:rPr>
          <w:lang w:val="es-PE"/>
        </w:rPr>
      </w:pPr>
    </w:p>
    <w:p w14:paraId="6FBD68DE" w14:textId="77777777" w:rsidR="00EF0B7F" w:rsidRPr="00EF0B7F" w:rsidRDefault="00EF0B7F" w:rsidP="00EF0B7F">
      <w:pPr>
        <w:pStyle w:val="Default"/>
        <w:jc w:val="both"/>
        <w:rPr>
          <w:rFonts w:ascii="Times New Roman" w:hAnsi="Times New Roman" w:cs="Times New Roman"/>
          <w:bCs/>
        </w:rPr>
      </w:pPr>
      <w:r w:rsidRPr="00EF0B7F">
        <w:rPr>
          <w:rFonts w:ascii="Times New Roman" w:hAnsi="Times New Roman" w:cs="Times New Roman"/>
          <w:bCs/>
        </w:rPr>
        <w:t>Que, con fecha 02 de junio de 2020 se corrió traslado de la respectiva impugnación a la parte reclamante, sin que hasta la fecha esta se haya pronunciado al respecto, por lo que el expediente se encuentra en condiciones que esta Defensoría expida su pronunciamiento.</w:t>
      </w:r>
    </w:p>
    <w:p w14:paraId="506D08A7" w14:textId="77777777" w:rsidR="00EF0B7F" w:rsidRPr="00EF0B7F" w:rsidRDefault="00EF0B7F" w:rsidP="00EF0B7F">
      <w:pPr>
        <w:pStyle w:val="Default"/>
        <w:jc w:val="both"/>
        <w:rPr>
          <w:rFonts w:ascii="Times New Roman" w:hAnsi="Times New Roman" w:cs="Times New Roman"/>
          <w:bCs/>
        </w:rPr>
      </w:pPr>
    </w:p>
    <w:p w14:paraId="01F1E030" w14:textId="77777777" w:rsidR="00EF0B7F" w:rsidRPr="00EF0B7F" w:rsidRDefault="00EF0B7F" w:rsidP="00EF0B7F">
      <w:pPr>
        <w:pStyle w:val="Textoindependiente"/>
        <w:tabs>
          <w:tab w:val="left" w:pos="930"/>
        </w:tabs>
        <w:rPr>
          <w:lang w:val="es-PE"/>
        </w:rPr>
      </w:pPr>
      <w:r w:rsidRPr="00EF0B7F">
        <w:rPr>
          <w:lang w:val="es-PE"/>
        </w:rPr>
        <w:t>Atendiendo a lo expuesto, esta Defensoría resuelve finalmente lo siguiente:</w:t>
      </w:r>
    </w:p>
    <w:p w14:paraId="37324C08" w14:textId="77777777" w:rsidR="00EF0B7F" w:rsidRPr="00EF0B7F" w:rsidRDefault="00EF0B7F" w:rsidP="00EF0B7F">
      <w:pPr>
        <w:pStyle w:val="Default"/>
        <w:jc w:val="both"/>
        <w:rPr>
          <w:rFonts w:ascii="Times New Roman" w:hAnsi="Times New Roman" w:cs="Times New Roman"/>
          <w:bCs/>
        </w:rPr>
      </w:pPr>
    </w:p>
    <w:p w14:paraId="31E4CD38" w14:textId="63F14D79" w:rsidR="00EF0B7F" w:rsidRPr="00EF0B7F" w:rsidRDefault="00EF0B7F" w:rsidP="00EF0B7F">
      <w:pPr>
        <w:jc w:val="both"/>
        <w:rPr>
          <w:rFonts w:ascii="Times New Roman" w:hAnsi="Times New Roman" w:cs="Times New Roman"/>
          <w:bCs/>
          <w:sz w:val="24"/>
          <w:szCs w:val="24"/>
          <w:lang w:val="es-PE"/>
        </w:rPr>
      </w:pPr>
      <w:r w:rsidRPr="00EF0B7F">
        <w:rPr>
          <w:rFonts w:ascii="Times New Roman" w:hAnsi="Times New Roman" w:cs="Times New Roman"/>
          <w:b/>
          <w:sz w:val="24"/>
          <w:szCs w:val="24"/>
          <w:u w:val="single"/>
          <w:lang w:val="es-PE"/>
        </w:rPr>
        <w:t>PRIMERO</w:t>
      </w:r>
      <w:r w:rsidRPr="00EF0B7F">
        <w:rPr>
          <w:rFonts w:ascii="Times New Roman" w:hAnsi="Times New Roman" w:cs="Times New Roman"/>
          <w:b/>
          <w:sz w:val="24"/>
          <w:szCs w:val="24"/>
          <w:lang w:val="es-PE"/>
        </w:rPr>
        <w:t>:</w:t>
      </w:r>
      <w:r w:rsidRPr="00EF0B7F">
        <w:rPr>
          <w:rFonts w:ascii="Times New Roman" w:hAnsi="Times New Roman" w:cs="Times New Roman"/>
          <w:bCs/>
          <w:sz w:val="24"/>
          <w:szCs w:val="24"/>
          <w:lang w:val="es-PE"/>
        </w:rPr>
        <w:t xml:space="preserve"> El artículo 10 (Procedimiento) del Reglamento de la DEFASEG </w:t>
      </w:r>
      <w:r w:rsidRPr="00EF0B7F">
        <w:rPr>
          <w:rFonts w:ascii="Times New Roman" w:eastAsia="Arial Unicode MS" w:hAnsi="Times New Roman" w:cs="Times New Roman"/>
          <w:bCs/>
          <w:sz w:val="24"/>
          <w:szCs w:val="24"/>
          <w:lang w:val="es-PE"/>
        </w:rPr>
        <w:t>(http://www.defaseg.com.pe/reglamento)</w:t>
      </w:r>
      <w:r w:rsidRPr="00EF0B7F">
        <w:rPr>
          <w:rFonts w:ascii="Times New Roman" w:hAnsi="Times New Roman" w:cs="Times New Roman"/>
          <w:bCs/>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Conforme a ello, en el caso concreto, al interponer el recurso de impugnación la aseguradora ha ejercido formalmente su derecho a contradecir lo resuelto por la Defensoría.</w:t>
      </w:r>
    </w:p>
    <w:p w14:paraId="2079A03A" w14:textId="3B3600EF" w:rsidR="00EF0B7F" w:rsidRPr="00EF0B7F" w:rsidRDefault="00EF0B7F" w:rsidP="00EF0B7F">
      <w:pPr>
        <w:jc w:val="both"/>
        <w:rPr>
          <w:rFonts w:ascii="Times New Roman" w:hAnsi="Times New Roman" w:cs="Times New Roman"/>
          <w:sz w:val="24"/>
          <w:szCs w:val="24"/>
          <w:lang w:val="es-PE"/>
        </w:rPr>
      </w:pPr>
      <w:r w:rsidRPr="00EF0B7F">
        <w:rPr>
          <w:rFonts w:ascii="Times New Roman" w:hAnsi="Times New Roman" w:cs="Times New Roman"/>
          <w:b/>
          <w:sz w:val="24"/>
          <w:szCs w:val="24"/>
          <w:u w:val="single"/>
          <w:lang w:val="es-PE"/>
        </w:rPr>
        <w:t>SEGUNDO:</w:t>
      </w:r>
      <w:r w:rsidRPr="00EF0B7F">
        <w:rPr>
          <w:rFonts w:ascii="Times New Roman" w:hAnsi="Times New Roman" w:cs="Times New Roman"/>
          <w:bCs/>
          <w:sz w:val="24"/>
          <w:szCs w:val="24"/>
          <w:lang w:val="es-PE"/>
        </w:rPr>
        <w:t xml:space="preserve">  </w:t>
      </w:r>
      <w:r w:rsidRPr="00EF0B7F">
        <w:rPr>
          <w:rFonts w:ascii="Times New Roman" w:hAnsi="Times New Roman" w:cs="Times New Roman"/>
          <w:sz w:val="24"/>
          <w:szCs w:val="24"/>
          <w:lang w:val="es-PE"/>
        </w:rPr>
        <w:t>Que, se ha revisado los artículos y textos citados por la aseguradora, apreciándose lo siguiente en la póliza:</w:t>
      </w:r>
    </w:p>
    <w:p w14:paraId="75049BFF" w14:textId="77777777" w:rsidR="00EF0B7F" w:rsidRPr="00EF0B7F" w:rsidRDefault="00EF0B7F" w:rsidP="00EF0B7F">
      <w:pPr>
        <w:jc w:val="both"/>
        <w:rPr>
          <w:rFonts w:ascii="Times New Roman" w:hAnsi="Times New Roman" w:cs="Times New Roman"/>
          <w:sz w:val="24"/>
          <w:szCs w:val="24"/>
          <w:lang w:val="es-PE"/>
        </w:rPr>
      </w:pPr>
      <w:r w:rsidRPr="00EF0B7F">
        <w:rPr>
          <w:rFonts w:ascii="Times New Roman" w:hAnsi="Times New Roman" w:cs="Times New Roman"/>
          <w:noProof/>
          <w:sz w:val="24"/>
          <w:szCs w:val="24"/>
          <w:lang w:val="es-PE"/>
        </w:rPr>
        <w:drawing>
          <wp:inline distT="0" distB="0" distL="0" distR="0" wp14:anchorId="2AC301AE" wp14:editId="16244CD3">
            <wp:extent cx="5621598" cy="120411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b="57106"/>
                    <a:stretch/>
                  </pic:blipFill>
                  <pic:spPr bwMode="auto">
                    <a:xfrm>
                      <a:off x="0" y="0"/>
                      <a:ext cx="5633733" cy="1206709"/>
                    </a:xfrm>
                    <a:prstGeom prst="rect">
                      <a:avLst/>
                    </a:prstGeom>
                    <a:noFill/>
                    <a:ln>
                      <a:noFill/>
                    </a:ln>
                    <a:extLst>
                      <a:ext uri="{53640926-AAD7-44D8-BBD7-CCE9431645EC}">
                        <a14:shadowObscured xmlns:a14="http://schemas.microsoft.com/office/drawing/2010/main"/>
                      </a:ext>
                    </a:extLst>
                  </pic:spPr>
                </pic:pic>
              </a:graphicData>
            </a:graphic>
          </wp:inline>
        </w:drawing>
      </w:r>
    </w:p>
    <w:p w14:paraId="4CE1780D" w14:textId="77777777" w:rsidR="00EF0B7F" w:rsidRPr="00EF0B7F" w:rsidRDefault="00EF0B7F" w:rsidP="00EF0B7F">
      <w:pPr>
        <w:autoSpaceDE w:val="0"/>
        <w:autoSpaceDN w:val="0"/>
        <w:adjustRightInd w:val="0"/>
        <w:rPr>
          <w:rFonts w:ascii="Times New Roman" w:hAnsi="Times New Roman" w:cs="Times New Roman"/>
          <w:color w:val="000000"/>
          <w:sz w:val="24"/>
          <w:szCs w:val="24"/>
          <w:lang w:val="es-PE"/>
        </w:rPr>
      </w:pPr>
      <w:r w:rsidRPr="00EF0B7F">
        <w:rPr>
          <w:rFonts w:ascii="Times New Roman" w:hAnsi="Times New Roman" w:cs="Times New Roman"/>
          <w:noProof/>
          <w:color w:val="000000"/>
          <w:sz w:val="24"/>
          <w:szCs w:val="24"/>
          <w:lang w:val="es-PE"/>
        </w:rPr>
        <w:lastRenderedPageBreak/>
        <w:drawing>
          <wp:inline distT="0" distB="0" distL="0" distR="0" wp14:anchorId="09A4019D" wp14:editId="73DE9808">
            <wp:extent cx="5825905" cy="1686451"/>
            <wp:effectExtent l="0" t="0" r="381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t="42030"/>
                    <a:stretch/>
                  </pic:blipFill>
                  <pic:spPr bwMode="auto">
                    <a:xfrm>
                      <a:off x="0" y="0"/>
                      <a:ext cx="5840996" cy="1690819"/>
                    </a:xfrm>
                    <a:prstGeom prst="rect">
                      <a:avLst/>
                    </a:prstGeom>
                    <a:noFill/>
                    <a:ln>
                      <a:noFill/>
                    </a:ln>
                    <a:extLst>
                      <a:ext uri="{53640926-AAD7-44D8-BBD7-CCE9431645EC}">
                        <a14:shadowObscured xmlns:a14="http://schemas.microsoft.com/office/drawing/2010/main"/>
                      </a:ext>
                    </a:extLst>
                  </pic:spPr>
                </pic:pic>
              </a:graphicData>
            </a:graphic>
          </wp:inline>
        </w:drawing>
      </w:r>
    </w:p>
    <w:p w14:paraId="00C772A7" w14:textId="77777777" w:rsidR="00EF0B7F" w:rsidRPr="00EF0B7F" w:rsidRDefault="00EF0B7F" w:rsidP="00EF0B7F">
      <w:pPr>
        <w:autoSpaceDE w:val="0"/>
        <w:autoSpaceDN w:val="0"/>
        <w:adjustRightInd w:val="0"/>
        <w:rPr>
          <w:rFonts w:ascii="Times New Roman" w:hAnsi="Times New Roman" w:cs="Times New Roman"/>
          <w:color w:val="000000"/>
          <w:sz w:val="24"/>
          <w:szCs w:val="24"/>
          <w:lang w:val="es-PE"/>
        </w:rPr>
      </w:pPr>
      <w:r w:rsidRPr="00EF0B7F">
        <w:rPr>
          <w:rFonts w:ascii="Times New Roman" w:hAnsi="Times New Roman" w:cs="Times New Roman"/>
          <w:color w:val="000000"/>
          <w:sz w:val="24"/>
          <w:szCs w:val="24"/>
          <w:lang w:val="es-PE"/>
        </w:rPr>
        <w:t>Asimismo, se aprecia lo siguiente en el Certificado de Seguro</w:t>
      </w:r>
    </w:p>
    <w:p w14:paraId="7AC69561" w14:textId="11AF5F56" w:rsidR="00EF0B7F" w:rsidRPr="00EF0B7F" w:rsidRDefault="00EF0B7F" w:rsidP="00EF0B7F">
      <w:pPr>
        <w:autoSpaceDE w:val="0"/>
        <w:autoSpaceDN w:val="0"/>
        <w:adjustRightInd w:val="0"/>
        <w:rPr>
          <w:rFonts w:ascii="Times New Roman" w:hAnsi="Times New Roman" w:cs="Times New Roman"/>
          <w:color w:val="000000"/>
          <w:sz w:val="24"/>
          <w:szCs w:val="24"/>
          <w:lang w:val="es-PE"/>
        </w:rPr>
      </w:pPr>
      <w:r w:rsidRPr="00EF0B7F">
        <w:rPr>
          <w:rFonts w:ascii="Times New Roman" w:hAnsi="Times New Roman" w:cs="Times New Roman"/>
          <w:noProof/>
          <w:color w:val="000000"/>
          <w:sz w:val="24"/>
          <w:szCs w:val="24"/>
          <w:lang w:val="es-PE"/>
        </w:rPr>
        <w:drawing>
          <wp:inline distT="0" distB="0" distL="0" distR="0" wp14:anchorId="3D7B6D5B" wp14:editId="431F1F0A">
            <wp:extent cx="6031954" cy="1587500"/>
            <wp:effectExtent l="0" t="0" r="698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33776" cy="1587980"/>
                    </a:xfrm>
                    <a:prstGeom prst="rect">
                      <a:avLst/>
                    </a:prstGeom>
                    <a:noFill/>
                    <a:ln>
                      <a:noFill/>
                    </a:ln>
                  </pic:spPr>
                </pic:pic>
              </a:graphicData>
            </a:graphic>
          </wp:inline>
        </w:drawing>
      </w:r>
    </w:p>
    <w:p w14:paraId="366F0DA9" w14:textId="21CEB2D5" w:rsidR="00EF0B7F" w:rsidRPr="00EF0B7F" w:rsidRDefault="00EF0B7F" w:rsidP="00EF0B7F">
      <w:pPr>
        <w:autoSpaceDE w:val="0"/>
        <w:autoSpaceDN w:val="0"/>
        <w:adjustRightInd w:val="0"/>
        <w:jc w:val="both"/>
        <w:rPr>
          <w:rFonts w:ascii="Times New Roman" w:hAnsi="Times New Roman" w:cs="Times New Roman"/>
          <w:color w:val="000000"/>
          <w:sz w:val="24"/>
          <w:szCs w:val="24"/>
          <w:lang w:val="es-PE"/>
        </w:rPr>
      </w:pPr>
      <w:r w:rsidRPr="00EF0B7F">
        <w:rPr>
          <w:rFonts w:ascii="Times New Roman" w:hAnsi="Times New Roman" w:cs="Times New Roman"/>
          <w:color w:val="000000"/>
          <w:sz w:val="24"/>
          <w:szCs w:val="24"/>
          <w:lang w:val="es-PE"/>
        </w:rPr>
        <w:t xml:space="preserve">En este sentido, la aseguradora definió el riesgo como el uso indebido de la tarjeta por extravío, hurto, robo o secuestro en cajeros o establecimientos comerciales, SIEMPRE QUE la denuncia policial (y bloqueo) hubiera sido realizada dentro de las 24 horas posteriores. </w:t>
      </w:r>
    </w:p>
    <w:p w14:paraId="1088F0AB" w14:textId="0FE92470" w:rsidR="00EF0B7F" w:rsidRPr="00EF0B7F" w:rsidRDefault="00EF0B7F" w:rsidP="00EF0B7F">
      <w:pPr>
        <w:autoSpaceDE w:val="0"/>
        <w:autoSpaceDN w:val="0"/>
        <w:adjustRightInd w:val="0"/>
        <w:jc w:val="both"/>
        <w:rPr>
          <w:rFonts w:ascii="Times New Roman" w:hAnsi="Times New Roman" w:cs="Times New Roman"/>
          <w:color w:val="000000"/>
          <w:sz w:val="24"/>
          <w:szCs w:val="24"/>
          <w:lang w:val="es-PE"/>
        </w:rPr>
      </w:pPr>
      <w:r w:rsidRPr="00EF0B7F">
        <w:rPr>
          <w:rFonts w:ascii="Times New Roman" w:hAnsi="Times New Roman" w:cs="Times New Roman"/>
          <w:color w:val="000000"/>
          <w:sz w:val="24"/>
          <w:szCs w:val="24"/>
          <w:lang w:val="es-PE"/>
        </w:rPr>
        <w:t xml:space="preserve">Adicionalmente la aseguradora señala lo siguiente: </w:t>
      </w:r>
    </w:p>
    <w:p w14:paraId="70859128" w14:textId="568DC23F" w:rsidR="00EF0B7F" w:rsidRPr="00EF0B7F" w:rsidRDefault="00EF0B7F" w:rsidP="00EF0B7F">
      <w:pPr>
        <w:autoSpaceDE w:val="0"/>
        <w:autoSpaceDN w:val="0"/>
        <w:adjustRightInd w:val="0"/>
        <w:ind w:left="708"/>
        <w:jc w:val="both"/>
        <w:rPr>
          <w:rFonts w:ascii="Times New Roman" w:hAnsi="Times New Roman" w:cs="Times New Roman"/>
          <w:i/>
          <w:iCs/>
          <w:color w:val="000000"/>
          <w:sz w:val="24"/>
          <w:szCs w:val="24"/>
          <w:lang w:val="es-PE"/>
        </w:rPr>
      </w:pPr>
      <w:r w:rsidRPr="00EF0B7F">
        <w:rPr>
          <w:rFonts w:ascii="Times New Roman" w:hAnsi="Times New Roman" w:cs="Times New Roman"/>
          <w:i/>
          <w:iCs/>
          <w:color w:val="000000"/>
          <w:sz w:val="24"/>
          <w:szCs w:val="24"/>
          <w:lang w:val="es-PE"/>
        </w:rPr>
        <w:t xml:space="preserve">“(…) no ha señalado ni en el certificado ni en la póliza de seguros que la presentación de la denuncia policial resulte ser una carga; siendo que, la cláusula contractual mencionada en la Resolución </w:t>
      </w:r>
      <w:proofErr w:type="spellStart"/>
      <w:r w:rsidRPr="00EF0B7F">
        <w:rPr>
          <w:rFonts w:ascii="Times New Roman" w:hAnsi="Times New Roman" w:cs="Times New Roman"/>
          <w:i/>
          <w:iCs/>
          <w:color w:val="000000"/>
          <w:sz w:val="24"/>
          <w:szCs w:val="24"/>
          <w:lang w:val="es-PE"/>
        </w:rPr>
        <w:t>Nº</w:t>
      </w:r>
      <w:proofErr w:type="spellEnd"/>
      <w:r w:rsidRPr="00EF0B7F">
        <w:rPr>
          <w:rFonts w:ascii="Times New Roman" w:hAnsi="Times New Roman" w:cs="Times New Roman"/>
          <w:i/>
          <w:iCs/>
          <w:color w:val="000000"/>
          <w:sz w:val="24"/>
          <w:szCs w:val="24"/>
          <w:lang w:val="es-PE"/>
        </w:rPr>
        <w:t xml:space="preserve"> 059/21 solo prevé la caducidad del derecho indemnizatorio si el asegurado no cumple con las cargas expresamente previstas en el numeral 1 y 2 de dicha estipulación:</w:t>
      </w:r>
    </w:p>
    <w:p w14:paraId="4F1E9ED8" w14:textId="77777777" w:rsidR="00EF0B7F" w:rsidRPr="00EF0B7F" w:rsidRDefault="00EF0B7F" w:rsidP="00EF0B7F">
      <w:pPr>
        <w:pageBreakBefore/>
        <w:autoSpaceDE w:val="0"/>
        <w:autoSpaceDN w:val="0"/>
        <w:adjustRightInd w:val="0"/>
        <w:ind w:left="708"/>
        <w:rPr>
          <w:rFonts w:ascii="Times New Roman" w:hAnsi="Times New Roman" w:cs="Times New Roman"/>
          <w:color w:val="000000"/>
          <w:sz w:val="24"/>
          <w:szCs w:val="24"/>
          <w:lang w:val="es-PE"/>
        </w:rPr>
      </w:pPr>
      <w:r w:rsidRPr="00EF0B7F">
        <w:rPr>
          <w:rFonts w:ascii="Times New Roman" w:hAnsi="Times New Roman" w:cs="Times New Roman"/>
          <w:i/>
          <w:iCs/>
          <w:color w:val="000000"/>
          <w:sz w:val="24"/>
          <w:szCs w:val="24"/>
          <w:lang w:val="es-PE"/>
        </w:rPr>
        <w:lastRenderedPageBreak/>
        <w:t xml:space="preserve">“OBLIGACIONES Y CARGAS DEL ASEGURADO </w:t>
      </w:r>
    </w:p>
    <w:p w14:paraId="64C0B349" w14:textId="77777777" w:rsidR="00EF0B7F" w:rsidRPr="00EF0B7F" w:rsidRDefault="00EF0B7F" w:rsidP="00EF0B7F">
      <w:pPr>
        <w:autoSpaceDE w:val="0"/>
        <w:autoSpaceDN w:val="0"/>
        <w:adjustRightInd w:val="0"/>
        <w:ind w:left="708"/>
        <w:rPr>
          <w:rFonts w:ascii="Times New Roman" w:hAnsi="Times New Roman" w:cs="Times New Roman"/>
          <w:color w:val="000000"/>
          <w:sz w:val="24"/>
          <w:szCs w:val="24"/>
          <w:lang w:val="es-PE"/>
        </w:rPr>
      </w:pPr>
      <w:r w:rsidRPr="00EF0B7F">
        <w:rPr>
          <w:rFonts w:ascii="Times New Roman" w:hAnsi="Times New Roman" w:cs="Times New Roman"/>
          <w:i/>
          <w:iCs/>
          <w:color w:val="000000"/>
          <w:sz w:val="24"/>
          <w:szCs w:val="24"/>
          <w:lang w:val="es-PE"/>
        </w:rPr>
        <w:t xml:space="preserve">El Asegurado está obligado a cumplir con las siguientes cargas, además de las ya descritas en este documento con la finalidad que se genere el derecho a la indemnización respectiva: </w:t>
      </w:r>
    </w:p>
    <w:p w14:paraId="4FAAEA29" w14:textId="77777777" w:rsidR="00EF0B7F" w:rsidRPr="00EF0B7F" w:rsidRDefault="00EF0B7F" w:rsidP="00EF0B7F">
      <w:pPr>
        <w:autoSpaceDE w:val="0"/>
        <w:autoSpaceDN w:val="0"/>
        <w:adjustRightInd w:val="0"/>
        <w:ind w:left="708"/>
        <w:rPr>
          <w:rFonts w:ascii="Times New Roman" w:hAnsi="Times New Roman" w:cs="Times New Roman"/>
          <w:color w:val="000000"/>
          <w:sz w:val="24"/>
          <w:szCs w:val="24"/>
          <w:lang w:val="es-PE"/>
        </w:rPr>
      </w:pPr>
      <w:r w:rsidRPr="00EF0B7F">
        <w:rPr>
          <w:rFonts w:ascii="Times New Roman" w:hAnsi="Times New Roman" w:cs="Times New Roman"/>
          <w:i/>
          <w:iCs/>
          <w:color w:val="000000"/>
          <w:sz w:val="24"/>
          <w:szCs w:val="24"/>
          <w:lang w:val="es-PE"/>
        </w:rPr>
        <w:t xml:space="preserve">1. Cumplir con las medidas de seguridad y control que se especifiquen en esta póliza, las mismas que deben mantenerse plenamente operativas durante toda la vigencia del Contrato de Seguro. </w:t>
      </w:r>
    </w:p>
    <w:p w14:paraId="6AE5FD49" w14:textId="77777777" w:rsidR="00EF0B7F" w:rsidRPr="00EF0B7F" w:rsidRDefault="00EF0B7F" w:rsidP="00EF0B7F">
      <w:pPr>
        <w:autoSpaceDE w:val="0"/>
        <w:autoSpaceDN w:val="0"/>
        <w:adjustRightInd w:val="0"/>
        <w:ind w:left="708"/>
        <w:rPr>
          <w:rFonts w:ascii="Times New Roman" w:hAnsi="Times New Roman" w:cs="Times New Roman"/>
          <w:color w:val="000000"/>
          <w:sz w:val="24"/>
          <w:szCs w:val="24"/>
          <w:lang w:val="es-PE"/>
        </w:rPr>
      </w:pPr>
      <w:r w:rsidRPr="00EF0B7F">
        <w:rPr>
          <w:rFonts w:ascii="Times New Roman" w:hAnsi="Times New Roman" w:cs="Times New Roman"/>
          <w:i/>
          <w:iCs/>
          <w:color w:val="000000"/>
          <w:sz w:val="24"/>
          <w:szCs w:val="24"/>
          <w:lang w:val="es-PE"/>
        </w:rPr>
        <w:t xml:space="preserve">2. Realizar todas las acciones necesarias para que el estado del riesgo se mantenga en el nivel que estaba al momento de la celebración del Contrato de Seguro. </w:t>
      </w:r>
    </w:p>
    <w:p w14:paraId="1432C3EC" w14:textId="77777777" w:rsidR="00EF0B7F" w:rsidRPr="00EF0B7F" w:rsidRDefault="00EF0B7F" w:rsidP="00EF0B7F">
      <w:pPr>
        <w:autoSpaceDE w:val="0"/>
        <w:autoSpaceDN w:val="0"/>
        <w:adjustRightInd w:val="0"/>
        <w:ind w:left="708"/>
        <w:rPr>
          <w:rFonts w:ascii="Times New Roman" w:hAnsi="Times New Roman" w:cs="Times New Roman"/>
          <w:color w:val="000000"/>
          <w:sz w:val="24"/>
          <w:szCs w:val="24"/>
          <w:lang w:val="es-PE"/>
        </w:rPr>
      </w:pPr>
      <w:r w:rsidRPr="00EF0B7F">
        <w:rPr>
          <w:rFonts w:ascii="Times New Roman" w:hAnsi="Times New Roman" w:cs="Times New Roman"/>
          <w:i/>
          <w:iCs/>
          <w:color w:val="000000"/>
          <w:sz w:val="24"/>
          <w:szCs w:val="24"/>
          <w:lang w:val="es-PE"/>
        </w:rPr>
        <w:t xml:space="preserve">(…) </w:t>
      </w:r>
    </w:p>
    <w:p w14:paraId="7A92E582" w14:textId="77777777" w:rsidR="00EF0B7F" w:rsidRPr="00EF0B7F" w:rsidRDefault="00EF0B7F" w:rsidP="00EF0B7F">
      <w:pPr>
        <w:autoSpaceDE w:val="0"/>
        <w:autoSpaceDN w:val="0"/>
        <w:adjustRightInd w:val="0"/>
        <w:ind w:left="708"/>
        <w:rPr>
          <w:rFonts w:ascii="Times New Roman" w:hAnsi="Times New Roman" w:cs="Times New Roman"/>
          <w:color w:val="000000"/>
          <w:sz w:val="24"/>
          <w:szCs w:val="24"/>
          <w:lang w:val="es-PE"/>
        </w:rPr>
      </w:pPr>
      <w:r w:rsidRPr="00EF0B7F">
        <w:rPr>
          <w:rFonts w:ascii="Times New Roman" w:hAnsi="Times New Roman" w:cs="Times New Roman"/>
          <w:i/>
          <w:iCs/>
          <w:color w:val="000000"/>
          <w:sz w:val="24"/>
          <w:szCs w:val="24"/>
          <w:lang w:val="es-PE"/>
        </w:rPr>
        <w:t xml:space="preserve">En caso de incumplimiento de </w:t>
      </w:r>
      <w:r w:rsidRPr="00EF0B7F">
        <w:rPr>
          <w:rFonts w:ascii="Times New Roman" w:hAnsi="Times New Roman" w:cs="Times New Roman"/>
          <w:b/>
          <w:bCs/>
          <w:i/>
          <w:iCs/>
          <w:color w:val="000000"/>
          <w:sz w:val="24"/>
          <w:szCs w:val="24"/>
          <w:lang w:val="es-PE"/>
        </w:rPr>
        <w:t xml:space="preserve">cualquiera de las cargas estipuladas en los numerales 1 </w:t>
      </w:r>
      <w:proofErr w:type="gramStart"/>
      <w:r w:rsidRPr="00EF0B7F">
        <w:rPr>
          <w:rFonts w:ascii="Times New Roman" w:hAnsi="Times New Roman" w:cs="Times New Roman"/>
          <w:b/>
          <w:bCs/>
          <w:i/>
          <w:iCs/>
          <w:color w:val="000000"/>
          <w:sz w:val="24"/>
          <w:szCs w:val="24"/>
          <w:lang w:val="es-PE"/>
        </w:rPr>
        <w:t>al 2 precedentes</w:t>
      </w:r>
      <w:proofErr w:type="gramEnd"/>
      <w:r w:rsidRPr="00EF0B7F">
        <w:rPr>
          <w:rFonts w:ascii="Times New Roman" w:hAnsi="Times New Roman" w:cs="Times New Roman"/>
          <w:i/>
          <w:iCs/>
          <w:color w:val="000000"/>
          <w:sz w:val="24"/>
          <w:szCs w:val="24"/>
          <w:lang w:val="es-PE"/>
        </w:rPr>
        <w:t xml:space="preserve">, se pierde todo derecho de indemnización en la medida en que tal incumplimiento haya causado (o contribuido, de alguna manera, a causar y/o agravar) el daño o pérdida. En caso de incumplimiento de lo estipulado en el numeral 3 el ASEGURADO es responsable económicamente ante la COMPAÑÍA hasta por el importe del perjuicio que dicho incumplimiento cause a la COMPANÍA.” </w:t>
      </w:r>
    </w:p>
    <w:p w14:paraId="707BB5F1" w14:textId="77777777" w:rsidR="00EF0B7F" w:rsidRPr="00EF0B7F" w:rsidRDefault="00EF0B7F" w:rsidP="00EF0B7F">
      <w:pPr>
        <w:autoSpaceDE w:val="0"/>
        <w:autoSpaceDN w:val="0"/>
        <w:adjustRightInd w:val="0"/>
        <w:ind w:left="708"/>
        <w:rPr>
          <w:rFonts w:ascii="Times New Roman" w:hAnsi="Times New Roman" w:cs="Times New Roman"/>
          <w:color w:val="000000"/>
          <w:sz w:val="24"/>
          <w:szCs w:val="24"/>
          <w:lang w:val="es-PE"/>
        </w:rPr>
      </w:pPr>
      <w:r w:rsidRPr="00EF0B7F">
        <w:rPr>
          <w:rFonts w:ascii="Times New Roman" w:hAnsi="Times New Roman" w:cs="Times New Roman"/>
          <w:color w:val="000000"/>
          <w:sz w:val="24"/>
          <w:szCs w:val="24"/>
          <w:lang w:val="es-PE"/>
        </w:rPr>
        <w:t xml:space="preserve">[subrayado y agregado es nuestro] </w:t>
      </w:r>
    </w:p>
    <w:p w14:paraId="6D630726" w14:textId="0E90ED6B" w:rsidR="00EF0B7F" w:rsidRPr="00EF0B7F" w:rsidRDefault="00EF0B7F" w:rsidP="00EF0B7F">
      <w:pPr>
        <w:autoSpaceDE w:val="0"/>
        <w:autoSpaceDN w:val="0"/>
        <w:adjustRightInd w:val="0"/>
        <w:ind w:left="708"/>
        <w:rPr>
          <w:rFonts w:ascii="Times New Roman" w:hAnsi="Times New Roman" w:cs="Times New Roman"/>
          <w:i/>
          <w:iCs/>
          <w:color w:val="000000"/>
          <w:sz w:val="24"/>
          <w:szCs w:val="24"/>
          <w:lang w:val="es-PE"/>
        </w:rPr>
      </w:pPr>
      <w:r w:rsidRPr="00EF0B7F">
        <w:rPr>
          <w:rFonts w:ascii="Times New Roman" w:hAnsi="Times New Roman" w:cs="Times New Roman"/>
          <w:i/>
          <w:iCs/>
          <w:color w:val="000000"/>
          <w:sz w:val="24"/>
          <w:szCs w:val="24"/>
          <w:lang w:val="es-PE"/>
        </w:rPr>
        <w:t xml:space="preserve">17. Sin perjuicio de lo antes señalado, en el supuesto negado que de manera equívoca se considerase la denuncia policial como una carga impuesta por la aseguradora, resulta por demás evidente que la presentación de la denuncia policial fuera del plazo señalado en la póliza constituye califica como culpa inexcusable, en la medida que la reclamante fue oportunamente informada sobre las condiciones de la póliza del seguro de protección de tarjetas, por lo que, </w:t>
      </w:r>
      <w:r w:rsidRPr="00EF0B7F">
        <w:rPr>
          <w:rFonts w:ascii="Times New Roman" w:hAnsi="Times New Roman" w:cs="Times New Roman"/>
          <w:b/>
          <w:bCs/>
          <w:i/>
          <w:iCs/>
          <w:color w:val="000000"/>
          <w:sz w:val="24"/>
          <w:szCs w:val="24"/>
          <w:lang w:val="es-PE"/>
        </w:rPr>
        <w:t>tenía pleno conocimiento de que para el otorgamiento de la cobertura le correspondía presentar una copia de la denuncia policial asentada en la Comisaría dentro de las 24 horas de ocurrido el hecho</w:t>
      </w:r>
      <w:r w:rsidRPr="00EF0B7F">
        <w:rPr>
          <w:rFonts w:ascii="Times New Roman" w:hAnsi="Times New Roman" w:cs="Times New Roman"/>
          <w:i/>
          <w:iCs/>
          <w:color w:val="000000"/>
          <w:sz w:val="24"/>
          <w:szCs w:val="24"/>
          <w:lang w:val="es-PE"/>
        </w:rPr>
        <w:t xml:space="preserve">. Sin embargo, pese a ello recién presentó la denuncia policial el 8 de marzo de 2020.” </w:t>
      </w:r>
    </w:p>
    <w:p w14:paraId="6E8E4EB7" w14:textId="68F0EA2D" w:rsidR="00EF0B7F" w:rsidRPr="00EF0B7F" w:rsidRDefault="00EF0B7F" w:rsidP="00EF0B7F">
      <w:pPr>
        <w:autoSpaceDE w:val="0"/>
        <w:autoSpaceDN w:val="0"/>
        <w:adjustRightInd w:val="0"/>
        <w:jc w:val="both"/>
        <w:rPr>
          <w:rFonts w:ascii="Times New Roman" w:hAnsi="Times New Roman" w:cs="Times New Roman"/>
          <w:color w:val="000000"/>
          <w:sz w:val="24"/>
          <w:szCs w:val="24"/>
          <w:lang w:val="es-PE"/>
        </w:rPr>
      </w:pPr>
      <w:r w:rsidRPr="00EF0B7F">
        <w:rPr>
          <w:rFonts w:ascii="Times New Roman" w:hAnsi="Times New Roman" w:cs="Times New Roman"/>
          <w:color w:val="000000"/>
          <w:sz w:val="24"/>
          <w:szCs w:val="24"/>
          <w:lang w:val="es-PE"/>
        </w:rPr>
        <w:t xml:space="preserve">En base a ello, la compañía señala que el deber de realizar la denuncia policial no fue </w:t>
      </w:r>
      <w:proofErr w:type="gramStart"/>
      <w:r w:rsidRPr="00EF0B7F">
        <w:rPr>
          <w:rFonts w:ascii="Times New Roman" w:hAnsi="Times New Roman" w:cs="Times New Roman"/>
          <w:color w:val="000000"/>
          <w:sz w:val="24"/>
          <w:szCs w:val="24"/>
          <w:lang w:val="es-PE"/>
        </w:rPr>
        <w:t>establecida</w:t>
      </w:r>
      <w:proofErr w:type="gramEnd"/>
      <w:r w:rsidRPr="00EF0B7F">
        <w:rPr>
          <w:rFonts w:ascii="Times New Roman" w:hAnsi="Times New Roman" w:cs="Times New Roman"/>
          <w:color w:val="000000"/>
          <w:sz w:val="24"/>
          <w:szCs w:val="24"/>
          <w:lang w:val="es-PE"/>
        </w:rPr>
        <w:t xml:space="preserve"> como carga y que dicha definición y delimitación de cobertura fue debidamente puesta en conocimiento del asegurado, toda vez que obra en el expediente el correo electrónico a través del cual se le remitió dicho certificado de seguro.</w:t>
      </w:r>
    </w:p>
    <w:p w14:paraId="0380DB54" w14:textId="7D54A50C" w:rsidR="00EF0B7F" w:rsidRPr="00EF0B7F" w:rsidRDefault="00EF0B7F" w:rsidP="00EF0B7F">
      <w:pPr>
        <w:autoSpaceDE w:val="0"/>
        <w:autoSpaceDN w:val="0"/>
        <w:adjustRightInd w:val="0"/>
        <w:jc w:val="both"/>
        <w:rPr>
          <w:rFonts w:ascii="Times New Roman" w:hAnsi="Times New Roman" w:cs="Times New Roman"/>
          <w:color w:val="000000"/>
          <w:sz w:val="24"/>
          <w:szCs w:val="24"/>
          <w:lang w:val="es-PE"/>
        </w:rPr>
      </w:pPr>
      <w:r w:rsidRPr="00EF0B7F">
        <w:rPr>
          <w:rFonts w:ascii="Times New Roman" w:hAnsi="Times New Roman" w:cs="Times New Roman"/>
          <w:color w:val="000000"/>
          <w:sz w:val="24"/>
          <w:szCs w:val="24"/>
          <w:lang w:val="es-PE"/>
        </w:rPr>
        <w:t>Este colegiado respeta la opinión y análisis de la aseguradora, pero en definitiva no la comparte por las siguientes razones:</w:t>
      </w:r>
    </w:p>
    <w:p w14:paraId="51BCD819" w14:textId="77777777" w:rsidR="00EF0B7F" w:rsidRPr="00EF0B7F" w:rsidRDefault="00EF0B7F" w:rsidP="00EF0B7F">
      <w:pPr>
        <w:autoSpaceDE w:val="0"/>
        <w:autoSpaceDN w:val="0"/>
        <w:adjustRightInd w:val="0"/>
        <w:jc w:val="both"/>
        <w:rPr>
          <w:rFonts w:ascii="Times New Roman" w:hAnsi="Times New Roman" w:cs="Times New Roman"/>
          <w:color w:val="000000"/>
          <w:sz w:val="24"/>
          <w:szCs w:val="24"/>
          <w:lang w:val="es-PE"/>
        </w:rPr>
      </w:pPr>
      <w:r w:rsidRPr="00EF0B7F">
        <w:rPr>
          <w:rFonts w:ascii="Times New Roman" w:hAnsi="Times New Roman" w:cs="Times New Roman"/>
          <w:color w:val="000000"/>
          <w:sz w:val="24"/>
          <w:szCs w:val="24"/>
          <w:lang w:val="es-PE"/>
        </w:rPr>
        <w:t xml:space="preserve">La delimitación positiva consiste en la individualización del riesgo, esto es el evento dañoso. Según la definición del Diccionario de MAPFRE, el riesgo importa un acontecimiento fruto del azar que produce un daño. "En la terminología aseguradora, se emplea este concepto para expresar indistintamente dos ideas diferentes: de un lado, riesgo como objeto asegurado; de otro, riesgo como posible ocurrencia por azar de un acontecimiento que produce una necesidad económica y cuya aparición real o existencia se previene y garantiza en la póliza y obliga al asegurador a efectuar la prestación, normalmente indemnización, que le corresponde. Este </w:t>
      </w:r>
      <w:r w:rsidRPr="00EF0B7F">
        <w:rPr>
          <w:rFonts w:ascii="Times New Roman" w:hAnsi="Times New Roman" w:cs="Times New Roman"/>
          <w:color w:val="000000"/>
          <w:sz w:val="24"/>
          <w:szCs w:val="24"/>
          <w:lang w:val="es-PE"/>
        </w:rPr>
        <w:lastRenderedPageBreak/>
        <w:t>último criterio es el técnicamente correcto, y en tal sentido se habla del riesgo de incendio o muerte para aludir a la posibilidad de que el objeto o persona asegurados sufran un daño material o fallecimiento, respectivamente; o se habla de riesgos de mayor o menor gravedad, para referirse a la probabilidad más o menos grande de que el siniestro pueda ocurrir"</w:t>
      </w:r>
    </w:p>
    <w:p w14:paraId="03E3D80C" w14:textId="77777777" w:rsidR="00EF0B7F" w:rsidRDefault="00EF0B7F" w:rsidP="00EF0B7F">
      <w:pPr>
        <w:autoSpaceDE w:val="0"/>
        <w:autoSpaceDN w:val="0"/>
        <w:adjustRightInd w:val="0"/>
        <w:jc w:val="both"/>
        <w:rPr>
          <w:rFonts w:ascii="Times New Roman" w:hAnsi="Times New Roman" w:cs="Times New Roman"/>
          <w:color w:val="000000"/>
          <w:sz w:val="24"/>
          <w:szCs w:val="24"/>
          <w:lang w:val="es-PE"/>
        </w:rPr>
      </w:pPr>
      <w:r w:rsidRPr="00EF0B7F">
        <w:rPr>
          <w:rFonts w:ascii="Times New Roman" w:hAnsi="Times New Roman" w:cs="Times New Roman"/>
          <w:color w:val="000000"/>
          <w:sz w:val="24"/>
          <w:szCs w:val="24"/>
          <w:lang w:val="es-PE"/>
        </w:rPr>
        <w:br/>
        <w:t>La denuncia policial no es un evento fruto del azar, sino un deber que se le impone al asegurado como condición para que la aseguradora indemnice. Dicha conducta no puede ser parte de una identificación de un evento o acontecimiento dañoso. En este caso el evento fortuito producto del azar, es el consumo indebido producto del secuestro, hurto, robo o extravío en cajeros o establecimientos comerciales, siendo la denuncia y bloqueo actos posteriores a la consumación del siniestro.</w:t>
      </w:r>
    </w:p>
    <w:p w14:paraId="0F7F7350" w14:textId="04491CD5" w:rsidR="00EF0B7F" w:rsidRPr="00EF0B7F" w:rsidRDefault="00EF0B7F" w:rsidP="00EF0B7F">
      <w:pPr>
        <w:autoSpaceDE w:val="0"/>
        <w:autoSpaceDN w:val="0"/>
        <w:adjustRightInd w:val="0"/>
        <w:jc w:val="both"/>
        <w:rPr>
          <w:rFonts w:ascii="Times New Roman" w:hAnsi="Times New Roman" w:cs="Times New Roman"/>
          <w:color w:val="000000"/>
          <w:sz w:val="24"/>
          <w:szCs w:val="24"/>
          <w:lang w:val="es-PE"/>
        </w:rPr>
      </w:pPr>
      <w:r w:rsidRPr="00EF0B7F">
        <w:rPr>
          <w:rFonts w:ascii="Times New Roman" w:hAnsi="Times New Roman" w:cs="Times New Roman"/>
          <w:color w:val="000000"/>
          <w:sz w:val="24"/>
          <w:szCs w:val="24"/>
          <w:lang w:val="es-PE"/>
        </w:rPr>
        <w:br/>
        <w:t xml:space="preserve">De lo contrario, sería muy fácil para una aseguradora, redactar las cargas añadiendo un “siempre que” a la delimitación del riesgo asegurado (evento incierto), para considerarlas “condiciones de cobertura” y eludir de esa manera las condiciones que deben cumplir las cargas </w:t>
      </w:r>
      <w:proofErr w:type="gramStart"/>
      <w:r w:rsidRPr="00EF0B7F">
        <w:rPr>
          <w:rFonts w:ascii="Times New Roman" w:hAnsi="Times New Roman" w:cs="Times New Roman"/>
          <w:color w:val="000000"/>
          <w:sz w:val="24"/>
          <w:szCs w:val="24"/>
          <w:lang w:val="es-PE"/>
        </w:rPr>
        <w:t>de acuerdo a</w:t>
      </w:r>
      <w:proofErr w:type="gramEnd"/>
      <w:r w:rsidRPr="00EF0B7F">
        <w:rPr>
          <w:rFonts w:ascii="Times New Roman" w:hAnsi="Times New Roman" w:cs="Times New Roman"/>
          <w:color w:val="000000"/>
          <w:sz w:val="24"/>
          <w:szCs w:val="24"/>
          <w:lang w:val="es-PE"/>
        </w:rPr>
        <w:t xml:space="preserve"> lo establecido en la ley del contrato de seguro.</w:t>
      </w:r>
    </w:p>
    <w:p w14:paraId="2B998D2C" w14:textId="5C829679" w:rsidR="00EF0B7F" w:rsidRPr="00EF0B7F" w:rsidRDefault="00EF0B7F" w:rsidP="00EF0B7F">
      <w:pPr>
        <w:autoSpaceDE w:val="0"/>
        <w:autoSpaceDN w:val="0"/>
        <w:adjustRightInd w:val="0"/>
        <w:jc w:val="both"/>
        <w:rPr>
          <w:rFonts w:ascii="Times New Roman" w:hAnsi="Times New Roman" w:cs="Times New Roman"/>
          <w:color w:val="000000"/>
          <w:sz w:val="24"/>
          <w:szCs w:val="24"/>
          <w:lang w:val="es-PE"/>
        </w:rPr>
      </w:pPr>
      <w:r w:rsidRPr="00EF0B7F">
        <w:rPr>
          <w:rFonts w:ascii="Times New Roman" w:hAnsi="Times New Roman" w:cs="Times New Roman"/>
          <w:color w:val="000000"/>
          <w:sz w:val="24"/>
          <w:szCs w:val="24"/>
          <w:lang w:val="es-PE"/>
        </w:rPr>
        <w:t xml:space="preserve">Dicho en otras palabras, el supuesto de incumplimiento del requisito de denuncia no es una delimitación del riesgo, el riesgo es el evento fruto del azar que se produce y que pude ser delimitado como en este caso ocurre al señalar que debe tratarse de consumos indebidos en cajeros o establecimientos comerciales, pero no puede considerarse que </w:t>
      </w:r>
      <w:proofErr w:type="gramStart"/>
      <w:r w:rsidRPr="00EF0B7F">
        <w:rPr>
          <w:rFonts w:ascii="Times New Roman" w:hAnsi="Times New Roman" w:cs="Times New Roman"/>
          <w:color w:val="000000"/>
          <w:sz w:val="24"/>
          <w:szCs w:val="24"/>
          <w:lang w:val="es-PE"/>
        </w:rPr>
        <w:t>una delimitación constituyen</w:t>
      </w:r>
      <w:proofErr w:type="gramEnd"/>
      <w:r w:rsidRPr="00EF0B7F">
        <w:rPr>
          <w:rFonts w:ascii="Times New Roman" w:hAnsi="Times New Roman" w:cs="Times New Roman"/>
          <w:color w:val="000000"/>
          <w:sz w:val="24"/>
          <w:szCs w:val="24"/>
          <w:lang w:val="es-PE"/>
        </w:rPr>
        <w:t xml:space="preserve"> los actos posteriores al siniestro que debe realizar el asegurado. Las cargas son deberes que se imponen al asegurado antes o después del siniestro, pudiendo establecerse sanciones ante su incumplimiento por el perjuicio que </w:t>
      </w:r>
      <w:proofErr w:type="gramStart"/>
      <w:r w:rsidRPr="00EF0B7F">
        <w:rPr>
          <w:rFonts w:ascii="Times New Roman" w:hAnsi="Times New Roman" w:cs="Times New Roman"/>
          <w:color w:val="000000"/>
          <w:sz w:val="24"/>
          <w:szCs w:val="24"/>
          <w:lang w:val="es-PE"/>
        </w:rPr>
        <w:t>el incumplimiento de dichas cargas suponen</w:t>
      </w:r>
      <w:proofErr w:type="gramEnd"/>
      <w:r w:rsidRPr="00EF0B7F">
        <w:rPr>
          <w:rFonts w:ascii="Times New Roman" w:hAnsi="Times New Roman" w:cs="Times New Roman"/>
          <w:color w:val="000000"/>
          <w:sz w:val="24"/>
          <w:szCs w:val="24"/>
          <w:lang w:val="es-PE"/>
        </w:rPr>
        <w:t xml:space="preserve"> para el asegurador, así puede establecerse que asegurado pierde su derecho a reclamar la prestación al no cumplir la carga. El derecho a la prestación de la </w:t>
      </w:r>
      <w:proofErr w:type="gramStart"/>
      <w:r w:rsidRPr="00EF0B7F">
        <w:rPr>
          <w:rFonts w:ascii="Times New Roman" w:hAnsi="Times New Roman" w:cs="Times New Roman"/>
          <w:color w:val="000000"/>
          <w:sz w:val="24"/>
          <w:szCs w:val="24"/>
          <w:lang w:val="es-PE"/>
        </w:rPr>
        <w:t>indemnización,</w:t>
      </w:r>
      <w:proofErr w:type="gramEnd"/>
      <w:r w:rsidRPr="00EF0B7F">
        <w:rPr>
          <w:rFonts w:ascii="Times New Roman" w:hAnsi="Times New Roman" w:cs="Times New Roman"/>
          <w:color w:val="000000"/>
          <w:sz w:val="24"/>
          <w:szCs w:val="24"/>
          <w:lang w:val="es-PE"/>
        </w:rPr>
        <w:t xml:space="preserve"> nace con la ocurrencia del riesgo, no cuando se hace la denuncia policial, el derecho nace desde que se materializa el riesgo y se pierde cuando no se cumple con la conducta que debe desplegar el asegurado.</w:t>
      </w:r>
    </w:p>
    <w:p w14:paraId="1B4FE481" w14:textId="5EF43FB9" w:rsidR="00EF0B7F" w:rsidRPr="00EF0B7F" w:rsidRDefault="00EF0B7F" w:rsidP="00EF0B7F">
      <w:pPr>
        <w:autoSpaceDE w:val="0"/>
        <w:autoSpaceDN w:val="0"/>
        <w:adjustRightInd w:val="0"/>
        <w:jc w:val="both"/>
        <w:rPr>
          <w:rFonts w:ascii="Times New Roman" w:hAnsi="Times New Roman" w:cs="Times New Roman"/>
          <w:color w:val="000000"/>
          <w:sz w:val="24"/>
          <w:szCs w:val="24"/>
          <w:lang w:val="es-PE"/>
        </w:rPr>
      </w:pPr>
      <w:proofErr w:type="gramStart"/>
      <w:r w:rsidRPr="00EF0B7F">
        <w:rPr>
          <w:rFonts w:ascii="Times New Roman" w:hAnsi="Times New Roman" w:cs="Times New Roman"/>
          <w:color w:val="000000"/>
          <w:sz w:val="24"/>
          <w:szCs w:val="24"/>
          <w:lang w:val="es-PE"/>
        </w:rPr>
        <w:t>En virtud a</w:t>
      </w:r>
      <w:proofErr w:type="gramEnd"/>
      <w:r w:rsidRPr="00EF0B7F">
        <w:rPr>
          <w:rFonts w:ascii="Times New Roman" w:hAnsi="Times New Roman" w:cs="Times New Roman"/>
          <w:color w:val="000000"/>
          <w:sz w:val="24"/>
          <w:szCs w:val="24"/>
          <w:lang w:val="es-PE"/>
        </w:rPr>
        <w:t xml:space="preserve"> ello, la denuncia policial sí constituye una carga, independientemente de la denominación que pretenda darle la aseguradora, porque resolviendo en derecho, la naturaleza de las cosas se define por su contenido, no por la denominación, y no por literalidad.  La aprobación de las condiciones mínimas y registro de la póliza por parte de la Superintendencia de Banca, Seguros y AFP (SBS), no impide que esta Defensoría autorizada a resolver un conflicto con arreglo a derecho, lo haga aplicando no solo las normas legales sino además las condiciones contractuales correspondientes, interpretándolas de ser el caso, aplicación que se extiende a aplicar nociones jurídicas, y en caso de duda, a interpretar conforme lo establece la ley del contrato de seguro a favor del asegurado. Mas aun considerando que la propia resolución emitida por la SBS (Resolución SBS 1477-2019) señale lo siguiente dentro de sus considerandos:</w:t>
      </w:r>
    </w:p>
    <w:p w14:paraId="43D1DB0C" w14:textId="341684DF" w:rsidR="00EF0B7F" w:rsidRPr="00EF0B7F" w:rsidRDefault="00EF0B7F" w:rsidP="00EF0B7F">
      <w:pPr>
        <w:autoSpaceDE w:val="0"/>
        <w:autoSpaceDN w:val="0"/>
        <w:adjustRightInd w:val="0"/>
        <w:jc w:val="both"/>
        <w:rPr>
          <w:rFonts w:ascii="Times New Roman" w:hAnsi="Times New Roman" w:cs="Times New Roman"/>
          <w:color w:val="000000"/>
          <w:sz w:val="24"/>
          <w:szCs w:val="24"/>
          <w:lang w:val="es-PE"/>
        </w:rPr>
      </w:pPr>
      <w:r w:rsidRPr="00EF0B7F">
        <w:rPr>
          <w:rFonts w:ascii="Times New Roman" w:hAnsi="Times New Roman" w:cs="Times New Roman"/>
          <w:noProof/>
          <w:color w:val="000000"/>
          <w:sz w:val="24"/>
          <w:szCs w:val="24"/>
          <w:lang w:val="es-PE"/>
        </w:rPr>
        <w:lastRenderedPageBreak/>
        <w:drawing>
          <wp:inline distT="0" distB="0" distL="0" distR="0" wp14:anchorId="1BF69A74" wp14:editId="5E90031E">
            <wp:extent cx="5612130" cy="1111885"/>
            <wp:effectExtent l="0" t="0" r="762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12130" cy="1111885"/>
                    </a:xfrm>
                    <a:prstGeom prst="rect">
                      <a:avLst/>
                    </a:prstGeom>
                    <a:noFill/>
                    <a:ln>
                      <a:noFill/>
                    </a:ln>
                  </pic:spPr>
                </pic:pic>
              </a:graphicData>
            </a:graphic>
          </wp:inline>
        </w:drawing>
      </w:r>
    </w:p>
    <w:p w14:paraId="30EEA6A6" w14:textId="0C124610" w:rsidR="00EF0B7F" w:rsidRPr="00EF0B7F" w:rsidRDefault="00EF0B7F" w:rsidP="00EF0B7F">
      <w:pPr>
        <w:autoSpaceDE w:val="0"/>
        <w:autoSpaceDN w:val="0"/>
        <w:adjustRightInd w:val="0"/>
        <w:jc w:val="both"/>
        <w:rPr>
          <w:rFonts w:ascii="Times New Roman" w:hAnsi="Times New Roman" w:cs="Times New Roman"/>
          <w:color w:val="000000"/>
          <w:sz w:val="24"/>
          <w:szCs w:val="24"/>
          <w:lang w:val="es-PE"/>
        </w:rPr>
      </w:pPr>
      <w:r w:rsidRPr="00EF0B7F">
        <w:rPr>
          <w:rFonts w:ascii="Times New Roman" w:hAnsi="Times New Roman" w:cs="Times New Roman"/>
          <w:color w:val="000000"/>
          <w:sz w:val="24"/>
          <w:szCs w:val="24"/>
          <w:lang w:val="es-PE"/>
        </w:rPr>
        <w:t>Ahora bien, la propia aseguradora señala que dicho deber (realizar la denuncia policial), no fue incluido dentro de las cargas previstas por la póliza, sancionadas con la pérdida del derecho indemnizatorio ante su incumplimiento, no obstante, este colegiado considera que en la medida que la redacción del riesgo asegurado señala que para obtener la cobertura se requiere necesariamente haber realizado la denuncia policial, ello se entiende como una carga cuyo incumplimiento libera a la aseguradora de su obligación. Asimismo, y en tanto carga, no basta que se verifique el incumplimiento para que la aseguradora quede liberada, sino que además ésta debe observar los requisitos previstos en la ley los cuales fueron mencionados en la resolución impugnada.</w:t>
      </w:r>
    </w:p>
    <w:p w14:paraId="44DD409A" w14:textId="77777777" w:rsidR="003F7F58" w:rsidRDefault="00EF0B7F" w:rsidP="00EF0B7F">
      <w:pPr>
        <w:autoSpaceDE w:val="0"/>
        <w:autoSpaceDN w:val="0"/>
        <w:adjustRightInd w:val="0"/>
        <w:jc w:val="both"/>
        <w:rPr>
          <w:rFonts w:ascii="Times New Roman" w:hAnsi="Times New Roman" w:cs="Times New Roman"/>
          <w:color w:val="000000"/>
          <w:sz w:val="24"/>
          <w:szCs w:val="24"/>
          <w:lang w:val="es-PE"/>
        </w:rPr>
      </w:pPr>
      <w:r w:rsidRPr="00EF0B7F">
        <w:rPr>
          <w:rFonts w:ascii="Times New Roman" w:hAnsi="Times New Roman" w:cs="Times New Roman"/>
          <w:color w:val="000000"/>
          <w:sz w:val="24"/>
          <w:szCs w:val="24"/>
          <w:lang w:val="es-PE"/>
        </w:rPr>
        <w:t xml:space="preserve">Sobre este aspecto, el recurso impugnativo señala que el incumplimiento en realizar la denuncia policial se habría realizado con culpa inexcusable por cuanto en la póliza se estableció dicha obligación, considerando insuficiente el que la reclamante haya indicado que no pudo realizar la denuncia dentro del plazo porque la comisaria de San Bartolo le indicó acudir después. </w:t>
      </w:r>
    </w:p>
    <w:p w14:paraId="02F0378E" w14:textId="37E770C0" w:rsidR="00EF0B7F" w:rsidRPr="00EF0B7F" w:rsidRDefault="00EF0B7F" w:rsidP="00EF0B7F">
      <w:pPr>
        <w:autoSpaceDE w:val="0"/>
        <w:autoSpaceDN w:val="0"/>
        <w:adjustRightInd w:val="0"/>
        <w:jc w:val="both"/>
        <w:rPr>
          <w:rFonts w:ascii="Times New Roman" w:hAnsi="Times New Roman" w:cs="Times New Roman"/>
          <w:color w:val="000000"/>
          <w:sz w:val="24"/>
          <w:szCs w:val="24"/>
          <w:lang w:val="es-PE"/>
        </w:rPr>
      </w:pPr>
      <w:proofErr w:type="gramStart"/>
      <w:r w:rsidRPr="00EF0B7F">
        <w:rPr>
          <w:rFonts w:ascii="Times New Roman" w:hAnsi="Times New Roman" w:cs="Times New Roman"/>
          <w:color w:val="000000"/>
          <w:sz w:val="24"/>
          <w:szCs w:val="24"/>
          <w:lang w:val="es-PE"/>
        </w:rPr>
        <w:t>Asimismo</w:t>
      </w:r>
      <w:proofErr w:type="gramEnd"/>
      <w:r w:rsidRPr="00EF0B7F">
        <w:rPr>
          <w:rFonts w:ascii="Times New Roman" w:hAnsi="Times New Roman" w:cs="Times New Roman"/>
          <w:color w:val="000000"/>
          <w:sz w:val="24"/>
          <w:szCs w:val="24"/>
          <w:lang w:val="es-PE"/>
        </w:rPr>
        <w:t xml:space="preserve"> añade, que dicho hecho sí le generó un perjuicio, pues existen exclusiones que podrían haber sido invocadas según la evidencia que hubiera sido recogida por la PNP, lo que no pudo darse por la demora en la denuncia. Dichas afirmaciones constituyen en opinión de esta Defensoría, especulaciones, más no hechos ciertos ni indicios razonables de cómo la demora en la denuncia policial del hurto ha perjudicado a la aseguradora, pues es conocido que en la gran mayoría de estos eventos la policía no puede desplegar mayores acciones (no se puede identificar a los autores, etc.) siendo que la denuncia funciona más como una constancia del hecho ante la autoridad competente que como un evento que permita desplegar toda una acción investigatoria por parte de las autoridades; lo que sería distinto si la forma cómo se realiza el acto delictivo pudiera dar mayores luces de cómo ocurrió, información que no se tiene ni se ha expuesto en este caso. De otro lado, la aseguradora considera que la DEFASEG está extralimitando sus facultades al ir en contra de una estipulación expresa en el contrato que solo exige la verificación del incumplimiento del deber. Dicha apreciación no es compartida por este colegiado, pues justamente la ley al establecer las condiciones que deben cumplir las “cargas post siniestro” para que liberen a la aseguradora de su obligación, lo que hace es determinar que no es suficiente que estas hayan sido pactadas para que el asegurador se libere, sino </w:t>
      </w:r>
      <w:proofErr w:type="gramStart"/>
      <w:r w:rsidRPr="00EF0B7F">
        <w:rPr>
          <w:rFonts w:ascii="Times New Roman" w:hAnsi="Times New Roman" w:cs="Times New Roman"/>
          <w:color w:val="000000"/>
          <w:sz w:val="24"/>
          <w:szCs w:val="24"/>
          <w:lang w:val="es-PE"/>
        </w:rPr>
        <w:t>que</w:t>
      </w:r>
      <w:proofErr w:type="gramEnd"/>
      <w:r w:rsidRPr="00EF0B7F">
        <w:rPr>
          <w:rFonts w:ascii="Times New Roman" w:hAnsi="Times New Roman" w:cs="Times New Roman"/>
          <w:color w:val="000000"/>
          <w:sz w:val="24"/>
          <w:szCs w:val="24"/>
          <w:lang w:val="es-PE"/>
        </w:rPr>
        <w:t xml:space="preserve"> además -reiteramos- deben observar los supuestos que la propia ley del contrato de seguros establece y que fue analizado en la resolución recurrida.</w:t>
      </w:r>
    </w:p>
    <w:p w14:paraId="31331D3F" w14:textId="0077B9B0" w:rsidR="00EF0B7F" w:rsidRPr="00EF0B7F" w:rsidRDefault="00EF0B7F" w:rsidP="00EF0B7F">
      <w:pPr>
        <w:jc w:val="both"/>
        <w:rPr>
          <w:rFonts w:ascii="Times New Roman" w:hAnsi="Times New Roman" w:cs="Times New Roman"/>
          <w:bCs/>
          <w:sz w:val="24"/>
          <w:szCs w:val="24"/>
          <w:lang w:val="es-PE"/>
        </w:rPr>
      </w:pPr>
      <w:r w:rsidRPr="00EF0B7F">
        <w:rPr>
          <w:rFonts w:ascii="Times New Roman" w:hAnsi="Times New Roman" w:cs="Times New Roman"/>
          <w:bCs/>
          <w:sz w:val="24"/>
          <w:szCs w:val="24"/>
          <w:lang w:val="es-PE"/>
        </w:rPr>
        <w:t xml:space="preserve">En virtud a lo expuesto, este colegiado considera que no se han expuesto argumentos suficientes que permitan concluir que no estamos ante una carga contractual; </w:t>
      </w:r>
      <w:proofErr w:type="gramStart"/>
      <w:r w:rsidRPr="00EF0B7F">
        <w:rPr>
          <w:rFonts w:ascii="Times New Roman" w:hAnsi="Times New Roman" w:cs="Times New Roman"/>
          <w:bCs/>
          <w:sz w:val="24"/>
          <w:szCs w:val="24"/>
          <w:lang w:val="es-PE"/>
        </w:rPr>
        <w:t>y</w:t>
      </w:r>
      <w:proofErr w:type="gramEnd"/>
      <w:r w:rsidRPr="00EF0B7F">
        <w:rPr>
          <w:rFonts w:ascii="Times New Roman" w:hAnsi="Times New Roman" w:cs="Times New Roman"/>
          <w:bCs/>
          <w:sz w:val="24"/>
          <w:szCs w:val="24"/>
          <w:lang w:val="es-PE"/>
        </w:rPr>
        <w:t xml:space="preserve"> en consecuencia, el recurso impugnativo interpuesto puede ser categorizado, por su contenido mismo, como una solicitud de revisión general, sustentado en el muy respetable criterio de la reclamante que este colegiado finalmente no comparte.</w:t>
      </w:r>
    </w:p>
    <w:p w14:paraId="41F9360B" w14:textId="024DDF2F" w:rsidR="00EF0B7F" w:rsidRPr="00EF0B7F" w:rsidRDefault="00EF0B7F" w:rsidP="00EF0B7F">
      <w:pPr>
        <w:jc w:val="both"/>
        <w:rPr>
          <w:rFonts w:ascii="Times New Roman" w:hAnsi="Times New Roman" w:cs="Times New Roman"/>
          <w:b/>
          <w:sz w:val="24"/>
          <w:szCs w:val="24"/>
          <w:lang w:val="es-PE"/>
        </w:rPr>
      </w:pPr>
      <w:r w:rsidRPr="00EF0B7F">
        <w:rPr>
          <w:rFonts w:ascii="Times New Roman" w:hAnsi="Times New Roman" w:cs="Times New Roman"/>
          <w:b/>
          <w:sz w:val="24"/>
          <w:szCs w:val="24"/>
          <w:lang w:val="es-PE"/>
        </w:rPr>
        <w:lastRenderedPageBreak/>
        <w:t>Atendiendo a lo expresado, conforme a su Reglamento, este colegiado resuelve:</w:t>
      </w:r>
    </w:p>
    <w:p w14:paraId="109B240F" w14:textId="09021FE7" w:rsidR="00EF0B7F" w:rsidRPr="00EF0B7F" w:rsidRDefault="00EF0B7F" w:rsidP="00EF0B7F">
      <w:pPr>
        <w:jc w:val="both"/>
        <w:rPr>
          <w:rFonts w:ascii="Times New Roman" w:hAnsi="Times New Roman" w:cs="Times New Roman"/>
          <w:color w:val="000000"/>
          <w:sz w:val="24"/>
          <w:szCs w:val="24"/>
          <w:lang w:val="es-PE"/>
        </w:rPr>
      </w:pPr>
      <w:r w:rsidRPr="00EF0B7F">
        <w:rPr>
          <w:rFonts w:ascii="Times New Roman" w:eastAsia="Arial Unicode MS" w:hAnsi="Times New Roman" w:cs="Times New Roman"/>
          <w:bCs/>
          <w:sz w:val="24"/>
          <w:szCs w:val="24"/>
          <w:lang w:val="es-PE"/>
        </w:rPr>
        <w:t xml:space="preserve">Declarar </w:t>
      </w:r>
      <w:r w:rsidRPr="00EF0B7F">
        <w:rPr>
          <w:rFonts w:ascii="Times New Roman" w:eastAsia="Arial Unicode MS" w:hAnsi="Times New Roman" w:cs="Times New Roman"/>
          <w:b/>
          <w:sz w:val="24"/>
          <w:szCs w:val="24"/>
          <w:lang w:val="es-PE"/>
        </w:rPr>
        <w:t xml:space="preserve">INFUNDADO </w:t>
      </w:r>
      <w:r w:rsidRPr="00EF0B7F">
        <w:rPr>
          <w:rFonts w:ascii="Times New Roman" w:eastAsia="Arial Unicode MS" w:hAnsi="Times New Roman" w:cs="Times New Roman"/>
          <w:bCs/>
          <w:sz w:val="24"/>
          <w:szCs w:val="24"/>
          <w:lang w:val="es-PE"/>
        </w:rPr>
        <w:t xml:space="preserve">el recurso de impugnación interpuesto por </w:t>
      </w:r>
      <w:r w:rsidR="003F7F58">
        <w:rPr>
          <w:rFonts w:ascii="Arial" w:hAnsi="Arial" w:cs="Arial"/>
          <w:sz w:val="24"/>
          <w:szCs w:val="24"/>
          <w:lang w:val="es-PE"/>
        </w:rPr>
        <w:t>...................</w:t>
      </w:r>
      <w:r w:rsidR="003F7F58">
        <w:rPr>
          <w:rFonts w:ascii="Arial" w:hAnsi="Arial" w:cs="Arial"/>
          <w:sz w:val="24"/>
          <w:szCs w:val="24"/>
          <w:lang w:val="es-PE"/>
        </w:rPr>
        <w:t xml:space="preserve"> </w:t>
      </w:r>
      <w:r w:rsidRPr="00EF0B7F">
        <w:rPr>
          <w:rFonts w:ascii="Times New Roman" w:eastAsia="Arial Unicode MS" w:hAnsi="Times New Roman" w:cs="Times New Roman"/>
          <w:bCs/>
          <w:sz w:val="24"/>
          <w:szCs w:val="24"/>
          <w:lang w:val="es-PE"/>
        </w:rPr>
        <w:t xml:space="preserve">y por consiguiente, confirmar la Resolución </w:t>
      </w:r>
      <w:proofErr w:type="spellStart"/>
      <w:r w:rsidRPr="00EF0B7F">
        <w:rPr>
          <w:rFonts w:ascii="Times New Roman" w:eastAsia="Arial Unicode MS" w:hAnsi="Times New Roman" w:cs="Times New Roman"/>
          <w:bCs/>
          <w:sz w:val="24"/>
          <w:szCs w:val="24"/>
          <w:lang w:val="es-PE"/>
        </w:rPr>
        <w:t>Nº</w:t>
      </w:r>
      <w:proofErr w:type="spellEnd"/>
      <w:r w:rsidRPr="00EF0B7F">
        <w:rPr>
          <w:rFonts w:ascii="Times New Roman" w:eastAsia="Arial Unicode MS" w:hAnsi="Times New Roman" w:cs="Times New Roman"/>
          <w:bCs/>
          <w:sz w:val="24"/>
          <w:szCs w:val="24"/>
          <w:lang w:val="es-PE"/>
        </w:rPr>
        <w:t xml:space="preserve"> </w:t>
      </w:r>
      <w:r w:rsidRPr="00EF0B7F">
        <w:rPr>
          <w:rFonts w:ascii="Times New Roman" w:hAnsi="Times New Roman" w:cs="Times New Roman"/>
          <w:bCs/>
          <w:sz w:val="24"/>
          <w:szCs w:val="24"/>
          <w:lang w:val="es-PE"/>
        </w:rPr>
        <w:t>059/21 de fecha 24 de mayo de 2021 que</w:t>
      </w:r>
      <w:r w:rsidRPr="00EF0B7F">
        <w:rPr>
          <w:rFonts w:ascii="Times New Roman" w:hAnsi="Times New Roman" w:cs="Times New Roman"/>
          <w:color w:val="000000"/>
          <w:sz w:val="24"/>
          <w:szCs w:val="24"/>
          <w:lang w:val="es-PE"/>
        </w:rPr>
        <w:t xml:space="preserve"> declaró fundada la reclamación interpuesta por </w:t>
      </w:r>
      <w:r w:rsidR="003F7F58">
        <w:rPr>
          <w:rFonts w:ascii="Arial" w:hAnsi="Arial" w:cs="Arial"/>
          <w:sz w:val="24"/>
          <w:szCs w:val="24"/>
          <w:lang w:val="es-PE"/>
        </w:rPr>
        <w:t>...................</w:t>
      </w:r>
      <w:r w:rsidRPr="00EF0B7F">
        <w:rPr>
          <w:rFonts w:ascii="Times New Roman" w:hAnsi="Times New Roman" w:cs="Times New Roman"/>
          <w:color w:val="000000"/>
          <w:sz w:val="24"/>
          <w:szCs w:val="24"/>
          <w:lang w:val="es-PE"/>
        </w:rPr>
        <w:t xml:space="preserve">.  </w:t>
      </w:r>
    </w:p>
    <w:p w14:paraId="6DACE05B" w14:textId="77777777" w:rsidR="00217715" w:rsidRPr="00EF0B7F" w:rsidRDefault="00217715" w:rsidP="00217715">
      <w:pPr>
        <w:spacing w:after="0" w:line="240" w:lineRule="auto"/>
        <w:jc w:val="both"/>
        <w:rPr>
          <w:rFonts w:ascii="Times New Roman" w:eastAsia="Times New Roman" w:hAnsi="Times New Roman" w:cs="Times New Roman"/>
          <w:sz w:val="24"/>
          <w:szCs w:val="24"/>
          <w:lang w:val="es-PE" w:eastAsia="ar-SA"/>
        </w:rPr>
      </w:pPr>
    </w:p>
    <w:p w14:paraId="489525D7" w14:textId="77777777" w:rsidR="005E398E" w:rsidRPr="00EF0B7F" w:rsidRDefault="005E398E" w:rsidP="00CF69DD">
      <w:pPr>
        <w:suppressAutoHyphens/>
        <w:spacing w:after="0" w:line="240" w:lineRule="auto"/>
        <w:outlineLvl w:val="0"/>
        <w:rPr>
          <w:rFonts w:ascii="Times New Roman" w:eastAsia="Arial Unicode MS" w:hAnsi="Times New Roman" w:cs="Times New Roman"/>
          <w:bCs/>
          <w:sz w:val="24"/>
          <w:szCs w:val="24"/>
          <w:lang w:val="es-PE"/>
        </w:rPr>
      </w:pPr>
    </w:p>
    <w:p w14:paraId="486C3F46" w14:textId="0A68D88A" w:rsidR="00C671F5" w:rsidRPr="00EF0B7F" w:rsidRDefault="0091528B" w:rsidP="005E398E">
      <w:pPr>
        <w:suppressAutoHyphens/>
        <w:spacing w:after="0" w:line="240" w:lineRule="auto"/>
        <w:jc w:val="right"/>
        <w:outlineLvl w:val="0"/>
        <w:rPr>
          <w:rFonts w:ascii="Times New Roman" w:eastAsia="Arial Unicode MS" w:hAnsi="Times New Roman" w:cs="Times New Roman"/>
          <w:sz w:val="24"/>
          <w:szCs w:val="24"/>
          <w:lang w:val="es-PE" w:eastAsia="ar-SA"/>
        </w:rPr>
      </w:pPr>
      <w:r w:rsidRPr="00EF0B7F">
        <w:rPr>
          <w:rFonts w:ascii="Times New Roman" w:eastAsia="Arial Unicode MS" w:hAnsi="Times New Roman" w:cs="Times New Roman"/>
          <w:sz w:val="24"/>
          <w:szCs w:val="24"/>
          <w:lang w:val="es-PE" w:eastAsia="ar-SA"/>
        </w:rPr>
        <w:t xml:space="preserve">Lima, </w:t>
      </w:r>
      <w:r w:rsidR="00EF0B7F" w:rsidRPr="00EF0B7F">
        <w:rPr>
          <w:rFonts w:ascii="Times New Roman" w:eastAsia="Arial Unicode MS" w:hAnsi="Times New Roman" w:cs="Times New Roman"/>
          <w:sz w:val="24"/>
          <w:szCs w:val="24"/>
          <w:lang w:val="es-PE" w:eastAsia="ar-SA"/>
        </w:rPr>
        <w:t>16</w:t>
      </w:r>
      <w:r w:rsidR="00CF69DD" w:rsidRPr="00EF0B7F">
        <w:rPr>
          <w:rFonts w:ascii="Times New Roman" w:eastAsia="Arial Unicode MS" w:hAnsi="Times New Roman" w:cs="Times New Roman"/>
          <w:sz w:val="24"/>
          <w:szCs w:val="24"/>
          <w:lang w:val="es-PE" w:eastAsia="ar-SA"/>
        </w:rPr>
        <w:t xml:space="preserve"> </w:t>
      </w:r>
      <w:r w:rsidR="00707C99" w:rsidRPr="00EF0B7F">
        <w:rPr>
          <w:rFonts w:ascii="Times New Roman" w:eastAsia="Arial Unicode MS" w:hAnsi="Times New Roman" w:cs="Times New Roman"/>
          <w:sz w:val="24"/>
          <w:szCs w:val="24"/>
          <w:lang w:val="es-PE" w:eastAsia="ar-SA"/>
        </w:rPr>
        <w:t>de</w:t>
      </w:r>
      <w:r w:rsidR="00864B0B" w:rsidRPr="00EF0B7F">
        <w:rPr>
          <w:rFonts w:ascii="Times New Roman" w:eastAsia="Arial Unicode MS" w:hAnsi="Times New Roman" w:cs="Times New Roman"/>
          <w:sz w:val="24"/>
          <w:szCs w:val="24"/>
          <w:lang w:val="es-PE" w:eastAsia="ar-SA"/>
        </w:rPr>
        <w:t xml:space="preserve"> </w:t>
      </w:r>
      <w:r w:rsidR="0032345B" w:rsidRPr="00EF0B7F">
        <w:rPr>
          <w:rFonts w:ascii="Times New Roman" w:eastAsia="Arial Unicode MS" w:hAnsi="Times New Roman" w:cs="Times New Roman"/>
          <w:sz w:val="24"/>
          <w:szCs w:val="24"/>
          <w:lang w:val="es-PE" w:eastAsia="ar-SA"/>
        </w:rPr>
        <w:t>ju</w:t>
      </w:r>
      <w:r w:rsidR="00CF69DD" w:rsidRPr="00EF0B7F">
        <w:rPr>
          <w:rFonts w:ascii="Times New Roman" w:eastAsia="Arial Unicode MS" w:hAnsi="Times New Roman" w:cs="Times New Roman"/>
          <w:sz w:val="24"/>
          <w:szCs w:val="24"/>
          <w:lang w:val="es-PE" w:eastAsia="ar-SA"/>
        </w:rPr>
        <w:t>lio</w:t>
      </w:r>
      <w:r w:rsidR="00F06498" w:rsidRPr="00EF0B7F">
        <w:rPr>
          <w:rFonts w:ascii="Times New Roman" w:eastAsia="Arial Unicode MS" w:hAnsi="Times New Roman" w:cs="Times New Roman"/>
          <w:sz w:val="24"/>
          <w:szCs w:val="24"/>
          <w:lang w:val="es-PE" w:eastAsia="ar-SA"/>
        </w:rPr>
        <w:t xml:space="preserve"> de 202</w:t>
      </w:r>
      <w:r w:rsidR="00231C58" w:rsidRPr="00EF0B7F">
        <w:rPr>
          <w:rFonts w:ascii="Times New Roman" w:eastAsia="Arial Unicode MS" w:hAnsi="Times New Roman" w:cs="Times New Roman"/>
          <w:sz w:val="24"/>
          <w:szCs w:val="24"/>
          <w:lang w:val="es-PE" w:eastAsia="ar-SA"/>
        </w:rPr>
        <w:t>1</w:t>
      </w:r>
      <w:r w:rsidR="00707C99" w:rsidRPr="00EF0B7F">
        <w:rPr>
          <w:rFonts w:ascii="Times New Roman" w:eastAsia="Times New Roman" w:hAnsi="Times New Roman" w:cs="Times New Roman"/>
          <w:sz w:val="24"/>
          <w:szCs w:val="24"/>
          <w:lang w:val="es-PE" w:eastAsia="ar-SA"/>
        </w:rPr>
        <w:t xml:space="preserve"> </w:t>
      </w:r>
    </w:p>
    <w:p w14:paraId="2B9BAAC8" w14:textId="77777777" w:rsidR="00231C58" w:rsidRPr="00EF0B7F" w:rsidRDefault="00231C58" w:rsidP="004A374A">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EF0B7F" w:rsidRDefault="00C671F5" w:rsidP="004A374A">
      <w:pPr>
        <w:spacing w:after="0" w:line="240" w:lineRule="auto"/>
        <w:jc w:val="both"/>
        <w:rPr>
          <w:rFonts w:ascii="Times New Roman" w:hAnsi="Times New Roman" w:cs="Times New Roman"/>
          <w:b/>
          <w:bCs/>
          <w:i/>
          <w:iCs/>
          <w:sz w:val="24"/>
          <w:szCs w:val="24"/>
          <w:lang w:val="es-PE"/>
        </w:rPr>
      </w:pPr>
      <w:r w:rsidRPr="00EF0B7F">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08E6CE" w14:textId="77777777" w:rsidR="00C671F5" w:rsidRPr="00EF0B7F" w:rsidRDefault="00C671F5" w:rsidP="004A374A">
      <w:pPr>
        <w:spacing w:after="0" w:line="240" w:lineRule="auto"/>
        <w:jc w:val="both"/>
        <w:rPr>
          <w:rFonts w:ascii="Times New Roman" w:hAnsi="Times New Roman" w:cs="Times New Roman"/>
          <w:b/>
          <w:bCs/>
          <w:i/>
          <w:iCs/>
          <w:sz w:val="24"/>
          <w:szCs w:val="24"/>
          <w:lang w:val="es-PE"/>
        </w:rPr>
      </w:pPr>
    </w:p>
    <w:p w14:paraId="548B3E5B" w14:textId="2BD7B1B7" w:rsidR="00C671F5" w:rsidRPr="00EF0B7F" w:rsidRDefault="0032345B" w:rsidP="004A374A">
      <w:pPr>
        <w:spacing w:after="0" w:line="360" w:lineRule="auto"/>
        <w:jc w:val="center"/>
        <w:rPr>
          <w:rFonts w:ascii="Times New Roman" w:hAnsi="Times New Roman" w:cs="Times New Roman"/>
          <w:b/>
          <w:bCs/>
          <w:sz w:val="24"/>
          <w:szCs w:val="24"/>
          <w:lang w:val="es-PE"/>
        </w:rPr>
      </w:pPr>
      <w:r w:rsidRPr="00EF0B7F">
        <w:rPr>
          <w:rFonts w:ascii="Times New Roman" w:hAnsi="Times New Roman" w:cs="Times New Roman"/>
          <w:b/>
          <w:bCs/>
          <w:sz w:val="24"/>
          <w:szCs w:val="24"/>
          <w:lang w:val="es-PE"/>
        </w:rPr>
        <w:t xml:space="preserve">Marco Antonio Ortega Piana </w:t>
      </w:r>
      <w:r w:rsidR="00C671F5" w:rsidRPr="00EF0B7F">
        <w:rPr>
          <w:rFonts w:ascii="Times New Roman" w:hAnsi="Times New Roman" w:cs="Times New Roman"/>
          <w:b/>
          <w:bCs/>
          <w:sz w:val="24"/>
          <w:szCs w:val="24"/>
          <w:lang w:val="es-PE"/>
        </w:rPr>
        <w:t xml:space="preserve">– </w:t>
      </w:r>
      <w:proofErr w:type="gramStart"/>
      <w:r w:rsidR="00C671F5" w:rsidRPr="00EF0B7F">
        <w:rPr>
          <w:rFonts w:ascii="Times New Roman" w:hAnsi="Times New Roman" w:cs="Times New Roman"/>
          <w:b/>
          <w:bCs/>
          <w:sz w:val="24"/>
          <w:szCs w:val="24"/>
          <w:lang w:val="es-PE"/>
        </w:rPr>
        <w:t>Presidente</w:t>
      </w:r>
      <w:proofErr w:type="gramEnd"/>
    </w:p>
    <w:p w14:paraId="033E3E13" w14:textId="7196E86D" w:rsidR="0032345B" w:rsidRPr="00EF0B7F" w:rsidRDefault="0032345B" w:rsidP="004A374A">
      <w:pPr>
        <w:spacing w:after="0" w:line="360" w:lineRule="auto"/>
        <w:jc w:val="center"/>
        <w:rPr>
          <w:rFonts w:ascii="Times New Roman" w:hAnsi="Times New Roman" w:cs="Times New Roman"/>
          <w:b/>
          <w:bCs/>
          <w:sz w:val="24"/>
          <w:szCs w:val="24"/>
          <w:lang w:val="es-PE"/>
        </w:rPr>
      </w:pPr>
      <w:r w:rsidRPr="00EF0B7F">
        <w:rPr>
          <w:rFonts w:ascii="Times New Roman" w:hAnsi="Times New Roman" w:cs="Times New Roman"/>
          <w:b/>
          <w:bCs/>
          <w:sz w:val="24"/>
          <w:szCs w:val="24"/>
          <w:lang w:val="es-PE"/>
        </w:rPr>
        <w:t>María Eugenia Valdez Fernández Baca– Vocal</w:t>
      </w:r>
    </w:p>
    <w:p w14:paraId="3006BA35" w14:textId="7871895F" w:rsidR="00292018" w:rsidRPr="00EF0B7F" w:rsidRDefault="00292018" w:rsidP="004A374A">
      <w:pPr>
        <w:spacing w:after="0" w:line="360" w:lineRule="auto"/>
        <w:jc w:val="center"/>
        <w:rPr>
          <w:rFonts w:ascii="Times New Roman" w:hAnsi="Times New Roman" w:cs="Times New Roman"/>
          <w:b/>
          <w:bCs/>
          <w:sz w:val="24"/>
          <w:szCs w:val="24"/>
          <w:lang w:val="es-PE"/>
        </w:rPr>
      </w:pPr>
      <w:r w:rsidRPr="00EF0B7F">
        <w:rPr>
          <w:rFonts w:ascii="Times New Roman" w:hAnsi="Times New Roman" w:cs="Times New Roman"/>
          <w:b/>
          <w:bCs/>
          <w:sz w:val="24"/>
          <w:szCs w:val="24"/>
          <w:lang w:val="es-PE"/>
        </w:rPr>
        <w:t xml:space="preserve">Rolando Eyzaguirre </w:t>
      </w:r>
      <w:proofErr w:type="spellStart"/>
      <w:r w:rsidRPr="00EF0B7F">
        <w:rPr>
          <w:rFonts w:ascii="Times New Roman" w:hAnsi="Times New Roman" w:cs="Times New Roman"/>
          <w:b/>
          <w:bCs/>
          <w:sz w:val="24"/>
          <w:szCs w:val="24"/>
          <w:lang w:val="es-PE"/>
        </w:rPr>
        <w:t>Maccan</w:t>
      </w:r>
      <w:proofErr w:type="spellEnd"/>
      <w:r w:rsidRPr="00EF0B7F">
        <w:rPr>
          <w:rFonts w:ascii="Times New Roman" w:hAnsi="Times New Roman" w:cs="Times New Roman"/>
          <w:b/>
          <w:bCs/>
          <w:sz w:val="24"/>
          <w:szCs w:val="24"/>
          <w:lang w:val="es-PE"/>
        </w:rPr>
        <w:t xml:space="preserve"> – Vocal</w:t>
      </w:r>
    </w:p>
    <w:p w14:paraId="3A9CFE9F" w14:textId="4DFF4426" w:rsidR="00C671F5" w:rsidRPr="00EF0B7F" w:rsidRDefault="00C671F5" w:rsidP="004A374A">
      <w:pPr>
        <w:spacing w:after="0" w:line="360" w:lineRule="auto"/>
        <w:jc w:val="center"/>
        <w:rPr>
          <w:rFonts w:ascii="Times New Roman" w:hAnsi="Times New Roman" w:cs="Times New Roman"/>
          <w:sz w:val="24"/>
          <w:szCs w:val="24"/>
          <w:lang w:val="es-PE"/>
        </w:rPr>
      </w:pPr>
      <w:r w:rsidRPr="00EF0B7F">
        <w:rPr>
          <w:rFonts w:ascii="Times New Roman" w:hAnsi="Times New Roman" w:cs="Times New Roman"/>
          <w:b/>
          <w:bCs/>
          <w:sz w:val="24"/>
          <w:szCs w:val="24"/>
          <w:lang w:val="es-PE"/>
        </w:rPr>
        <w:t xml:space="preserve">Gonzalo Abad del Busto </w:t>
      </w:r>
      <w:r w:rsidR="00231C58" w:rsidRPr="00EF0B7F">
        <w:rPr>
          <w:rFonts w:ascii="Times New Roman" w:hAnsi="Times New Roman" w:cs="Times New Roman"/>
          <w:b/>
          <w:bCs/>
          <w:sz w:val="24"/>
          <w:szCs w:val="24"/>
          <w:lang w:val="es-PE"/>
        </w:rPr>
        <w:t xml:space="preserve">– </w:t>
      </w:r>
      <w:r w:rsidRPr="00EF0B7F">
        <w:rPr>
          <w:rFonts w:ascii="Times New Roman" w:hAnsi="Times New Roman" w:cs="Times New Roman"/>
          <w:b/>
          <w:bCs/>
          <w:sz w:val="24"/>
          <w:szCs w:val="24"/>
          <w:lang w:val="es-PE"/>
        </w:rPr>
        <w:t>Vocal</w:t>
      </w:r>
    </w:p>
    <w:p w14:paraId="33E0FAB8" w14:textId="77777777" w:rsidR="00C671F5" w:rsidRPr="0032345B" w:rsidRDefault="00C671F5" w:rsidP="004A374A">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32345B" w:rsidRDefault="00C671F5" w:rsidP="004A374A">
      <w:pPr>
        <w:spacing w:line="240" w:lineRule="auto"/>
        <w:rPr>
          <w:rFonts w:ascii="Times New Roman" w:eastAsia="Arial Unicode MS" w:hAnsi="Times New Roman" w:cs="Times New Roman"/>
          <w:sz w:val="24"/>
          <w:szCs w:val="24"/>
          <w:lang w:val="es-PE" w:eastAsia="ar-SA"/>
        </w:rPr>
      </w:pPr>
    </w:p>
    <w:sectPr w:rsidR="00C671F5" w:rsidRPr="0032345B" w:rsidSect="00077B6F">
      <w:headerReference w:type="default" r:id="rId11"/>
      <w:footerReference w:type="default" r:id="rId12"/>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AA5D3" w14:textId="77777777" w:rsidR="0009395D" w:rsidRDefault="0009395D" w:rsidP="00784355">
      <w:pPr>
        <w:spacing w:after="0" w:line="240" w:lineRule="auto"/>
      </w:pPr>
      <w:r>
        <w:separator/>
      </w:r>
    </w:p>
  </w:endnote>
  <w:endnote w:type="continuationSeparator" w:id="0">
    <w:p w14:paraId="194C6341" w14:textId="77777777" w:rsidR="0009395D" w:rsidRDefault="0009395D"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14:paraId="1A7D4DE2" w14:textId="27FEA839" w:rsidR="00C671F5" w:rsidRDefault="00C671F5">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DDAF9" w14:textId="77777777" w:rsidR="0009395D" w:rsidRDefault="0009395D" w:rsidP="00784355">
      <w:pPr>
        <w:spacing w:after="0" w:line="240" w:lineRule="auto"/>
      </w:pPr>
      <w:r>
        <w:separator/>
      </w:r>
    </w:p>
  </w:footnote>
  <w:footnote w:type="continuationSeparator" w:id="0">
    <w:p w14:paraId="198E8D92" w14:textId="77777777" w:rsidR="0009395D" w:rsidRDefault="0009395D"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7"/>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37922"/>
    <w:rsid w:val="0004480C"/>
    <w:rsid w:val="0004492D"/>
    <w:rsid w:val="00053D16"/>
    <w:rsid w:val="00056D9F"/>
    <w:rsid w:val="00062040"/>
    <w:rsid w:val="00063183"/>
    <w:rsid w:val="0006548C"/>
    <w:rsid w:val="00070DB6"/>
    <w:rsid w:val="00071A25"/>
    <w:rsid w:val="00072C60"/>
    <w:rsid w:val="000752E4"/>
    <w:rsid w:val="00076E73"/>
    <w:rsid w:val="00077B6F"/>
    <w:rsid w:val="00080A9A"/>
    <w:rsid w:val="000835CB"/>
    <w:rsid w:val="00083D69"/>
    <w:rsid w:val="00083F50"/>
    <w:rsid w:val="00084148"/>
    <w:rsid w:val="00092684"/>
    <w:rsid w:val="0009395D"/>
    <w:rsid w:val="000A274F"/>
    <w:rsid w:val="000A5666"/>
    <w:rsid w:val="000A5CAA"/>
    <w:rsid w:val="000B19A0"/>
    <w:rsid w:val="000B58D8"/>
    <w:rsid w:val="000C0734"/>
    <w:rsid w:val="000D0DFE"/>
    <w:rsid w:val="000E1B0F"/>
    <w:rsid w:val="000E1E6F"/>
    <w:rsid w:val="000F6340"/>
    <w:rsid w:val="00101978"/>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1908"/>
    <w:rsid w:val="00181DCE"/>
    <w:rsid w:val="00187BFD"/>
    <w:rsid w:val="001A008A"/>
    <w:rsid w:val="001A3395"/>
    <w:rsid w:val="001A44E1"/>
    <w:rsid w:val="001B1E59"/>
    <w:rsid w:val="001B58A3"/>
    <w:rsid w:val="001D0EED"/>
    <w:rsid w:val="001D59D9"/>
    <w:rsid w:val="001D6136"/>
    <w:rsid w:val="001E119C"/>
    <w:rsid w:val="00201C0D"/>
    <w:rsid w:val="00203EF7"/>
    <w:rsid w:val="00204407"/>
    <w:rsid w:val="0020749F"/>
    <w:rsid w:val="002108AD"/>
    <w:rsid w:val="00211977"/>
    <w:rsid w:val="002130B0"/>
    <w:rsid w:val="0021627D"/>
    <w:rsid w:val="00217715"/>
    <w:rsid w:val="00224CEE"/>
    <w:rsid w:val="00225288"/>
    <w:rsid w:val="00227D02"/>
    <w:rsid w:val="00231C58"/>
    <w:rsid w:val="002331C3"/>
    <w:rsid w:val="00241719"/>
    <w:rsid w:val="00243F6B"/>
    <w:rsid w:val="00256592"/>
    <w:rsid w:val="0027261F"/>
    <w:rsid w:val="00272F4F"/>
    <w:rsid w:val="0027301E"/>
    <w:rsid w:val="00274985"/>
    <w:rsid w:val="002768C6"/>
    <w:rsid w:val="00276A92"/>
    <w:rsid w:val="00277667"/>
    <w:rsid w:val="00290CA4"/>
    <w:rsid w:val="00292018"/>
    <w:rsid w:val="0029331C"/>
    <w:rsid w:val="002A31D3"/>
    <w:rsid w:val="002A3E88"/>
    <w:rsid w:val="002A7E2E"/>
    <w:rsid w:val="002B726E"/>
    <w:rsid w:val="002C2A0F"/>
    <w:rsid w:val="002C3466"/>
    <w:rsid w:val="002D0DB0"/>
    <w:rsid w:val="002D3B01"/>
    <w:rsid w:val="002E1221"/>
    <w:rsid w:val="002E17F9"/>
    <w:rsid w:val="002F09CA"/>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7629"/>
    <w:rsid w:val="00357D70"/>
    <w:rsid w:val="00362449"/>
    <w:rsid w:val="00364E0F"/>
    <w:rsid w:val="003657C9"/>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3F7F58"/>
    <w:rsid w:val="00403814"/>
    <w:rsid w:val="004049B9"/>
    <w:rsid w:val="004060E9"/>
    <w:rsid w:val="00414F05"/>
    <w:rsid w:val="0041626C"/>
    <w:rsid w:val="00417E23"/>
    <w:rsid w:val="00425F75"/>
    <w:rsid w:val="00431D81"/>
    <w:rsid w:val="00440BC2"/>
    <w:rsid w:val="00444232"/>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6978"/>
    <w:rsid w:val="004E65DD"/>
    <w:rsid w:val="004F549E"/>
    <w:rsid w:val="00504C79"/>
    <w:rsid w:val="00517CFF"/>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2924"/>
    <w:rsid w:val="005C524E"/>
    <w:rsid w:val="005C5AB9"/>
    <w:rsid w:val="005D3E68"/>
    <w:rsid w:val="005E00D1"/>
    <w:rsid w:val="005E0EC2"/>
    <w:rsid w:val="005E2CBE"/>
    <w:rsid w:val="005E398E"/>
    <w:rsid w:val="005E4870"/>
    <w:rsid w:val="005F4C97"/>
    <w:rsid w:val="00605902"/>
    <w:rsid w:val="00606105"/>
    <w:rsid w:val="0061360C"/>
    <w:rsid w:val="00613A39"/>
    <w:rsid w:val="00622ABC"/>
    <w:rsid w:val="00623204"/>
    <w:rsid w:val="00624034"/>
    <w:rsid w:val="006442E0"/>
    <w:rsid w:val="0064607A"/>
    <w:rsid w:val="00652672"/>
    <w:rsid w:val="006543D4"/>
    <w:rsid w:val="0065542B"/>
    <w:rsid w:val="0065594D"/>
    <w:rsid w:val="00655A90"/>
    <w:rsid w:val="00655BA3"/>
    <w:rsid w:val="00657AD2"/>
    <w:rsid w:val="006672C4"/>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523F5"/>
    <w:rsid w:val="008548F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1AB2"/>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1120"/>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A02104"/>
    <w:rsid w:val="00A02270"/>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DED"/>
    <w:rsid w:val="00AB1C66"/>
    <w:rsid w:val="00AB69B3"/>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5EC2"/>
    <w:rsid w:val="00D4253A"/>
    <w:rsid w:val="00D50B42"/>
    <w:rsid w:val="00D56F67"/>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4057"/>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EF0B7F"/>
    <w:rsid w:val="00EF317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customStyle="1" w:styleId="Ttulo2Car">
    <w:name w:val="Título 2 Car"/>
    <w:basedOn w:val="Fuentedeprrafopredeter"/>
    <w:link w:val="Ttulo2"/>
    <w:uiPriority w:val="9"/>
    <w:rsid w:val="00F626D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1876379910">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F0E1240-FE33-41AF-8F81-025D76F53DEA}"/>
</file>

<file path=customXml/itemProps3.xml><?xml version="1.0" encoding="utf-8"?>
<ds:datastoreItem xmlns:ds="http://schemas.openxmlformats.org/officeDocument/2006/customXml" ds:itemID="{901F224A-A3D3-4A8A-ABFB-9C66B787303D}"/>
</file>

<file path=customXml/itemProps4.xml><?xml version="1.0" encoding="utf-8"?>
<ds:datastoreItem xmlns:ds="http://schemas.openxmlformats.org/officeDocument/2006/customXml" ds:itemID="{D776CD11-D9F0-45E5-9C0F-A86B966AA903}"/>
</file>

<file path=docProps/app.xml><?xml version="1.0" encoding="utf-8"?>
<Properties xmlns="http://schemas.openxmlformats.org/officeDocument/2006/extended-properties" xmlns:vt="http://schemas.openxmlformats.org/officeDocument/2006/docPropsVTypes">
  <Template>Normal</Template>
  <TotalTime>257</TotalTime>
  <Pages>6</Pages>
  <Words>1984</Words>
  <Characters>10918</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66</cp:revision>
  <cp:lastPrinted>2021-07-16T20:35:00Z</cp:lastPrinted>
  <dcterms:created xsi:type="dcterms:W3CDTF">2020-12-18T20:17:00Z</dcterms:created>
  <dcterms:modified xsi:type="dcterms:W3CDTF">2022-02-16T16:11:00Z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