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C635A" w14:textId="6806F439" w:rsidR="00EF0B7F" w:rsidRPr="00684568" w:rsidRDefault="00201C0D" w:rsidP="00EF0B7F">
      <w:pPr>
        <w:pStyle w:val="Ttulo2"/>
        <w:jc w:val="center"/>
        <w:rPr>
          <w:rFonts w:ascii="Times New Roman" w:hAnsi="Times New Roman" w:cs="Times New Roman"/>
          <w:b/>
          <w:bCs/>
          <w:color w:val="auto"/>
          <w:sz w:val="24"/>
          <w:szCs w:val="24"/>
          <w:lang w:val="es-PE" w:eastAsia="ar-SA"/>
        </w:rPr>
      </w:pPr>
      <w:r w:rsidRPr="00684568">
        <w:rPr>
          <w:rFonts w:ascii="Times New Roman" w:hAnsi="Times New Roman" w:cs="Times New Roman"/>
          <w:b/>
          <w:bCs/>
          <w:color w:val="auto"/>
          <w:sz w:val="24"/>
          <w:szCs w:val="24"/>
          <w:lang w:val="es-PE" w:eastAsia="ar-SA"/>
        </w:rPr>
        <w:t xml:space="preserve">RESOLUCIÓN DE RECURSO IMPUGNATIVO </w:t>
      </w:r>
      <w:proofErr w:type="spellStart"/>
      <w:r w:rsidR="00707C99" w:rsidRPr="00684568">
        <w:rPr>
          <w:rFonts w:ascii="Times New Roman" w:hAnsi="Times New Roman" w:cs="Times New Roman"/>
          <w:b/>
          <w:bCs/>
          <w:color w:val="auto"/>
          <w:sz w:val="24"/>
          <w:szCs w:val="24"/>
          <w:lang w:val="es-PE" w:eastAsia="ar-SA"/>
        </w:rPr>
        <w:t>N°</w:t>
      </w:r>
      <w:proofErr w:type="spellEnd"/>
      <w:r w:rsidR="00707C99" w:rsidRPr="00684568">
        <w:rPr>
          <w:rFonts w:ascii="Times New Roman" w:hAnsi="Times New Roman" w:cs="Times New Roman"/>
          <w:b/>
          <w:bCs/>
          <w:color w:val="auto"/>
          <w:sz w:val="24"/>
          <w:szCs w:val="24"/>
          <w:lang w:val="es-PE" w:eastAsia="ar-SA"/>
        </w:rPr>
        <w:t xml:space="preserve"> </w:t>
      </w:r>
      <w:r w:rsidR="00C671F5" w:rsidRPr="00684568">
        <w:rPr>
          <w:rFonts w:ascii="Times New Roman" w:hAnsi="Times New Roman" w:cs="Times New Roman"/>
          <w:b/>
          <w:bCs/>
          <w:color w:val="auto"/>
          <w:sz w:val="24"/>
          <w:szCs w:val="24"/>
          <w:lang w:val="es-PE" w:eastAsia="ar-SA"/>
        </w:rPr>
        <w:t>0</w:t>
      </w:r>
      <w:r w:rsidR="00EF0B7F" w:rsidRPr="00684568">
        <w:rPr>
          <w:rFonts w:ascii="Times New Roman" w:hAnsi="Times New Roman" w:cs="Times New Roman"/>
          <w:b/>
          <w:bCs/>
          <w:color w:val="auto"/>
          <w:sz w:val="24"/>
          <w:szCs w:val="24"/>
          <w:lang w:val="es-PE" w:eastAsia="ar-SA"/>
        </w:rPr>
        <w:t>4</w:t>
      </w:r>
      <w:r w:rsidR="009A2E4D" w:rsidRPr="00684568">
        <w:rPr>
          <w:rFonts w:ascii="Times New Roman" w:hAnsi="Times New Roman" w:cs="Times New Roman"/>
          <w:b/>
          <w:bCs/>
          <w:color w:val="auto"/>
          <w:sz w:val="24"/>
          <w:szCs w:val="24"/>
          <w:lang w:val="es-PE" w:eastAsia="ar-SA"/>
        </w:rPr>
        <w:t>1</w:t>
      </w:r>
      <w:r w:rsidR="00517CFF" w:rsidRPr="00684568">
        <w:rPr>
          <w:rFonts w:ascii="Times New Roman" w:hAnsi="Times New Roman" w:cs="Times New Roman"/>
          <w:b/>
          <w:bCs/>
          <w:color w:val="auto"/>
          <w:sz w:val="24"/>
          <w:szCs w:val="24"/>
          <w:lang w:val="es-PE" w:eastAsia="ar-SA"/>
        </w:rPr>
        <w:t>/</w:t>
      </w:r>
      <w:r w:rsidR="00C671F5" w:rsidRPr="00684568">
        <w:rPr>
          <w:rFonts w:ascii="Times New Roman" w:hAnsi="Times New Roman" w:cs="Times New Roman"/>
          <w:b/>
          <w:bCs/>
          <w:color w:val="auto"/>
          <w:sz w:val="24"/>
          <w:szCs w:val="24"/>
          <w:lang w:val="es-PE" w:eastAsia="ar-SA"/>
        </w:rPr>
        <w:t>2</w:t>
      </w:r>
      <w:r w:rsidR="00231C58" w:rsidRPr="00684568">
        <w:rPr>
          <w:rFonts w:ascii="Times New Roman" w:hAnsi="Times New Roman" w:cs="Times New Roman"/>
          <w:b/>
          <w:bCs/>
          <w:color w:val="auto"/>
          <w:sz w:val="24"/>
          <w:szCs w:val="24"/>
          <w:lang w:val="es-PE" w:eastAsia="ar-SA"/>
        </w:rPr>
        <w:t>1</w:t>
      </w:r>
    </w:p>
    <w:p w14:paraId="3D4CE234" w14:textId="77777777" w:rsidR="00EF0B7F" w:rsidRPr="00684568" w:rsidRDefault="00EF0B7F" w:rsidP="00EF0B7F">
      <w:pPr>
        <w:rPr>
          <w:sz w:val="24"/>
          <w:szCs w:val="24"/>
          <w:lang w:val="es-PE" w:eastAsia="ar-SA"/>
        </w:rPr>
      </w:pPr>
    </w:p>
    <w:p w14:paraId="6DC3FF9C" w14:textId="77777777" w:rsidR="00C21A70" w:rsidRPr="00684568" w:rsidRDefault="00C21A70" w:rsidP="00C21A70">
      <w:pPr>
        <w:spacing w:after="0" w:line="240" w:lineRule="auto"/>
        <w:jc w:val="both"/>
        <w:rPr>
          <w:rFonts w:ascii="Times New Roman" w:hAnsi="Times New Roman" w:cs="Times New Roman"/>
          <w:sz w:val="24"/>
          <w:szCs w:val="24"/>
          <w:lang w:val="es-PE"/>
        </w:rPr>
      </w:pPr>
      <w:r w:rsidRPr="00684568">
        <w:rPr>
          <w:rFonts w:ascii="Times New Roman" w:hAnsi="Times New Roman" w:cs="Times New Roman"/>
          <w:b/>
          <w:sz w:val="24"/>
          <w:szCs w:val="24"/>
          <w:lang w:val="es-PE"/>
        </w:rPr>
        <w:t xml:space="preserve">Vistos: </w:t>
      </w:r>
    </w:p>
    <w:p w14:paraId="1331E71B" w14:textId="77777777" w:rsidR="00C21A70" w:rsidRPr="00684568" w:rsidRDefault="00C21A70" w:rsidP="00C21A70">
      <w:pPr>
        <w:spacing w:after="0" w:line="240" w:lineRule="auto"/>
        <w:jc w:val="both"/>
        <w:rPr>
          <w:rFonts w:ascii="Times New Roman" w:hAnsi="Times New Roman" w:cs="Times New Roman"/>
          <w:sz w:val="24"/>
          <w:szCs w:val="24"/>
          <w:lang w:val="es-PE"/>
        </w:rPr>
      </w:pPr>
    </w:p>
    <w:p w14:paraId="7C7BABC8" w14:textId="522597A9"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 xml:space="preserve">El Recurso Impugnativo presentado el 10 de junio de 2020 por </w:t>
      </w:r>
      <w:r w:rsidR="00975687" w:rsidRPr="00684568">
        <w:rPr>
          <w:sz w:val="24"/>
          <w:szCs w:val="24"/>
          <w:lang w:val="es-PE"/>
        </w:rPr>
        <w:t>...................</w:t>
      </w:r>
      <w:r w:rsidR="00975687" w:rsidRPr="00684568">
        <w:rPr>
          <w:rFonts w:ascii="Times New Roman" w:hAnsi="Times New Roman" w:cs="Times New Roman"/>
          <w:sz w:val="24"/>
          <w:szCs w:val="24"/>
          <w:lang w:val="es-PE"/>
        </w:rPr>
        <w:t xml:space="preserve">. </w:t>
      </w:r>
      <w:r w:rsidRPr="00684568">
        <w:rPr>
          <w:rFonts w:ascii="Times New Roman" w:hAnsi="Times New Roman" w:cs="Times New Roman"/>
          <w:sz w:val="24"/>
          <w:szCs w:val="24"/>
          <w:lang w:val="es-PE"/>
        </w:rPr>
        <w:t xml:space="preserve">respecto de la Resolución </w:t>
      </w:r>
      <w:proofErr w:type="spellStart"/>
      <w:r w:rsidRPr="00684568">
        <w:rPr>
          <w:rFonts w:ascii="Times New Roman" w:hAnsi="Times New Roman" w:cs="Times New Roman"/>
          <w:sz w:val="24"/>
          <w:szCs w:val="24"/>
          <w:lang w:val="es-PE"/>
        </w:rPr>
        <w:t>N°</w:t>
      </w:r>
      <w:proofErr w:type="spellEnd"/>
      <w:r w:rsidRPr="00684568">
        <w:rPr>
          <w:rFonts w:ascii="Times New Roman" w:hAnsi="Times New Roman" w:cs="Times New Roman"/>
          <w:sz w:val="24"/>
          <w:szCs w:val="24"/>
          <w:lang w:val="es-PE"/>
        </w:rPr>
        <w:t xml:space="preserve"> 066/21 emitida el 02 de junio de 2021 por esta Defensoría del Asegurado (DEFASEG) que declaró INFUNDADA la reclamación interpuesta, sobre otorgamiento de cobertura al siniestro ocurrido bajo la Póliza de Seguro de Vehículos contratada.</w:t>
      </w:r>
    </w:p>
    <w:p w14:paraId="2F7A019B" w14:textId="5DFF08B4"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 xml:space="preserve">Que el señalado Recurso Impugnativo se fundamenta resumidamente en lo siguiente: 1) Que, para </w:t>
      </w:r>
      <w:r w:rsidR="00975687" w:rsidRPr="00684568">
        <w:rPr>
          <w:sz w:val="24"/>
          <w:szCs w:val="24"/>
          <w:lang w:val="es-PE"/>
        </w:rPr>
        <w:t>...................</w:t>
      </w:r>
      <w:r w:rsidR="00975687" w:rsidRPr="00684568">
        <w:rPr>
          <w:rFonts w:ascii="Times New Roman" w:hAnsi="Times New Roman" w:cs="Times New Roman"/>
          <w:sz w:val="24"/>
          <w:szCs w:val="24"/>
          <w:lang w:val="es-PE"/>
        </w:rPr>
        <w:t xml:space="preserve">. </w:t>
      </w:r>
      <w:r w:rsidR="00975687" w:rsidRPr="00684568">
        <w:rPr>
          <w:rFonts w:ascii="Times New Roman" w:hAnsi="Times New Roman" w:cs="Times New Roman"/>
          <w:sz w:val="24"/>
          <w:szCs w:val="24"/>
          <w:lang w:val="es-PE"/>
        </w:rPr>
        <w:t xml:space="preserve"> </w:t>
      </w:r>
      <w:r w:rsidRPr="00684568">
        <w:rPr>
          <w:rFonts w:ascii="Times New Roman" w:hAnsi="Times New Roman" w:cs="Times New Roman"/>
          <w:sz w:val="24"/>
          <w:szCs w:val="24"/>
          <w:lang w:val="es-PE"/>
        </w:rPr>
        <w:t xml:space="preserve">y también para el Tribunal no resultaría necesario que se pruebe materialmente la existencia cierta de la causal excluyente, sino que habría bastado la mera presunción de que hubo negligencia en la ocurrencia del accidente para desestimar la reclamación. 2) Que, en la parte resolutiva de la Resolución, el Tribunal sigue la tesis de </w:t>
      </w:r>
      <w:r w:rsidR="00975687" w:rsidRPr="00684568">
        <w:rPr>
          <w:sz w:val="24"/>
          <w:szCs w:val="24"/>
          <w:lang w:val="es-PE"/>
        </w:rPr>
        <w:t>...................</w:t>
      </w:r>
      <w:r w:rsidR="00975687" w:rsidRPr="00684568">
        <w:rPr>
          <w:rFonts w:ascii="Times New Roman" w:hAnsi="Times New Roman" w:cs="Times New Roman"/>
          <w:sz w:val="24"/>
          <w:szCs w:val="24"/>
          <w:lang w:val="es-PE"/>
        </w:rPr>
        <w:t xml:space="preserve">. </w:t>
      </w:r>
      <w:r w:rsidRPr="00684568">
        <w:rPr>
          <w:rFonts w:ascii="Times New Roman" w:hAnsi="Times New Roman" w:cs="Times New Roman"/>
          <w:sz w:val="24"/>
          <w:szCs w:val="24"/>
          <w:lang w:val="es-PE"/>
        </w:rPr>
        <w:t xml:space="preserve"> que no hizo ninguna investigación específica y directa y que en todo el proceso se ha limitado a referir los resultados de la investigación policial que concluye que el conductor se quedó dormido porque llevaba conduciendo nueve horas y cincuenta y ocho minutos y que fueron la somnolencia y falta de descanso las que ocasionaron el accidente. 3) Que, al respecto </w:t>
      </w:r>
      <w:r w:rsidR="00975687" w:rsidRPr="00684568">
        <w:rPr>
          <w:sz w:val="24"/>
          <w:szCs w:val="24"/>
          <w:lang w:val="es-PE"/>
        </w:rPr>
        <w:t>...................</w:t>
      </w:r>
      <w:r w:rsidR="00975687" w:rsidRPr="00684568">
        <w:rPr>
          <w:rFonts w:ascii="Times New Roman" w:hAnsi="Times New Roman" w:cs="Times New Roman"/>
          <w:sz w:val="24"/>
          <w:szCs w:val="24"/>
          <w:lang w:val="es-PE"/>
        </w:rPr>
        <w:t xml:space="preserve">. </w:t>
      </w:r>
      <w:r w:rsidRPr="00684568">
        <w:rPr>
          <w:rFonts w:ascii="Times New Roman" w:hAnsi="Times New Roman" w:cs="Times New Roman"/>
          <w:sz w:val="24"/>
          <w:szCs w:val="24"/>
          <w:lang w:val="es-PE"/>
        </w:rPr>
        <w:t xml:space="preserve"> pudo hacer un examen a detalle del informe policial, pero también se estima que correspondía al Tribunal hacerlo y ello puede permitir apreciar que lo concluido en la investigación es en rigor una inferencia sobre presunciones basadas en conjeturas, no en pruebas fehacientes de la materialidad de una conducta negligente real. 4) Que, así mismo, se podría identificar que es </w:t>
      </w:r>
      <w:r w:rsidR="00975687" w:rsidRPr="00684568">
        <w:rPr>
          <w:sz w:val="24"/>
          <w:szCs w:val="24"/>
          <w:lang w:val="es-PE"/>
        </w:rPr>
        <w:t>...................</w:t>
      </w:r>
      <w:r w:rsidR="00975687" w:rsidRPr="00684568">
        <w:rPr>
          <w:rFonts w:ascii="Times New Roman" w:hAnsi="Times New Roman" w:cs="Times New Roman"/>
          <w:sz w:val="24"/>
          <w:szCs w:val="24"/>
          <w:lang w:val="es-PE"/>
        </w:rPr>
        <w:t xml:space="preserve">. </w:t>
      </w:r>
      <w:r w:rsidR="00975687" w:rsidRPr="00684568">
        <w:rPr>
          <w:rFonts w:ascii="Times New Roman" w:hAnsi="Times New Roman" w:cs="Times New Roman"/>
          <w:sz w:val="24"/>
          <w:szCs w:val="24"/>
          <w:lang w:val="es-PE"/>
        </w:rPr>
        <w:t xml:space="preserve"> </w:t>
      </w:r>
      <w:r w:rsidRPr="00684568">
        <w:rPr>
          <w:rFonts w:ascii="Times New Roman" w:hAnsi="Times New Roman" w:cs="Times New Roman"/>
          <w:sz w:val="24"/>
          <w:szCs w:val="24"/>
          <w:lang w:val="es-PE"/>
        </w:rPr>
        <w:t>y no la Policía quien encuadra el hecho presunto (somnolencia y cansancio) como causantes del siniestro, en la forma de negligencia por inferencias o deducciones, pero no por la existencia de una prueba cierta de que se trató de una negligencia. 5)  Que, siendo imposible determinar la causa real del accidente, puesto que el conductor de la unidad siniestrada falleció, es evidente que la policía busco y encontró una explicación al hecho, sin embargo, la conclusión de la policía no sustituye el deber de la aseguradora de determinar objetivamente la existencia de una causal excluyente. 6) Que, si se remite a la experiencia, conocimiento de la vía y récord de conductor del señor Romero, se podría inferir que un chofer de sus características difícilmente perdería el control de la unidad o que conduciría con somnolencia o cansancio extremo cuando ello no es prudente. 7) Que, tanta distancia hay entre la dinámica de la audiencia con la Resolución que declara infundada la reclamación, que no se refleja en la Resolución, ya que luego del parafraseo obligado a la posición de las partes, resume su posición en los Considerandos Noveno y Décimo, básicamente reproduciendo el contenido del Informe Policial.  Que, resulta paradójico el fallo, pues en el Quinto Considerando, el Tribunal recuerda a las partes que la carga de la prueba la lleva quien invoca los hechos. 8) Que, a pesar de la no existencia de una prueba material de la presunta negligencia como causa del accidente, y del hecho de que la policía no imputa negligencia al conductor, sino un estado de somnolencia y cansancio, la aseguradora y la Resolución impugnada asimilan esas conclusiones que corresponden al ámbito de la investigación policial.</w:t>
      </w:r>
    </w:p>
    <w:p w14:paraId="769C6B26" w14:textId="3769312F"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 xml:space="preserve">Que habiéndose corrido traslado a </w:t>
      </w:r>
      <w:r w:rsidR="00975687" w:rsidRPr="00684568">
        <w:rPr>
          <w:sz w:val="24"/>
          <w:szCs w:val="24"/>
          <w:lang w:val="es-PE"/>
        </w:rPr>
        <w:t>...................</w:t>
      </w:r>
      <w:r w:rsidR="00975687" w:rsidRPr="00684568">
        <w:rPr>
          <w:rFonts w:ascii="Times New Roman" w:hAnsi="Times New Roman" w:cs="Times New Roman"/>
          <w:sz w:val="24"/>
          <w:szCs w:val="24"/>
          <w:lang w:val="es-PE"/>
        </w:rPr>
        <w:t xml:space="preserve">. </w:t>
      </w:r>
      <w:r w:rsidR="00975687" w:rsidRPr="00684568">
        <w:rPr>
          <w:rFonts w:ascii="Times New Roman" w:hAnsi="Times New Roman" w:cs="Times New Roman"/>
          <w:sz w:val="24"/>
          <w:szCs w:val="24"/>
          <w:lang w:val="es-PE"/>
        </w:rPr>
        <w:t xml:space="preserve"> </w:t>
      </w:r>
      <w:r w:rsidRPr="00684568">
        <w:rPr>
          <w:rFonts w:ascii="Times New Roman" w:hAnsi="Times New Roman" w:cs="Times New Roman"/>
          <w:sz w:val="24"/>
          <w:szCs w:val="24"/>
          <w:lang w:val="es-PE"/>
        </w:rPr>
        <w:t xml:space="preserve">del señalado Recurso Impugnativo, la aseguradora contestó lo siguiente: 1) Que, inicialmente la asegurada sustentó su reclamación en que los acompañantes del conductor del vehículo asegurado al momento del siniestro, en sus declaraciones ante la PNP habrían negado que el conductor mostraba signos de somnolencia o cansancio momentos antes del accidente. Que, sin embargo, quedó demostrado que los </w:t>
      </w:r>
      <w:r w:rsidRPr="00684568">
        <w:rPr>
          <w:rFonts w:ascii="Times New Roman" w:hAnsi="Times New Roman" w:cs="Times New Roman"/>
          <w:sz w:val="24"/>
          <w:szCs w:val="24"/>
          <w:lang w:val="es-PE"/>
        </w:rPr>
        <w:lastRenderedPageBreak/>
        <w:t xml:space="preserve">acompañantes del conductor al momento del accidente, según sus propias declaraciones se encontraban uno dormido y el otro distraído con su celular, por lo que era falso que ellos pudieran decir que el conductor no mostraba signos de cansancio o somnolencia momentos antes del accidente. 2) Que, al ver la reclamante que su principal argumento no tenía sustento probatorio, ahora sustenta su recurso de impugnación en que la aseguradora no ha aportado una sola prueba objetiva de la negligencia alegada. Que, al respecto, la DEFASEG analizó los documentos policiales que, descartando todas y cada una de las posibles causas que pudieron haber causado el accidente, concluyeron valida y lógicamente que el siniestro se había generado a causa de un cansancio o somnolencia del conductor del vehículo debido a haber conducido por un exceso de horas desde la madrugada, con muy cortos periodos de descanso. Que, la determinación de la “causa adecuada” del siniestro (cansancio o somnolencia del conductor del vehículo) se concluyó, aunque no en base a algún medio de prueba fehaciente, si mediante pruebas de carácter indiciario como fue la declaración de la esposa del conductor, quien indicó dos aspectos que fueron relevantes para la investigación: i) Que, al conductor se le avisó de último momento para que asumiera un turno que no le correspondía, es decir, en vez de asumir su día de descanso, se le requirió la conducción por largas horas, y </w:t>
      </w:r>
      <w:proofErr w:type="spellStart"/>
      <w:r w:rsidRPr="00684568">
        <w:rPr>
          <w:rFonts w:ascii="Times New Roman" w:hAnsi="Times New Roman" w:cs="Times New Roman"/>
          <w:sz w:val="24"/>
          <w:szCs w:val="24"/>
          <w:lang w:val="es-PE"/>
        </w:rPr>
        <w:t>ii</w:t>
      </w:r>
      <w:proofErr w:type="spellEnd"/>
      <w:r w:rsidRPr="00684568">
        <w:rPr>
          <w:rFonts w:ascii="Times New Roman" w:hAnsi="Times New Roman" w:cs="Times New Roman"/>
          <w:sz w:val="24"/>
          <w:szCs w:val="24"/>
          <w:lang w:val="es-PE"/>
        </w:rPr>
        <w:t>) Que, el conductor comenzó su jornada a las 3:30. 3) Que, de esta manera se logró acreditar válidamente que la causa adecuada que generó la producción del accidente de tránsito fue el cansancio o somnolencia del conductor, producido por las largas horas de conducción desde las horas de la madrugada sin un descanso adecuado. Que, en la medida que dicho cansancio o somnolencia fue producto de la excesiva conducción por parte del conductor durante largas horas y con cortos periodos de descanso, aunado a que inició su labor en horas de la madrugada en un día que no le correspondía trabajar, dicha conducta deviene en un actuar negligente del asegurado, lo que configura un supuesto que se encuentra expresamente excluido de cobertura.</w:t>
      </w:r>
    </w:p>
    <w:p w14:paraId="69C79AD2" w14:textId="77777777" w:rsidR="00C21A70" w:rsidRPr="00684568" w:rsidRDefault="00C21A70" w:rsidP="00C21A70">
      <w:pPr>
        <w:spacing w:line="240" w:lineRule="auto"/>
        <w:jc w:val="both"/>
        <w:rPr>
          <w:rFonts w:ascii="Times New Roman" w:hAnsi="Times New Roman" w:cs="Times New Roman"/>
          <w:i/>
          <w:sz w:val="24"/>
          <w:szCs w:val="24"/>
          <w:lang w:val="es-PE"/>
        </w:rPr>
      </w:pPr>
      <w:r w:rsidRPr="00684568">
        <w:rPr>
          <w:rFonts w:ascii="Times New Roman" w:hAnsi="Times New Roman" w:cs="Times New Roman"/>
          <w:sz w:val="24"/>
          <w:szCs w:val="24"/>
          <w:lang w:val="es-PE"/>
        </w:rPr>
        <w:t>Que, atendiendo a lo expuesto, esta Defensoría resuelve finalmente lo siguiente:</w:t>
      </w:r>
    </w:p>
    <w:p w14:paraId="298B5A9C" w14:textId="77777777"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b/>
          <w:sz w:val="24"/>
          <w:szCs w:val="24"/>
          <w:lang w:val="es-PE"/>
        </w:rPr>
        <w:t>PRIMERO:</w:t>
      </w:r>
      <w:r w:rsidRPr="00684568">
        <w:rPr>
          <w:rFonts w:ascii="Times New Roman" w:hAnsi="Times New Roman" w:cs="Times New Roman"/>
          <w:sz w:val="24"/>
          <w:szCs w:val="24"/>
          <w:lang w:val="es-PE"/>
        </w:rPr>
        <w:t xml:space="preserve"> Que el artículo 10 (Procedimiento) del Reglamento de la DEFASEG (</w:t>
      </w:r>
      <w:hyperlink r:id="rId8" w:history="1">
        <w:r w:rsidRPr="00684568">
          <w:rPr>
            <w:rStyle w:val="Hipervnculo"/>
            <w:rFonts w:ascii="Times New Roman" w:hAnsi="Times New Roman" w:cs="Times New Roman"/>
            <w:sz w:val="24"/>
            <w:szCs w:val="24"/>
            <w:lang w:val="es-PE"/>
          </w:rPr>
          <w:t>http://www.defaseg.com.pe/reglamento</w:t>
        </w:r>
      </w:hyperlink>
      <w:r w:rsidRPr="00684568">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Consorcio Chongoyape,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621FD0DC" w14:textId="32EC7B69"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b/>
          <w:sz w:val="24"/>
          <w:szCs w:val="24"/>
          <w:lang w:val="es-PE"/>
        </w:rPr>
        <w:t>SEGUNDO:</w:t>
      </w:r>
      <w:r w:rsidRPr="00684568">
        <w:rPr>
          <w:rFonts w:ascii="Times New Roman" w:hAnsi="Times New Roman" w:cs="Times New Roman"/>
          <w:sz w:val="24"/>
          <w:szCs w:val="24"/>
          <w:lang w:val="es-PE"/>
        </w:rPr>
        <w:t xml:space="preserve"> Que, de la lectura del Recurso Impugnativo interpuesto se aprecia que el asegurado ya no menciona sus principales sustentos del primer escrito de reclamación (versión de los acompañantes del conductor del vehículo asegurado y solicitud de declarar el Siniestro Consentido), sustentos que ya fueron debidamente analizados en los Considerandos Noveno y Décimo de la Resolución recurrida. Que, en el presente Recurso Impugnativo, el asegurado sustenta dicho recurso en que, para </w:t>
      </w:r>
      <w:r w:rsidR="00975687" w:rsidRPr="00684568">
        <w:rPr>
          <w:sz w:val="24"/>
          <w:szCs w:val="24"/>
          <w:lang w:val="es-PE"/>
        </w:rPr>
        <w:t>...................</w:t>
      </w:r>
      <w:r w:rsidR="00975687" w:rsidRPr="00684568">
        <w:rPr>
          <w:rFonts w:ascii="Times New Roman" w:hAnsi="Times New Roman" w:cs="Times New Roman"/>
          <w:sz w:val="24"/>
          <w:szCs w:val="24"/>
          <w:lang w:val="es-PE"/>
        </w:rPr>
        <w:t xml:space="preserve">. </w:t>
      </w:r>
      <w:r w:rsidR="00975687" w:rsidRPr="00684568">
        <w:rPr>
          <w:rFonts w:ascii="Times New Roman" w:hAnsi="Times New Roman" w:cs="Times New Roman"/>
          <w:sz w:val="24"/>
          <w:szCs w:val="24"/>
          <w:lang w:val="es-PE"/>
        </w:rPr>
        <w:t xml:space="preserve"> </w:t>
      </w:r>
      <w:r w:rsidRPr="00684568">
        <w:rPr>
          <w:rFonts w:ascii="Times New Roman" w:hAnsi="Times New Roman" w:cs="Times New Roman"/>
          <w:sz w:val="24"/>
          <w:szCs w:val="24"/>
          <w:lang w:val="es-PE"/>
        </w:rPr>
        <w:t>y para el Tribunal, no resulta necesario que se pruebe materialmente la existencia cierta de la causal excluyente, sino que habría bastado la mera presunción de que hubo negligencia en la ocurrencia del accidente para desestimar la reclamación.</w:t>
      </w:r>
    </w:p>
    <w:p w14:paraId="799C7EFB" w14:textId="4D907FBF"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b/>
          <w:bCs/>
          <w:sz w:val="24"/>
          <w:szCs w:val="24"/>
          <w:lang w:val="es-PE"/>
        </w:rPr>
        <w:t xml:space="preserve">TERCERO: </w:t>
      </w:r>
      <w:r w:rsidRPr="00684568">
        <w:rPr>
          <w:rFonts w:ascii="Times New Roman" w:hAnsi="Times New Roman" w:cs="Times New Roman"/>
          <w:sz w:val="24"/>
          <w:szCs w:val="24"/>
          <w:lang w:val="es-PE"/>
        </w:rPr>
        <w:t xml:space="preserve">Que, en relación a lo manifestado en el Considerando Segundo, como consecuencia del completo análisis realizado por la PNP, se determinó que debido al estado de </w:t>
      </w:r>
      <w:r w:rsidRPr="00684568">
        <w:rPr>
          <w:rFonts w:ascii="Times New Roman" w:hAnsi="Times New Roman" w:cs="Times New Roman"/>
          <w:sz w:val="24"/>
          <w:szCs w:val="24"/>
          <w:lang w:val="es-PE"/>
        </w:rPr>
        <w:lastRenderedPageBreak/>
        <w:t xml:space="preserve">cansancio y somnolencia del conductor del vehículo asegurado se produjo el accidente de tránsito, lo que quedó corroborado por el INFORME TECNICO </w:t>
      </w:r>
      <w:proofErr w:type="spellStart"/>
      <w:r w:rsidRPr="00684568">
        <w:rPr>
          <w:rFonts w:ascii="Times New Roman" w:hAnsi="Times New Roman" w:cs="Times New Roman"/>
          <w:sz w:val="24"/>
          <w:szCs w:val="24"/>
          <w:lang w:val="es-PE"/>
        </w:rPr>
        <w:t>N°</w:t>
      </w:r>
      <w:proofErr w:type="spellEnd"/>
      <w:r w:rsidRPr="00684568">
        <w:rPr>
          <w:rFonts w:ascii="Times New Roman" w:hAnsi="Times New Roman" w:cs="Times New Roman"/>
          <w:sz w:val="24"/>
          <w:szCs w:val="24"/>
          <w:lang w:val="es-PE"/>
        </w:rPr>
        <w:t xml:space="preserve"> </w:t>
      </w:r>
      <w:r w:rsidR="007114D7" w:rsidRPr="00684568">
        <w:rPr>
          <w:sz w:val="24"/>
          <w:szCs w:val="24"/>
          <w:lang w:val="es-PE"/>
        </w:rPr>
        <w:t>...................</w:t>
      </w:r>
      <w:r w:rsidR="007114D7" w:rsidRPr="00684568">
        <w:rPr>
          <w:rFonts w:ascii="Times New Roman" w:hAnsi="Times New Roman" w:cs="Times New Roman"/>
          <w:sz w:val="24"/>
          <w:szCs w:val="24"/>
          <w:lang w:val="es-PE"/>
        </w:rPr>
        <w:t>.</w:t>
      </w:r>
      <w:r w:rsidRPr="00684568">
        <w:rPr>
          <w:rFonts w:ascii="Times New Roman" w:hAnsi="Times New Roman" w:cs="Times New Roman"/>
          <w:sz w:val="24"/>
          <w:szCs w:val="24"/>
          <w:lang w:val="es-PE"/>
        </w:rPr>
        <w:t>. Que, así mismo, sobre lo mencionado por el asegurado de que para desestimar la reclamación se ha utilizado una mera presunción de que hubo negligencia, es necesario aclarar que la definición de negligencia es la siguiente:</w:t>
      </w:r>
    </w:p>
    <w:p w14:paraId="03C05514" w14:textId="2B299780" w:rsidR="00C21A70" w:rsidRPr="00684568" w:rsidRDefault="00C21A70" w:rsidP="00C21A70">
      <w:pPr>
        <w:pStyle w:val="Prrafodelista"/>
        <w:numPr>
          <w:ilvl w:val="0"/>
          <w:numId w:val="12"/>
        </w:numPr>
        <w:spacing w:after="200"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 xml:space="preserve">Negligencia, del latín </w:t>
      </w:r>
      <w:r w:rsidR="00D87021" w:rsidRPr="00684568">
        <w:rPr>
          <w:rFonts w:ascii="Times New Roman" w:hAnsi="Times New Roman" w:cs="Times New Roman"/>
          <w:sz w:val="24"/>
          <w:szCs w:val="24"/>
          <w:lang w:val="es-PE"/>
        </w:rPr>
        <w:t>negligencia</w:t>
      </w:r>
      <w:r w:rsidRPr="00684568">
        <w:rPr>
          <w:rFonts w:ascii="Times New Roman" w:hAnsi="Times New Roman" w:cs="Times New Roman"/>
          <w:sz w:val="24"/>
          <w:szCs w:val="24"/>
          <w:lang w:val="es-PE"/>
        </w:rPr>
        <w:t>, es la falta de cuidado o el descuido. Una conducta negligente, por lo general, implica un riesgo para uno mismo o para terceros y se produce por la omisión del cálculo de las consecuencias previsibles y posibles de la propia acción.</w:t>
      </w:r>
    </w:p>
    <w:p w14:paraId="048C9758" w14:textId="77777777"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Que, así mismo, el Diccionario del Grupo Mapfre Seguros, define la negligencia como:</w:t>
      </w:r>
    </w:p>
    <w:p w14:paraId="2096AB7D" w14:textId="77777777" w:rsidR="00C21A70" w:rsidRPr="00684568" w:rsidRDefault="00C21A70" w:rsidP="00C21A70">
      <w:pPr>
        <w:pStyle w:val="Prrafodelista"/>
        <w:numPr>
          <w:ilvl w:val="0"/>
          <w:numId w:val="12"/>
        </w:numPr>
        <w:spacing w:after="200"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Descuido, falta de diligencia, omisión de la atención y cuidados que corresponde en los actos jurídicos y en la gestión de bienes.</w:t>
      </w:r>
    </w:p>
    <w:p w14:paraId="4F3DADCE" w14:textId="77777777"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 xml:space="preserve">Que, en el presente caso, el hecho de conducir en estado de cansancio o somnolencia, evidentemente constituye un hecho negligente que ocasionó el accidente de tránsito. Cabe señalar que este colegiado comparte la conclusión a la que arriba la policía sobre el estado de somnolencia, basado en la resolución impugnada; </w:t>
      </w:r>
      <w:proofErr w:type="spellStart"/>
      <w:r w:rsidRPr="00684568">
        <w:rPr>
          <w:rFonts w:ascii="Times New Roman" w:hAnsi="Times New Roman" w:cs="Times New Roman"/>
          <w:sz w:val="24"/>
          <w:szCs w:val="24"/>
          <w:lang w:val="es-PE"/>
        </w:rPr>
        <w:t>mas</w:t>
      </w:r>
      <w:proofErr w:type="spellEnd"/>
      <w:r w:rsidRPr="00684568">
        <w:rPr>
          <w:rFonts w:ascii="Times New Roman" w:hAnsi="Times New Roman" w:cs="Times New Roman"/>
          <w:sz w:val="24"/>
          <w:szCs w:val="24"/>
          <w:lang w:val="es-PE"/>
        </w:rPr>
        <w:t xml:space="preserve"> aún, cuando el propio reclamante señala que el conductor era un chofer que difícilmente perdería el control de la unidad por otra razón, descartada la falla mecánica o alguna otra.</w:t>
      </w:r>
    </w:p>
    <w:p w14:paraId="0C41980C" w14:textId="77777777"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Que, por lo tanto,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14:paraId="4B72C087" w14:textId="77777777"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Por consiguiente, este colegiado reitera su análisis contenido en la resolución recurrida.</w:t>
      </w:r>
    </w:p>
    <w:p w14:paraId="0C50CF6A" w14:textId="77777777" w:rsidR="00C21A70"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14:paraId="1331DD38" w14:textId="77777777" w:rsidR="00C21A70" w:rsidRPr="00684568" w:rsidRDefault="00C21A70" w:rsidP="00C21A70">
      <w:pPr>
        <w:spacing w:line="240" w:lineRule="auto"/>
        <w:jc w:val="both"/>
        <w:rPr>
          <w:rFonts w:ascii="Times New Roman" w:hAnsi="Times New Roman" w:cs="Times New Roman"/>
          <w:b/>
          <w:sz w:val="24"/>
          <w:szCs w:val="24"/>
          <w:lang w:val="es-PE"/>
        </w:rPr>
      </w:pPr>
      <w:r w:rsidRPr="00684568">
        <w:rPr>
          <w:rFonts w:ascii="Times New Roman" w:hAnsi="Times New Roman" w:cs="Times New Roman"/>
          <w:b/>
          <w:sz w:val="24"/>
          <w:szCs w:val="24"/>
          <w:lang w:val="es-PE"/>
        </w:rPr>
        <w:t xml:space="preserve">RESUELVE: </w:t>
      </w:r>
    </w:p>
    <w:p w14:paraId="489525D7" w14:textId="5C2C4C48" w:rsidR="005E398E" w:rsidRPr="00684568" w:rsidRDefault="00C21A70" w:rsidP="00C21A70">
      <w:pPr>
        <w:spacing w:line="240" w:lineRule="auto"/>
        <w:jc w:val="both"/>
        <w:rPr>
          <w:rFonts w:ascii="Times New Roman" w:hAnsi="Times New Roman" w:cs="Times New Roman"/>
          <w:sz w:val="24"/>
          <w:szCs w:val="24"/>
          <w:lang w:val="es-PE"/>
        </w:rPr>
      </w:pPr>
      <w:r w:rsidRPr="00684568">
        <w:rPr>
          <w:rFonts w:ascii="Times New Roman" w:hAnsi="Times New Roman" w:cs="Times New Roman"/>
          <w:sz w:val="24"/>
          <w:szCs w:val="24"/>
          <w:lang w:val="es-PE"/>
        </w:rPr>
        <w:t xml:space="preserve">Declarar </w:t>
      </w:r>
      <w:r w:rsidRPr="00684568">
        <w:rPr>
          <w:rFonts w:ascii="Times New Roman" w:hAnsi="Times New Roman" w:cs="Times New Roman"/>
          <w:b/>
          <w:sz w:val="24"/>
          <w:szCs w:val="24"/>
          <w:lang w:val="es-PE"/>
        </w:rPr>
        <w:t>INFUNDADO</w:t>
      </w:r>
      <w:r w:rsidRPr="00684568">
        <w:rPr>
          <w:rFonts w:ascii="Times New Roman" w:hAnsi="Times New Roman" w:cs="Times New Roman"/>
          <w:sz w:val="24"/>
          <w:szCs w:val="24"/>
          <w:lang w:val="es-PE"/>
        </w:rPr>
        <w:t xml:space="preserve"> el Recurso Impugnativo interpuesto y, por consiguiente, RATIFICAR la Resolución </w:t>
      </w:r>
      <w:proofErr w:type="spellStart"/>
      <w:r w:rsidRPr="00684568">
        <w:rPr>
          <w:rFonts w:ascii="Times New Roman" w:hAnsi="Times New Roman" w:cs="Times New Roman"/>
          <w:sz w:val="24"/>
          <w:szCs w:val="24"/>
          <w:lang w:val="es-PE"/>
        </w:rPr>
        <w:t>N°</w:t>
      </w:r>
      <w:proofErr w:type="spellEnd"/>
      <w:r w:rsidRPr="00684568">
        <w:rPr>
          <w:rFonts w:ascii="Times New Roman" w:hAnsi="Times New Roman" w:cs="Times New Roman"/>
          <w:sz w:val="24"/>
          <w:szCs w:val="24"/>
          <w:lang w:val="es-PE"/>
        </w:rPr>
        <w:t xml:space="preserve"> 066/21 que declaró INFUNDADA la reclamación interpuesta por </w:t>
      </w:r>
      <w:r w:rsidR="007114D7" w:rsidRPr="00684568">
        <w:rPr>
          <w:sz w:val="24"/>
          <w:szCs w:val="24"/>
          <w:lang w:val="es-PE"/>
        </w:rPr>
        <w:t>...................</w:t>
      </w:r>
      <w:r w:rsidR="007114D7" w:rsidRPr="00684568">
        <w:rPr>
          <w:rFonts w:ascii="Times New Roman" w:hAnsi="Times New Roman" w:cs="Times New Roman"/>
          <w:sz w:val="24"/>
          <w:szCs w:val="24"/>
          <w:lang w:val="es-PE"/>
        </w:rPr>
        <w:t xml:space="preserve">. </w:t>
      </w:r>
      <w:r w:rsidR="007114D7" w:rsidRPr="00684568">
        <w:rPr>
          <w:rFonts w:ascii="Times New Roman" w:hAnsi="Times New Roman" w:cs="Times New Roman"/>
          <w:sz w:val="24"/>
          <w:szCs w:val="24"/>
          <w:lang w:val="es-PE"/>
        </w:rPr>
        <w:t xml:space="preserve"> </w:t>
      </w:r>
      <w:r w:rsidRPr="00684568">
        <w:rPr>
          <w:rFonts w:ascii="Times New Roman" w:hAnsi="Times New Roman" w:cs="Times New Roman"/>
          <w:sz w:val="24"/>
          <w:szCs w:val="24"/>
          <w:lang w:val="es-PE"/>
        </w:rPr>
        <w:t xml:space="preserve">contra </w:t>
      </w:r>
      <w:r w:rsidR="007114D7" w:rsidRPr="00684568">
        <w:rPr>
          <w:sz w:val="24"/>
          <w:szCs w:val="24"/>
          <w:lang w:val="es-PE"/>
        </w:rPr>
        <w:t>...................</w:t>
      </w:r>
      <w:r w:rsidR="007114D7" w:rsidRPr="00684568">
        <w:rPr>
          <w:rFonts w:ascii="Times New Roman" w:hAnsi="Times New Roman" w:cs="Times New Roman"/>
          <w:sz w:val="24"/>
          <w:szCs w:val="24"/>
          <w:lang w:val="es-PE"/>
        </w:rPr>
        <w:t>.</w:t>
      </w:r>
      <w:r w:rsidRPr="00684568">
        <w:rPr>
          <w:rFonts w:ascii="Times New Roman" w:hAnsi="Times New Roman" w:cs="Times New Roman"/>
          <w:sz w:val="24"/>
          <w:szCs w:val="24"/>
          <w:lang w:val="es-PE"/>
        </w:rPr>
        <w:t>, dejando a salvo el derecho de la reclamante de acudir a otras instancias que considere pertinentes.</w:t>
      </w:r>
    </w:p>
    <w:p w14:paraId="2E756F42" w14:textId="77777777" w:rsidR="00C21A70" w:rsidRPr="00684568" w:rsidRDefault="00C21A70" w:rsidP="00C21A70">
      <w:pPr>
        <w:spacing w:line="240" w:lineRule="auto"/>
        <w:jc w:val="both"/>
        <w:rPr>
          <w:rFonts w:ascii="Times New Roman" w:hAnsi="Times New Roman" w:cs="Times New Roman"/>
          <w:sz w:val="24"/>
          <w:szCs w:val="24"/>
          <w:lang w:val="es-PE"/>
        </w:rPr>
      </w:pPr>
    </w:p>
    <w:p w14:paraId="486C3F46" w14:textId="7090B4E5" w:rsidR="00C671F5" w:rsidRPr="00684568"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684568">
        <w:rPr>
          <w:rFonts w:ascii="Times New Roman" w:eastAsia="Arial Unicode MS" w:hAnsi="Times New Roman" w:cs="Times New Roman"/>
          <w:sz w:val="24"/>
          <w:szCs w:val="24"/>
          <w:lang w:val="es-PE" w:eastAsia="ar-SA"/>
        </w:rPr>
        <w:t xml:space="preserve">Lima, </w:t>
      </w:r>
      <w:r w:rsidR="009A2E4D" w:rsidRPr="00684568">
        <w:rPr>
          <w:rFonts w:ascii="Times New Roman" w:eastAsia="Arial Unicode MS" w:hAnsi="Times New Roman" w:cs="Times New Roman"/>
          <w:sz w:val="24"/>
          <w:szCs w:val="24"/>
          <w:lang w:val="es-PE" w:eastAsia="ar-SA"/>
        </w:rPr>
        <w:t>26</w:t>
      </w:r>
      <w:r w:rsidR="00CF69DD" w:rsidRPr="00684568">
        <w:rPr>
          <w:rFonts w:ascii="Times New Roman" w:eastAsia="Arial Unicode MS" w:hAnsi="Times New Roman" w:cs="Times New Roman"/>
          <w:sz w:val="24"/>
          <w:szCs w:val="24"/>
          <w:lang w:val="es-PE" w:eastAsia="ar-SA"/>
        </w:rPr>
        <w:t xml:space="preserve"> </w:t>
      </w:r>
      <w:r w:rsidR="00707C99" w:rsidRPr="00684568">
        <w:rPr>
          <w:rFonts w:ascii="Times New Roman" w:eastAsia="Arial Unicode MS" w:hAnsi="Times New Roman" w:cs="Times New Roman"/>
          <w:sz w:val="24"/>
          <w:szCs w:val="24"/>
          <w:lang w:val="es-PE" w:eastAsia="ar-SA"/>
        </w:rPr>
        <w:t>de</w:t>
      </w:r>
      <w:r w:rsidR="00864B0B" w:rsidRPr="00684568">
        <w:rPr>
          <w:rFonts w:ascii="Times New Roman" w:eastAsia="Arial Unicode MS" w:hAnsi="Times New Roman" w:cs="Times New Roman"/>
          <w:sz w:val="24"/>
          <w:szCs w:val="24"/>
          <w:lang w:val="es-PE" w:eastAsia="ar-SA"/>
        </w:rPr>
        <w:t xml:space="preserve"> </w:t>
      </w:r>
      <w:r w:rsidR="0032345B" w:rsidRPr="00684568">
        <w:rPr>
          <w:rFonts w:ascii="Times New Roman" w:eastAsia="Arial Unicode MS" w:hAnsi="Times New Roman" w:cs="Times New Roman"/>
          <w:sz w:val="24"/>
          <w:szCs w:val="24"/>
          <w:lang w:val="es-PE" w:eastAsia="ar-SA"/>
        </w:rPr>
        <w:t>ju</w:t>
      </w:r>
      <w:r w:rsidR="00CF69DD" w:rsidRPr="00684568">
        <w:rPr>
          <w:rFonts w:ascii="Times New Roman" w:eastAsia="Arial Unicode MS" w:hAnsi="Times New Roman" w:cs="Times New Roman"/>
          <w:sz w:val="24"/>
          <w:szCs w:val="24"/>
          <w:lang w:val="es-PE" w:eastAsia="ar-SA"/>
        </w:rPr>
        <w:t>lio</w:t>
      </w:r>
      <w:r w:rsidR="00F06498" w:rsidRPr="00684568">
        <w:rPr>
          <w:rFonts w:ascii="Times New Roman" w:eastAsia="Arial Unicode MS" w:hAnsi="Times New Roman" w:cs="Times New Roman"/>
          <w:sz w:val="24"/>
          <w:szCs w:val="24"/>
          <w:lang w:val="es-PE" w:eastAsia="ar-SA"/>
        </w:rPr>
        <w:t xml:space="preserve"> de 202</w:t>
      </w:r>
      <w:r w:rsidR="00231C58" w:rsidRPr="00684568">
        <w:rPr>
          <w:rFonts w:ascii="Times New Roman" w:eastAsia="Arial Unicode MS" w:hAnsi="Times New Roman" w:cs="Times New Roman"/>
          <w:sz w:val="24"/>
          <w:szCs w:val="24"/>
          <w:lang w:val="es-PE" w:eastAsia="ar-SA"/>
        </w:rPr>
        <w:t>1</w:t>
      </w:r>
      <w:r w:rsidR="00707C99" w:rsidRPr="00684568">
        <w:rPr>
          <w:rFonts w:ascii="Times New Roman" w:eastAsia="Times New Roman" w:hAnsi="Times New Roman" w:cs="Times New Roman"/>
          <w:sz w:val="24"/>
          <w:szCs w:val="24"/>
          <w:lang w:val="es-PE" w:eastAsia="ar-SA"/>
        </w:rPr>
        <w:t xml:space="preserve"> </w:t>
      </w:r>
    </w:p>
    <w:p w14:paraId="2B9BAAC8" w14:textId="77777777" w:rsidR="00231C58" w:rsidRPr="00684568"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684568" w:rsidRDefault="00C671F5" w:rsidP="004A374A">
      <w:pPr>
        <w:spacing w:after="0" w:line="240" w:lineRule="auto"/>
        <w:jc w:val="both"/>
        <w:rPr>
          <w:rFonts w:ascii="Times New Roman" w:hAnsi="Times New Roman" w:cs="Times New Roman"/>
          <w:b/>
          <w:bCs/>
          <w:i/>
          <w:iCs/>
          <w:sz w:val="24"/>
          <w:szCs w:val="24"/>
          <w:lang w:val="es-PE"/>
        </w:rPr>
      </w:pPr>
      <w:r w:rsidRPr="0068456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4740D4E7" w:rsidR="00C671F5" w:rsidRPr="00684568" w:rsidRDefault="00C671F5" w:rsidP="004A374A">
      <w:pPr>
        <w:spacing w:after="0" w:line="240" w:lineRule="auto"/>
        <w:jc w:val="both"/>
        <w:rPr>
          <w:rFonts w:ascii="Times New Roman" w:hAnsi="Times New Roman" w:cs="Times New Roman"/>
          <w:b/>
          <w:bCs/>
          <w:i/>
          <w:iCs/>
          <w:sz w:val="24"/>
          <w:szCs w:val="24"/>
          <w:lang w:val="es-PE"/>
        </w:rPr>
      </w:pPr>
    </w:p>
    <w:p w14:paraId="1D34893F" w14:textId="77777777" w:rsidR="00C21A70" w:rsidRPr="00684568" w:rsidRDefault="00C21A70" w:rsidP="004A374A">
      <w:pPr>
        <w:spacing w:after="0" w:line="240" w:lineRule="auto"/>
        <w:jc w:val="both"/>
        <w:rPr>
          <w:rFonts w:ascii="Times New Roman" w:hAnsi="Times New Roman" w:cs="Times New Roman"/>
          <w:b/>
          <w:bCs/>
          <w:i/>
          <w:iCs/>
          <w:sz w:val="24"/>
          <w:szCs w:val="24"/>
          <w:lang w:val="es-PE"/>
        </w:rPr>
      </w:pPr>
    </w:p>
    <w:p w14:paraId="033E3E13" w14:textId="7196E86D" w:rsidR="0032345B" w:rsidRPr="00684568" w:rsidRDefault="0032345B" w:rsidP="004A374A">
      <w:pPr>
        <w:spacing w:after="0" w:line="360" w:lineRule="auto"/>
        <w:jc w:val="center"/>
        <w:rPr>
          <w:rFonts w:ascii="Times New Roman" w:hAnsi="Times New Roman" w:cs="Times New Roman"/>
          <w:b/>
          <w:bCs/>
          <w:sz w:val="24"/>
          <w:szCs w:val="24"/>
          <w:lang w:val="es-PE"/>
        </w:rPr>
      </w:pPr>
      <w:r w:rsidRPr="00684568">
        <w:rPr>
          <w:rFonts w:ascii="Times New Roman" w:hAnsi="Times New Roman" w:cs="Times New Roman"/>
          <w:b/>
          <w:bCs/>
          <w:sz w:val="24"/>
          <w:szCs w:val="24"/>
          <w:lang w:val="es-PE"/>
        </w:rPr>
        <w:t>María Eugenia Valdez Fernández Baca– Vocal</w:t>
      </w:r>
    </w:p>
    <w:p w14:paraId="3006BA35" w14:textId="7871895F" w:rsidR="00292018" w:rsidRPr="00684568" w:rsidRDefault="00292018" w:rsidP="004A374A">
      <w:pPr>
        <w:spacing w:after="0" w:line="360" w:lineRule="auto"/>
        <w:jc w:val="center"/>
        <w:rPr>
          <w:rFonts w:ascii="Times New Roman" w:hAnsi="Times New Roman" w:cs="Times New Roman"/>
          <w:b/>
          <w:bCs/>
          <w:sz w:val="24"/>
          <w:szCs w:val="24"/>
          <w:lang w:val="es-PE"/>
        </w:rPr>
      </w:pPr>
      <w:r w:rsidRPr="00684568">
        <w:rPr>
          <w:rFonts w:ascii="Times New Roman" w:hAnsi="Times New Roman" w:cs="Times New Roman"/>
          <w:b/>
          <w:bCs/>
          <w:sz w:val="24"/>
          <w:szCs w:val="24"/>
          <w:lang w:val="es-PE"/>
        </w:rPr>
        <w:lastRenderedPageBreak/>
        <w:t xml:space="preserve">Rolando Eyzaguirre </w:t>
      </w:r>
      <w:proofErr w:type="spellStart"/>
      <w:r w:rsidRPr="00684568">
        <w:rPr>
          <w:rFonts w:ascii="Times New Roman" w:hAnsi="Times New Roman" w:cs="Times New Roman"/>
          <w:b/>
          <w:bCs/>
          <w:sz w:val="24"/>
          <w:szCs w:val="24"/>
          <w:lang w:val="es-PE"/>
        </w:rPr>
        <w:t>Maccan</w:t>
      </w:r>
      <w:proofErr w:type="spellEnd"/>
      <w:r w:rsidRPr="00684568">
        <w:rPr>
          <w:rFonts w:ascii="Times New Roman" w:hAnsi="Times New Roman" w:cs="Times New Roman"/>
          <w:b/>
          <w:bCs/>
          <w:sz w:val="24"/>
          <w:szCs w:val="24"/>
          <w:lang w:val="es-PE"/>
        </w:rPr>
        <w:t xml:space="preserve"> – Vocal</w:t>
      </w:r>
    </w:p>
    <w:p w14:paraId="3A9CFE9F" w14:textId="4DFF4426" w:rsidR="00C671F5" w:rsidRPr="00684568" w:rsidRDefault="00C671F5" w:rsidP="004A374A">
      <w:pPr>
        <w:spacing w:after="0" w:line="360" w:lineRule="auto"/>
        <w:jc w:val="center"/>
        <w:rPr>
          <w:rFonts w:ascii="Times New Roman" w:hAnsi="Times New Roman" w:cs="Times New Roman"/>
          <w:sz w:val="24"/>
          <w:szCs w:val="24"/>
          <w:lang w:val="es-PE"/>
        </w:rPr>
      </w:pPr>
      <w:r w:rsidRPr="00684568">
        <w:rPr>
          <w:rFonts w:ascii="Times New Roman" w:hAnsi="Times New Roman" w:cs="Times New Roman"/>
          <w:b/>
          <w:bCs/>
          <w:sz w:val="24"/>
          <w:szCs w:val="24"/>
          <w:lang w:val="es-PE"/>
        </w:rPr>
        <w:t xml:space="preserve">Gonzalo Abad del Busto </w:t>
      </w:r>
      <w:r w:rsidR="00231C58" w:rsidRPr="00684568">
        <w:rPr>
          <w:rFonts w:ascii="Times New Roman" w:hAnsi="Times New Roman" w:cs="Times New Roman"/>
          <w:b/>
          <w:bCs/>
          <w:sz w:val="24"/>
          <w:szCs w:val="24"/>
          <w:lang w:val="es-PE"/>
        </w:rPr>
        <w:t xml:space="preserve">– </w:t>
      </w:r>
      <w:r w:rsidRPr="00684568">
        <w:rPr>
          <w:rFonts w:ascii="Times New Roman" w:hAnsi="Times New Roman" w:cs="Times New Roman"/>
          <w:b/>
          <w:bCs/>
          <w:sz w:val="24"/>
          <w:szCs w:val="24"/>
          <w:lang w:val="es-PE"/>
        </w:rPr>
        <w:t>Vocal</w:t>
      </w:r>
    </w:p>
    <w:p w14:paraId="2C3A0205" w14:textId="088A5D08" w:rsidR="00C671F5" w:rsidRPr="00684568" w:rsidRDefault="00C671F5" w:rsidP="004A374A">
      <w:pPr>
        <w:spacing w:line="240" w:lineRule="auto"/>
        <w:rPr>
          <w:rFonts w:ascii="Times New Roman" w:eastAsia="Arial Unicode MS" w:hAnsi="Times New Roman" w:cs="Times New Roman"/>
          <w:sz w:val="24"/>
          <w:szCs w:val="24"/>
          <w:lang w:val="es-PE" w:eastAsia="ar-SA"/>
        </w:rPr>
      </w:pPr>
    </w:p>
    <w:p w14:paraId="4066B3F1" w14:textId="77777777" w:rsidR="00C21A70" w:rsidRPr="00684568" w:rsidRDefault="00C21A70" w:rsidP="00C21A70">
      <w:pPr>
        <w:jc w:val="both"/>
        <w:rPr>
          <w:rFonts w:ascii="Times New Roman" w:hAnsi="Times New Roman" w:cs="Times New Roman"/>
          <w:b/>
          <w:bCs/>
          <w:sz w:val="24"/>
          <w:szCs w:val="24"/>
          <w:lang w:val="es-PE"/>
        </w:rPr>
      </w:pPr>
      <w:r w:rsidRPr="00684568">
        <w:rPr>
          <w:rFonts w:ascii="Times New Roman" w:hAnsi="Times New Roman" w:cs="Times New Roman"/>
          <w:b/>
          <w:bCs/>
          <w:sz w:val="24"/>
          <w:szCs w:val="24"/>
          <w:lang w:val="es-PE"/>
        </w:rPr>
        <w:t>El vocal Marco Antonio Ortega Piana se inhibe de conocer y actuar en este caso por existir conflicto de interés con la parte reclamante.</w:t>
      </w:r>
    </w:p>
    <w:p w14:paraId="3F1FC21D" w14:textId="77777777" w:rsidR="00C21A70" w:rsidRPr="00684568" w:rsidRDefault="00C21A70" w:rsidP="004A374A">
      <w:pPr>
        <w:spacing w:line="240" w:lineRule="auto"/>
        <w:rPr>
          <w:rFonts w:ascii="Times New Roman" w:eastAsia="Arial Unicode MS" w:hAnsi="Times New Roman" w:cs="Times New Roman"/>
          <w:sz w:val="24"/>
          <w:szCs w:val="24"/>
          <w:lang w:val="es-PE" w:eastAsia="ar-SA"/>
        </w:rPr>
      </w:pPr>
    </w:p>
    <w:sectPr w:rsidR="00C21A70" w:rsidRPr="00684568"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AB2F7" w14:textId="77777777" w:rsidR="0067032D" w:rsidRDefault="0067032D" w:rsidP="00784355">
      <w:pPr>
        <w:spacing w:after="0" w:line="240" w:lineRule="auto"/>
      </w:pPr>
      <w:r>
        <w:separator/>
      </w:r>
    </w:p>
  </w:endnote>
  <w:endnote w:type="continuationSeparator" w:id="0">
    <w:p w14:paraId="3E5429BE" w14:textId="77777777" w:rsidR="0067032D" w:rsidRDefault="0067032D"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2A4BC" w14:textId="77777777" w:rsidR="0067032D" w:rsidRDefault="0067032D" w:rsidP="00784355">
      <w:pPr>
        <w:spacing w:after="0" w:line="240" w:lineRule="auto"/>
      </w:pPr>
      <w:r>
        <w:separator/>
      </w:r>
    </w:p>
  </w:footnote>
  <w:footnote w:type="continuationSeparator" w:id="0">
    <w:p w14:paraId="5EF98C96" w14:textId="77777777" w:rsidR="0067032D" w:rsidRDefault="0067032D"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3C05796"/>
    <w:multiLevelType w:val="hybridMultilevel"/>
    <w:tmpl w:val="E0582A12"/>
    <w:lvl w:ilvl="0" w:tplc="E796FC4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1"/>
  </w:num>
  <w:num w:numId="10">
    <w:abstractNumId w:val="10"/>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628E6"/>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032D"/>
    <w:rsid w:val="00671DB5"/>
    <w:rsid w:val="00680C36"/>
    <w:rsid w:val="00680D8A"/>
    <w:rsid w:val="00684568"/>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114D7"/>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5687"/>
    <w:rsid w:val="009765CD"/>
    <w:rsid w:val="00997863"/>
    <w:rsid w:val="009A1120"/>
    <w:rsid w:val="009A28B5"/>
    <w:rsid w:val="009A2E4D"/>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1A70"/>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87021"/>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637641496">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376C314-A0B9-4D22-9FED-D96601C1C459}"/>
</file>

<file path=customXml/itemProps3.xml><?xml version="1.0" encoding="utf-8"?>
<ds:datastoreItem xmlns:ds="http://schemas.openxmlformats.org/officeDocument/2006/customXml" ds:itemID="{696894AF-0B59-4881-9168-ADFAFA62DB9D}"/>
</file>

<file path=customXml/itemProps4.xml><?xml version="1.0" encoding="utf-8"?>
<ds:datastoreItem xmlns:ds="http://schemas.openxmlformats.org/officeDocument/2006/customXml" ds:itemID="{342571F9-2530-4B37-89B4-10A8DCB88EEB}"/>
</file>

<file path=docProps/app.xml><?xml version="1.0" encoding="utf-8"?>
<Properties xmlns="http://schemas.openxmlformats.org/officeDocument/2006/extended-properties" xmlns:vt="http://schemas.openxmlformats.org/officeDocument/2006/docPropsVTypes">
  <Template>Normal</Template>
  <TotalTime>267</TotalTime>
  <Pages>4</Pages>
  <Words>1657</Words>
  <Characters>9119</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70</cp:revision>
  <cp:lastPrinted>2021-07-27T11:58:00Z</cp:lastPrinted>
  <dcterms:created xsi:type="dcterms:W3CDTF">2020-12-18T20:17:00Z</dcterms:created>
  <dcterms:modified xsi:type="dcterms:W3CDTF">2022-03-10T16:00:00Z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