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B1AC5" w:rsidR="00EF0B7F" w:rsidP="00EF0B7F" w:rsidRDefault="00201C0D" w14:paraId="632C635A" w14:textId="088E4348">
      <w:pPr>
        <w:pStyle w:val="Ttulo2"/>
        <w:jc w:val="center"/>
        <w:rPr>
          <w:rFonts w:ascii="Times New Roman" w:hAnsi="Times New Roman" w:cs="Times New Roman"/>
          <w:b/>
          <w:bCs/>
          <w:color w:val="auto"/>
          <w:sz w:val="24"/>
          <w:szCs w:val="24"/>
          <w:lang w:val="es-PE" w:eastAsia="ar-SA"/>
        </w:rPr>
      </w:pPr>
      <w:r w:rsidRPr="005B1AC5">
        <w:rPr>
          <w:rFonts w:ascii="Times New Roman" w:hAnsi="Times New Roman" w:cs="Times New Roman"/>
          <w:b/>
          <w:bCs/>
          <w:color w:val="auto"/>
          <w:sz w:val="24"/>
          <w:szCs w:val="24"/>
          <w:lang w:val="es-PE" w:eastAsia="ar-SA"/>
        </w:rPr>
        <w:t xml:space="preserve">RESOLUCIÓN DE RECURSO IMPUGNATIVO </w:t>
      </w:r>
      <w:proofErr w:type="spellStart"/>
      <w:r w:rsidRPr="005B1AC5" w:rsidR="00707C99">
        <w:rPr>
          <w:rFonts w:ascii="Times New Roman" w:hAnsi="Times New Roman" w:cs="Times New Roman"/>
          <w:b/>
          <w:bCs/>
          <w:color w:val="auto"/>
          <w:sz w:val="24"/>
          <w:szCs w:val="24"/>
          <w:lang w:val="es-PE" w:eastAsia="ar-SA"/>
        </w:rPr>
        <w:t>N°</w:t>
      </w:r>
      <w:proofErr w:type="spellEnd"/>
      <w:r w:rsidRPr="005B1AC5" w:rsidR="00707C99">
        <w:rPr>
          <w:rFonts w:ascii="Times New Roman" w:hAnsi="Times New Roman" w:cs="Times New Roman"/>
          <w:b/>
          <w:bCs/>
          <w:color w:val="auto"/>
          <w:sz w:val="24"/>
          <w:szCs w:val="24"/>
          <w:lang w:val="es-PE" w:eastAsia="ar-SA"/>
        </w:rPr>
        <w:t xml:space="preserve"> </w:t>
      </w:r>
      <w:r w:rsidRPr="005B1AC5" w:rsidR="00C671F5">
        <w:rPr>
          <w:rFonts w:ascii="Times New Roman" w:hAnsi="Times New Roman" w:cs="Times New Roman"/>
          <w:b/>
          <w:bCs/>
          <w:color w:val="auto"/>
          <w:sz w:val="24"/>
          <w:szCs w:val="24"/>
          <w:lang w:val="es-PE" w:eastAsia="ar-SA"/>
        </w:rPr>
        <w:t>0</w:t>
      </w:r>
      <w:r w:rsidRPr="005B1AC5" w:rsidR="00EF0B7F">
        <w:rPr>
          <w:rFonts w:ascii="Times New Roman" w:hAnsi="Times New Roman" w:cs="Times New Roman"/>
          <w:b/>
          <w:bCs/>
          <w:color w:val="auto"/>
          <w:sz w:val="24"/>
          <w:szCs w:val="24"/>
          <w:lang w:val="es-PE" w:eastAsia="ar-SA"/>
        </w:rPr>
        <w:t>4</w:t>
      </w:r>
      <w:r w:rsidRPr="005B1AC5" w:rsidR="005B1AC5">
        <w:rPr>
          <w:rFonts w:ascii="Times New Roman" w:hAnsi="Times New Roman" w:cs="Times New Roman"/>
          <w:b/>
          <w:bCs/>
          <w:color w:val="auto"/>
          <w:sz w:val="24"/>
          <w:szCs w:val="24"/>
          <w:lang w:val="es-PE" w:eastAsia="ar-SA"/>
        </w:rPr>
        <w:t>3</w:t>
      </w:r>
      <w:r w:rsidRPr="005B1AC5" w:rsidR="00517CFF">
        <w:rPr>
          <w:rFonts w:ascii="Times New Roman" w:hAnsi="Times New Roman" w:cs="Times New Roman"/>
          <w:b/>
          <w:bCs/>
          <w:color w:val="auto"/>
          <w:sz w:val="24"/>
          <w:szCs w:val="24"/>
          <w:lang w:val="es-PE" w:eastAsia="ar-SA"/>
        </w:rPr>
        <w:t>/</w:t>
      </w:r>
      <w:r w:rsidRPr="005B1AC5" w:rsidR="00C671F5">
        <w:rPr>
          <w:rFonts w:ascii="Times New Roman" w:hAnsi="Times New Roman" w:cs="Times New Roman"/>
          <w:b/>
          <w:bCs/>
          <w:color w:val="auto"/>
          <w:sz w:val="24"/>
          <w:szCs w:val="24"/>
          <w:lang w:val="es-PE" w:eastAsia="ar-SA"/>
        </w:rPr>
        <w:t>2</w:t>
      </w:r>
      <w:r w:rsidRPr="005B1AC5" w:rsidR="00231C58">
        <w:rPr>
          <w:rFonts w:ascii="Times New Roman" w:hAnsi="Times New Roman" w:cs="Times New Roman"/>
          <w:b/>
          <w:bCs/>
          <w:color w:val="auto"/>
          <w:sz w:val="24"/>
          <w:szCs w:val="24"/>
          <w:lang w:val="es-PE" w:eastAsia="ar-SA"/>
        </w:rPr>
        <w:t>1</w:t>
      </w:r>
    </w:p>
    <w:p w:rsidRPr="005B1AC5" w:rsidR="00EF0B7F" w:rsidP="00EF0B7F" w:rsidRDefault="00EF0B7F" w14:paraId="3D4CE234" w14:textId="77777777">
      <w:pPr>
        <w:rPr>
          <w:rFonts w:ascii="Times New Roman" w:hAnsi="Times New Roman" w:cs="Times New Roman"/>
          <w:sz w:val="24"/>
          <w:szCs w:val="24"/>
          <w:lang w:val="es-PE" w:eastAsia="ar-SA"/>
        </w:rPr>
      </w:pPr>
    </w:p>
    <w:p w:rsidRPr="005B1AC5" w:rsidR="005B1AC5" w:rsidP="005B1AC5" w:rsidRDefault="005B1AC5" w14:paraId="459E0878"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5B1AC5">
        <w:rPr>
          <w:rFonts w:ascii="Times New Roman" w:hAnsi="Times New Roman" w:eastAsia="Times New Roman" w:cs="Times New Roman"/>
          <w:b/>
          <w:bCs/>
          <w:sz w:val="24"/>
          <w:szCs w:val="24"/>
          <w:lang w:val="es-MX" w:eastAsia="ar-SA"/>
        </w:rPr>
        <w:t>Vistos:</w:t>
      </w:r>
    </w:p>
    <w:p w:rsidRPr="005B1AC5" w:rsidR="005B1AC5" w:rsidP="005B1AC5" w:rsidRDefault="005B1AC5" w14:paraId="5AB7BF88"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5B1AC5">
        <w:rPr>
          <w:rFonts w:ascii="Times New Roman" w:hAnsi="Times New Roman" w:eastAsia="Times New Roman" w:cs="Times New Roman"/>
          <w:b/>
          <w:bCs/>
          <w:sz w:val="24"/>
          <w:szCs w:val="24"/>
          <w:lang w:val="es-MX" w:eastAsia="ar-SA"/>
        </w:rPr>
        <w:t xml:space="preserve">   </w:t>
      </w:r>
    </w:p>
    <w:p w:rsidRPr="005B1AC5" w:rsidR="005B1AC5" w:rsidP="005B1AC5" w:rsidRDefault="005B1AC5" w14:paraId="563B9960" w14:textId="16EEC3E2">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7FCDC845" w:rsidR="005B1AC5">
        <w:rPr>
          <w:rFonts w:ascii="Times New Roman" w:hAnsi="Times New Roman" w:eastAsia="Times New Roman" w:cs="Times New Roman"/>
          <w:sz w:val="24"/>
          <w:szCs w:val="24"/>
          <w:lang w:val="es-ES" w:eastAsia="ar-SA"/>
        </w:rPr>
        <w:t>El recurso de impugnación presentado con fecha 3 de agosto de 2021 por</w:t>
      </w:r>
      <w:r w:rsidRPr="7FCDC845" w:rsidR="005B1AC5">
        <w:rPr>
          <w:rFonts w:ascii="Times New Roman" w:hAnsi="Times New Roman" w:eastAsia="Times New Roman" w:cs="Times New Roman"/>
          <w:sz w:val="24"/>
          <w:szCs w:val="24"/>
          <w:lang w:val="es-PE" w:eastAsia="es-ES"/>
        </w:rPr>
        <w:t xml:space="preserve"> </w:t>
      </w:r>
      <w:r w:rsidRPr="7FCDC845" w:rsidR="5B89F860">
        <w:rPr>
          <w:rFonts w:ascii="Times New Roman" w:hAnsi="Times New Roman" w:eastAsia="Times New Roman" w:cs="Times New Roman"/>
          <w:sz w:val="24"/>
          <w:szCs w:val="24"/>
          <w:lang w:val="es-PE" w:eastAsia="es-ES"/>
        </w:rPr>
        <w:t>.............................................................</w:t>
      </w:r>
      <w:r w:rsidRPr="7FCDC845" w:rsidR="005B1AC5">
        <w:rPr>
          <w:rFonts w:ascii="Times New Roman" w:hAnsi="Times New Roman" w:eastAsia="Times New Roman" w:cs="Times New Roman"/>
          <w:sz w:val="24"/>
          <w:szCs w:val="24"/>
          <w:lang w:val="es-PE" w:eastAsia="es-ES"/>
        </w:rPr>
        <w:t xml:space="preserve">, debidamente representada por su gerente, don </w:t>
      </w:r>
      <w:r w:rsidRPr="7FCDC845" w:rsidR="21BD8069">
        <w:rPr>
          <w:rFonts w:ascii="Times New Roman" w:hAnsi="Times New Roman" w:eastAsia="Times New Roman" w:cs="Times New Roman"/>
          <w:sz w:val="24"/>
          <w:szCs w:val="24"/>
          <w:lang w:val="es-PE" w:eastAsia="es-ES"/>
        </w:rPr>
        <w:t>............................................</w:t>
      </w:r>
      <w:r w:rsidRPr="7FCDC845" w:rsidR="005B1AC5">
        <w:rPr>
          <w:rFonts w:ascii="Times New Roman" w:hAnsi="Times New Roman" w:eastAsia="Times New Roman" w:cs="Times New Roman"/>
          <w:sz w:val="24"/>
          <w:szCs w:val="24"/>
          <w:lang w:val="es-PE" w:eastAsia="es-ES"/>
        </w:rPr>
        <w:t>, según representación acreditada en el expediente</w:t>
      </w:r>
      <w:r w:rsidRPr="7FCDC845" w:rsidR="005B1AC5">
        <w:rPr>
          <w:rFonts w:ascii="Times New Roman" w:hAnsi="Times New Roman" w:eastAsia="Times New Roman" w:cs="Times New Roman"/>
          <w:sz w:val="24"/>
          <w:szCs w:val="24"/>
          <w:lang w:val="es-ES" w:eastAsia="ar-SA"/>
        </w:rPr>
        <w:t xml:space="preserve">, respecto de la Resolución Nro. 093/21, de fecha 26 de julio de 2021, emitida por esta Defensoría del Asegurado (DEFASEG), que declaró INFUNDADA </w:t>
      </w:r>
      <w:r w:rsidRPr="7FCDC845" w:rsidR="005B1AC5">
        <w:rPr>
          <w:rFonts w:ascii="Times New Roman" w:hAnsi="Times New Roman" w:eastAsia="Arial Unicode MS" w:cs="Times New Roman"/>
          <w:sz w:val="24"/>
          <w:szCs w:val="24"/>
          <w:lang w:val="es-PE"/>
        </w:rPr>
        <w:t xml:space="preserve">su reclamación contra </w:t>
      </w:r>
      <w:r w:rsidRPr="7FCDC845" w:rsidR="34623245">
        <w:rPr>
          <w:rFonts w:ascii="Times New Roman" w:hAnsi="Times New Roman" w:cs="Times New Roman"/>
          <w:sz w:val="24"/>
          <w:szCs w:val="24"/>
          <w:lang w:val="es-ES"/>
        </w:rPr>
        <w:t>............................................</w:t>
      </w:r>
      <w:r w:rsidRPr="7FCDC845" w:rsidR="005B1AC5">
        <w:rPr>
          <w:rFonts w:ascii="Times New Roman" w:hAnsi="Times New Roman" w:eastAsia="Times New Roman" w:cs="Times New Roman"/>
          <w:sz w:val="24"/>
          <w:szCs w:val="24"/>
          <w:lang w:val="es-PE" w:eastAsia="es-ES"/>
        </w:rPr>
        <w:t xml:space="preserve"> sobre otorgamiento de cobertura al</w:t>
      </w:r>
      <w:r w:rsidRPr="7FCDC845" w:rsidR="005B1AC5">
        <w:rPr>
          <w:rFonts w:ascii="Times New Roman" w:hAnsi="Times New Roman" w:eastAsia="Times New Roman" w:cs="Times New Roman"/>
          <w:sz w:val="24"/>
          <w:szCs w:val="24"/>
          <w:lang w:val="es-PE" w:eastAsia="es-ES"/>
        </w:rPr>
        <w:t xml:space="preserve"> siniestro vehicular ocurrido con fecha 13 de marzo de 2020</w:t>
      </w:r>
      <w:r w:rsidRPr="7FCDC845" w:rsidR="005B1AC5">
        <w:rPr>
          <w:rFonts w:ascii="Times New Roman" w:hAnsi="Times New Roman" w:cs="Times New Roman"/>
          <w:sz w:val="24"/>
          <w:szCs w:val="24"/>
          <w:lang w:val="es-ES" w:eastAsia="es-ES"/>
        </w:rPr>
        <w:t xml:space="preserve">, </w:t>
      </w:r>
      <w:r w:rsidRPr="7FCDC845" w:rsidR="005B1AC5">
        <w:rPr>
          <w:rFonts w:ascii="Times New Roman" w:hAnsi="Times New Roman" w:eastAsia="Times New Roman" w:cs="Times New Roman"/>
          <w:sz w:val="24"/>
          <w:szCs w:val="24"/>
          <w:lang w:val="es-PE" w:eastAsia="es-ES"/>
        </w:rPr>
        <w:t>de acuerdo a</w:t>
      </w:r>
      <w:r w:rsidRPr="7FCDC845" w:rsidR="005B1AC5">
        <w:rPr>
          <w:rFonts w:ascii="Times New Roman" w:hAnsi="Times New Roman" w:eastAsia="Times New Roman" w:cs="Times New Roman"/>
          <w:sz w:val="24"/>
          <w:szCs w:val="24"/>
          <w:lang w:val="es-PE" w:eastAsia="es-ES"/>
        </w:rPr>
        <w:t xml:space="preserve"> los términos y condiciones del </w:t>
      </w:r>
      <w:r w:rsidRPr="7FCDC845" w:rsidR="005B1AC5">
        <w:rPr>
          <w:rFonts w:ascii="Times New Roman" w:hAnsi="Times New Roman" w:cs="Times New Roman"/>
          <w:sz w:val="24"/>
          <w:szCs w:val="24"/>
          <w:lang w:val="es-PE"/>
        </w:rPr>
        <w:t xml:space="preserve">Seguro de Equipo de Contratistas TREC – Póliza Nro. </w:t>
      </w:r>
      <w:r w:rsidRPr="7FCDC845" w:rsidR="2253E6FD">
        <w:rPr>
          <w:rFonts w:ascii="Times New Roman" w:hAnsi="Times New Roman" w:cs="Times New Roman"/>
          <w:sz w:val="24"/>
          <w:szCs w:val="24"/>
          <w:lang w:val="es-PE"/>
        </w:rPr>
        <w:t>............................................</w:t>
      </w:r>
      <w:bookmarkStart w:name="OLE_LINK2" w:id="0"/>
      <w:r w:rsidRPr="7FCDC845" w:rsidR="005B1AC5">
        <w:rPr>
          <w:rFonts w:ascii="Times New Roman" w:hAnsi="Times New Roman" w:cs="Times New Roman"/>
          <w:sz w:val="24"/>
          <w:szCs w:val="24"/>
          <w:lang w:val="es-PE"/>
        </w:rPr>
        <w:t>;</w:t>
      </w:r>
    </w:p>
    <w:bookmarkEnd w:id="0"/>
    <w:p w:rsidRPr="005B1AC5" w:rsidR="005B1AC5" w:rsidP="005B1AC5" w:rsidRDefault="005B1AC5" w14:paraId="4777D0F7"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ES" w:eastAsia="ar-SA"/>
        </w:rPr>
      </w:pPr>
    </w:p>
    <w:p w:rsidRPr="005B1AC5" w:rsidR="005B1AC5" w:rsidP="7FCDC845" w:rsidRDefault="005B1AC5" w14:paraId="5A986C72" w14:textId="18423B8F">
      <w:pPr>
        <w:suppressAutoHyphens/>
        <w:spacing w:after="0" w:line="240" w:lineRule="auto"/>
        <w:jc w:val="both"/>
        <w:rPr>
          <w:rFonts w:ascii="Times New Roman" w:hAnsi="Times New Roman" w:eastAsia="Times New Roman" w:cs="Times New Roman"/>
          <w:sz w:val="24"/>
          <w:szCs w:val="24"/>
          <w:lang w:val="es-MX" w:eastAsia="ar-SA"/>
        </w:rPr>
      </w:pPr>
      <w:r w:rsidRPr="7FCDC845" w:rsidR="005B1AC5">
        <w:rPr>
          <w:rFonts w:ascii="Times New Roman" w:hAnsi="Times New Roman" w:eastAsia="Times New Roman" w:cs="Times New Roman"/>
          <w:sz w:val="24"/>
          <w:szCs w:val="24"/>
          <w:lang w:val="es-MX" w:eastAsia="ar-SA"/>
        </w:rPr>
        <w:t xml:space="preserve">Que, a través del señalado recurso, la asegurada cuestiona lo resuelto por la DEFASEG, destacando principalmente lo siguiente: a) La cobertura contratada es respecto de accidentes que ocurran mientras la maquinaria esté siendo usada, aunque provengan por descuido, imprudencia o negligencia del operador, siendo que el seguro se contrató como uno todo riesgo TREC, b) La asegurada no conoce, ni conocía, al operador al momento de ocurrencia del siniestro, por lo que debe ser considerado como un actor externo, c) De acuerdo a la definición de la Real Academia de la Lengua Española, accidente es un suceso eventual o acción de que involuntariamente resulta daño para las personas o cosas, por lo que </w:t>
      </w:r>
      <w:r w:rsidRPr="7FCDC845" w:rsidR="489DC9D7">
        <w:rPr>
          <w:rFonts w:ascii="Times New Roman" w:hAnsi="Times New Roman" w:eastAsia="Times New Roman" w:cs="Times New Roman"/>
          <w:sz w:val="24"/>
          <w:szCs w:val="24"/>
          <w:lang w:val="es-MX" w:eastAsia="ar-SA"/>
        </w:rPr>
        <w:t>............................................</w:t>
      </w:r>
      <w:r w:rsidRPr="7FCDC845" w:rsidR="005B1AC5">
        <w:rPr>
          <w:rFonts w:ascii="Times New Roman" w:hAnsi="Times New Roman" w:eastAsia="Times New Roman" w:cs="Times New Roman"/>
          <w:sz w:val="24"/>
          <w:szCs w:val="24"/>
          <w:lang w:val="es-MX" w:eastAsia="ar-SA"/>
        </w:rPr>
        <w:t xml:space="preserve"> no puede cambiar ese concepto a su conveniencia, d) A mayor abundamiento, la Ley Nro. 29946 establece que, en caso que generen ambigüedad o duda, las estipulaciones insertadas en la póliza deben interpretarse en favor del asegurado, e) Habiendo dos definiciones diferentes sobre el concepto de accidente, la invocada del DRAE es la que todos conocemos, por lo que en caso de duda es la que debe aplicarse, siendo además que no hay ninguna exclusión que aplique al caso, f) Siendo que el siniestro se produce por una acción directa de una causa externa (operario), corresponde otorgar la cobertura al accidente, el mismo que es un evento violento, súbito, externo e involuntario, y g) Se destaca finalmente que el ajustador emitió inicialmente un informe donde aprueba la cobertura, que llevó a incurrir en gastos adicionales generando perjuicio económico;</w:t>
      </w:r>
    </w:p>
    <w:p w:rsidRPr="005B1AC5" w:rsidR="005B1AC5" w:rsidP="005B1AC5" w:rsidRDefault="005B1AC5" w14:paraId="24852DA7"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5B1AC5" w:rsidR="005B1AC5" w:rsidP="7FCDC845" w:rsidRDefault="005B1AC5" w14:paraId="24352A26" w14:textId="3C4F73DD">
      <w:pPr>
        <w:suppressAutoHyphens/>
        <w:spacing w:after="0" w:line="240" w:lineRule="auto"/>
        <w:jc w:val="both"/>
        <w:rPr>
          <w:rFonts w:ascii="Times New Roman" w:hAnsi="Times New Roman" w:eastAsia="Times New Roman" w:cs="Times New Roman"/>
          <w:sz w:val="24"/>
          <w:szCs w:val="24"/>
          <w:lang w:val="es-MX" w:eastAsia="ar-SA"/>
        </w:rPr>
      </w:pPr>
      <w:r w:rsidRPr="7FCDC845" w:rsidR="005B1AC5">
        <w:rPr>
          <w:rFonts w:ascii="Times New Roman" w:hAnsi="Times New Roman" w:eastAsia="Times New Roman" w:cs="Times New Roman"/>
          <w:sz w:val="24"/>
          <w:szCs w:val="24"/>
          <w:lang w:val="es-MX" w:eastAsia="ar-SA"/>
        </w:rPr>
        <w:t xml:space="preserve">Que, habiéndosele corrido traslado a </w:t>
      </w:r>
      <w:r w:rsidRPr="7FCDC845" w:rsidR="4DA624ED">
        <w:rPr>
          <w:rFonts w:ascii="Times New Roman" w:hAnsi="Times New Roman" w:eastAsia="Times New Roman" w:cs="Times New Roman"/>
          <w:sz w:val="24"/>
          <w:szCs w:val="24"/>
          <w:lang w:val="es-MX" w:eastAsia="ar-SA"/>
        </w:rPr>
        <w:t>............................................</w:t>
      </w:r>
      <w:r w:rsidRPr="7FCDC845" w:rsidR="005B1AC5">
        <w:rPr>
          <w:rFonts w:ascii="Times New Roman" w:hAnsi="Times New Roman" w:eastAsia="Times New Roman" w:cs="Times New Roman"/>
          <w:sz w:val="24"/>
          <w:szCs w:val="24"/>
          <w:lang w:val="es-MX" w:eastAsia="ar-SA"/>
        </w:rPr>
        <w:t xml:space="preserve"> de la señalada impugnación, mediante escrito presentado con fecha 9 de agosto de 2021, la aseguradora solicitó que el mismo sea desestimado, estimando resumidamente lo siguiente: a) En el recurso impugnativo se indican una serie de alegaciones que ya fueron expuestas y valoradas en su oportunidad, así como presuntos errores de hecho e interpretación que no desvirtúan lo resuelto, b) Se reitera que según lo calificado por los peritos, el siniestro, los daños a la unidad asegurada, no se produjeron como consecuencia de un accidente como hecho imprevisto y súbito, ya que constituyen desperfectos mecánicos de la unidad derivados de su uso, de manera que no se explican por una causa ajena como sostiene la asegurada, c) Esa situación corresponde a una exclusión de cobertura conforme al artículo 2 del condicionado de la póliza contratada, se trata de un fallo mecánico que carece de cobertura, d) Se insiste en </w:t>
      </w:r>
      <w:r w:rsidRPr="7FCDC845" w:rsidR="005B1AC5">
        <w:rPr>
          <w:rFonts w:ascii="Times New Roman" w:hAnsi="Times New Roman" w:eastAsia="Times New Roman" w:cs="Times New Roman"/>
          <w:sz w:val="24"/>
          <w:szCs w:val="24"/>
          <w:lang w:val="es-MX" w:eastAsia="ar-SA"/>
        </w:rPr>
        <w:t>a</w:t>
      </w:r>
      <w:r w:rsidRPr="7FCDC845" w:rsidR="005B1AC5">
        <w:rPr>
          <w:rFonts w:ascii="Times New Roman" w:hAnsi="Times New Roman" w:eastAsia="Times New Roman" w:cs="Times New Roman"/>
          <w:sz w:val="24"/>
          <w:szCs w:val="24"/>
          <w:lang w:val="es-MX" w:eastAsia="ar-SA"/>
        </w:rPr>
        <w:t xml:space="preserve"> lectura sesgada que la póliza contratada cubre daños provocados inclusive por negligencia del operador, obviándose que de acuerdo a la propia cláusula, ello debe darse en el contexto que se esté ante un accidente, de manera que una falla mecánica, interna, no está comprendida en la cobertura por más que provenga de negligencia </w:t>
      </w:r>
      <w:r w:rsidRPr="7FCDC845" w:rsidR="005B1AC5">
        <w:rPr>
          <w:rFonts w:ascii="Times New Roman" w:hAnsi="Times New Roman" w:eastAsia="Times New Roman" w:cs="Times New Roman"/>
          <w:sz w:val="24"/>
          <w:szCs w:val="24"/>
          <w:lang w:val="es-MX" w:eastAsia="ar-SA"/>
        </w:rPr>
        <w:t xml:space="preserve">del conductor, y </w:t>
      </w:r>
      <w:r w:rsidRPr="7FCDC845" w:rsidR="005B1AC5">
        <w:rPr>
          <w:rFonts w:ascii="Times New Roman" w:hAnsi="Times New Roman" w:eastAsia="Times New Roman" w:cs="Times New Roman"/>
          <w:sz w:val="24"/>
          <w:szCs w:val="24"/>
          <w:lang w:val="es-MX" w:eastAsia="ar-SA"/>
        </w:rPr>
        <w:t>e</w:t>
      </w:r>
      <w:r w:rsidRPr="7FCDC845" w:rsidR="005B1AC5">
        <w:rPr>
          <w:rFonts w:ascii="Times New Roman" w:hAnsi="Times New Roman" w:eastAsia="Times New Roman" w:cs="Times New Roman"/>
          <w:sz w:val="24"/>
          <w:szCs w:val="24"/>
          <w:lang w:val="es-MX" w:eastAsia="ar-SA"/>
        </w:rPr>
        <w:t xml:space="preserve">) Esa fue finalmente la conclusión de los ajustadores de seguro, la empresa </w:t>
      </w:r>
      <w:r w:rsidRPr="7FCDC845" w:rsidR="0278D551">
        <w:rPr>
          <w:rFonts w:ascii="Times New Roman" w:hAnsi="Times New Roman" w:eastAsia="Times New Roman" w:cs="Times New Roman"/>
          <w:sz w:val="24"/>
          <w:szCs w:val="24"/>
          <w:lang w:val="es-MX" w:eastAsia="ar-SA"/>
        </w:rPr>
        <w:t>............................................</w:t>
      </w:r>
      <w:r w:rsidRPr="7FCDC845" w:rsidR="005B1AC5">
        <w:rPr>
          <w:rFonts w:ascii="Times New Roman" w:hAnsi="Times New Roman" w:eastAsia="Times New Roman" w:cs="Times New Roman"/>
          <w:sz w:val="24"/>
          <w:szCs w:val="24"/>
          <w:lang w:val="es-MX" w:eastAsia="ar-SA"/>
        </w:rPr>
        <w:t>, sobre cuya base se comunicó el rechazo de cobertura;</w:t>
      </w:r>
    </w:p>
    <w:p w:rsidRPr="005B1AC5" w:rsidR="005B1AC5" w:rsidP="005B1AC5" w:rsidRDefault="005B1AC5" w14:paraId="269EBC69"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5B1AC5" w:rsidR="005B1AC5" w:rsidP="005B1AC5" w:rsidRDefault="005B1AC5" w14:paraId="32AEE25C" w14:textId="77777777">
      <w:pPr>
        <w:suppressAutoHyphens/>
        <w:spacing w:after="0" w:line="240" w:lineRule="auto"/>
        <w:jc w:val="both"/>
        <w:rPr>
          <w:rFonts w:ascii="Times New Roman" w:hAnsi="Times New Roman" w:cs="Times New Roman"/>
          <w:bCs/>
          <w:sz w:val="24"/>
          <w:szCs w:val="24"/>
          <w:lang w:val="es-ES"/>
        </w:rPr>
      </w:pPr>
      <w:r w:rsidRPr="005B1AC5">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5B1AC5" w:rsidR="005B1AC5" w:rsidP="005B1AC5" w:rsidRDefault="005B1AC5" w14:paraId="7A2EB192"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5B1AC5" w:rsidR="005B1AC5" w:rsidP="005B1AC5" w:rsidRDefault="005B1AC5" w14:paraId="6C5F192F"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5B1AC5">
        <w:rPr>
          <w:rFonts w:ascii="Times New Roman" w:hAnsi="Times New Roman" w:eastAsia="Times New Roman" w:cs="Times New Roman"/>
          <w:b/>
          <w:bCs/>
          <w:sz w:val="24"/>
          <w:szCs w:val="24"/>
          <w:lang w:val="es-MX" w:eastAsia="ar-SA"/>
        </w:rPr>
        <w:t>Considerando:</w:t>
      </w:r>
    </w:p>
    <w:p w:rsidRPr="005B1AC5" w:rsidR="005B1AC5" w:rsidP="005B1AC5" w:rsidRDefault="005B1AC5" w14:paraId="175616B0" w14:textId="77777777">
      <w:pPr>
        <w:suppressAutoHyphens/>
        <w:spacing w:after="0" w:line="240" w:lineRule="auto"/>
        <w:jc w:val="both"/>
        <w:rPr>
          <w:rFonts w:ascii="Times New Roman" w:hAnsi="Times New Roman" w:eastAsia="Times New Roman" w:cs="Times New Roman"/>
          <w:sz w:val="24"/>
          <w:szCs w:val="24"/>
          <w:lang w:val="es-ES" w:eastAsia="ar-SA"/>
        </w:rPr>
      </w:pPr>
    </w:p>
    <w:p w:rsidRPr="005B1AC5" w:rsidR="005B1AC5" w:rsidP="005B1AC5" w:rsidRDefault="005B1AC5" w14:paraId="5CB12618" w14:textId="77777777">
      <w:pPr>
        <w:spacing w:after="0" w:line="240" w:lineRule="auto"/>
        <w:jc w:val="both"/>
        <w:rPr>
          <w:rFonts w:ascii="Times New Roman" w:hAnsi="Times New Roman" w:cs="Times New Roman"/>
          <w:sz w:val="24"/>
          <w:szCs w:val="24"/>
          <w:lang w:val="es-PE"/>
        </w:rPr>
      </w:pPr>
      <w:r w:rsidRPr="005B1AC5">
        <w:rPr>
          <w:rFonts w:ascii="Times New Roman" w:hAnsi="Times New Roman" w:cs="Times New Roman"/>
          <w:b/>
          <w:sz w:val="24"/>
          <w:szCs w:val="24"/>
          <w:u w:val="single"/>
          <w:lang w:val="es-PE"/>
        </w:rPr>
        <w:t>Primero</w:t>
      </w:r>
      <w:r w:rsidRPr="005B1AC5">
        <w:rPr>
          <w:rFonts w:ascii="Times New Roman" w:hAnsi="Times New Roman" w:cs="Times New Roman"/>
          <w:b/>
          <w:sz w:val="24"/>
          <w:szCs w:val="24"/>
          <w:lang w:val="es-PE"/>
        </w:rPr>
        <w:t>:</w:t>
      </w:r>
      <w:r w:rsidRPr="005B1AC5">
        <w:rPr>
          <w:rFonts w:ascii="Times New Roman" w:hAnsi="Times New Roman" w:cs="Times New Roman"/>
          <w:sz w:val="24"/>
          <w:szCs w:val="24"/>
          <w:lang w:val="es-PE"/>
        </w:rPr>
        <w:t xml:space="preserve"> El Reglamento de la DEFASEG </w:t>
      </w:r>
      <w:r w:rsidRPr="005B1AC5">
        <w:rPr>
          <w:rFonts w:ascii="Times New Roman" w:hAnsi="Times New Roman" w:eastAsia="Arial Unicode MS" w:cs="Times New Roman"/>
          <w:sz w:val="24"/>
          <w:szCs w:val="24"/>
          <w:lang w:val="es-PE"/>
        </w:rPr>
        <w:t xml:space="preserve">(http://www.defaseg.com.pe/reglamento), en su artículo 10, </w:t>
      </w:r>
      <w:r w:rsidRPr="005B1AC5">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5B1AC5">
        <w:rPr>
          <w:rFonts w:ascii="Times New Roman" w:hAnsi="Times New Roman" w:cs="Times New Roman"/>
          <w:sz w:val="24"/>
          <w:szCs w:val="24"/>
          <w:lang w:val="es-ES"/>
        </w:rPr>
        <w:t>usuario de seguro recurre en forma voluntaria a la Defensoría, siendo que la presentación de una reclamación n</w:t>
      </w:r>
      <w:r w:rsidRPr="005B1AC5">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5B1AC5">
        <w:rPr>
          <w:rFonts w:ascii="Times New Roman" w:hAnsi="Times New Roman" w:cs="Times New Roman"/>
          <w:sz w:val="24"/>
          <w:szCs w:val="24"/>
          <w:lang w:val="es-PE"/>
        </w:rPr>
        <w:t>De acuerdo a</w:t>
      </w:r>
      <w:proofErr w:type="gramEnd"/>
      <w:r w:rsidRPr="005B1AC5">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5B1AC5" w:rsidR="005B1AC5" w:rsidP="005B1AC5" w:rsidRDefault="005B1AC5" w14:paraId="130F3D7D" w14:textId="77777777">
      <w:pPr>
        <w:spacing w:after="0" w:line="240" w:lineRule="auto"/>
        <w:jc w:val="both"/>
        <w:rPr>
          <w:rFonts w:ascii="Times New Roman" w:hAnsi="Times New Roman" w:cs="Times New Roman"/>
          <w:sz w:val="24"/>
          <w:szCs w:val="24"/>
          <w:lang w:val="es-PE"/>
        </w:rPr>
      </w:pPr>
    </w:p>
    <w:p w:rsidRPr="005B1AC5" w:rsidR="005B1AC5" w:rsidP="005B1AC5" w:rsidRDefault="005B1AC5" w14:paraId="4AB6A4EC" w14:textId="77777777">
      <w:pPr>
        <w:tabs>
          <w:tab w:val="left" w:pos="0"/>
          <w:tab w:val="left" w:pos="2160"/>
        </w:tabs>
        <w:spacing w:after="0" w:line="240" w:lineRule="auto"/>
        <w:jc w:val="both"/>
        <w:rPr>
          <w:rFonts w:ascii="Times New Roman" w:hAnsi="Times New Roman" w:cs="Times New Roman"/>
          <w:bCs/>
          <w:sz w:val="24"/>
          <w:szCs w:val="24"/>
          <w:lang w:val="es-PE"/>
        </w:rPr>
      </w:pPr>
      <w:r w:rsidRPr="005B1AC5">
        <w:rPr>
          <w:rFonts w:ascii="Times New Roman" w:hAnsi="Times New Roman" w:cs="Times New Roman"/>
          <w:b/>
          <w:sz w:val="24"/>
          <w:szCs w:val="24"/>
          <w:u w:val="single"/>
          <w:lang w:val="es-PE"/>
        </w:rPr>
        <w:t>Segundo</w:t>
      </w:r>
      <w:r w:rsidRPr="005B1AC5">
        <w:rPr>
          <w:rFonts w:ascii="Times New Roman" w:hAnsi="Times New Roman" w:cs="Times New Roman"/>
          <w:b/>
          <w:sz w:val="24"/>
          <w:szCs w:val="24"/>
          <w:lang w:val="es-PE"/>
        </w:rPr>
        <w:t>:</w:t>
      </w:r>
      <w:r w:rsidRPr="005B1AC5">
        <w:rPr>
          <w:rFonts w:ascii="Times New Roman" w:hAnsi="Times New Roman" w:cs="Times New Roman"/>
          <w:sz w:val="24"/>
          <w:szCs w:val="24"/>
          <w:lang w:val="es-PE"/>
        </w:rPr>
        <w:t xml:space="preserve"> Atendiendo a los fundamentos de la impugnación interpuesta, no</w:t>
      </w:r>
      <w:r w:rsidRPr="005B1AC5">
        <w:rPr>
          <w:rFonts w:ascii="Times New Roman" w:hAnsi="Times New Roman" w:cs="Times New Roman"/>
          <w:bCs/>
          <w:sz w:val="24"/>
          <w:szCs w:val="24"/>
          <w:lang w:val="es-PE"/>
        </w:rPr>
        <w:t xml:space="preserve"> habiéndose expuesto ni acreditado nuevo argumento que desautorice lo resuelto, se estima que el </w:t>
      </w:r>
      <w:r w:rsidRPr="005B1AC5">
        <w:rPr>
          <w:rFonts w:ascii="Times New Roman" w:hAnsi="Times New Roman" w:cs="Times New Roman"/>
          <w:sz w:val="24"/>
          <w:szCs w:val="24"/>
          <w:lang w:val="es-ES"/>
        </w:rPr>
        <w:t>recurso impugnativo interpuesto puede ser categorizado, por su contenido objetivo mismo, como una solicitud de revisión general, sustentado exclusivamente en el criterio de la reclamante, que este colegiado no comparte definitivamente, sin aportar medio probatorio que permita apreciar que se incurrió en un error o vicio al momento de resolver.</w:t>
      </w:r>
    </w:p>
    <w:p w:rsidRPr="005B1AC5" w:rsidR="005B1AC5" w:rsidP="005B1AC5" w:rsidRDefault="005B1AC5" w14:paraId="5BE1DAA2" w14:textId="77777777">
      <w:pPr>
        <w:tabs>
          <w:tab w:val="left" w:pos="0"/>
          <w:tab w:val="left" w:pos="2160"/>
        </w:tabs>
        <w:spacing w:after="0" w:line="240" w:lineRule="auto"/>
        <w:jc w:val="both"/>
        <w:rPr>
          <w:rFonts w:ascii="Times New Roman" w:hAnsi="Times New Roman" w:cs="Times New Roman"/>
          <w:sz w:val="24"/>
          <w:szCs w:val="24"/>
          <w:lang w:val="es-ES"/>
        </w:rPr>
      </w:pPr>
    </w:p>
    <w:p w:rsidRPr="005B1AC5" w:rsidR="005B1AC5" w:rsidP="005B1AC5" w:rsidRDefault="005B1AC5" w14:paraId="028D5E15" w14:textId="77777777">
      <w:pPr>
        <w:tabs>
          <w:tab w:val="left" w:pos="0"/>
          <w:tab w:val="left" w:pos="2160"/>
        </w:tabs>
        <w:spacing w:after="0" w:line="240" w:lineRule="auto"/>
        <w:jc w:val="both"/>
        <w:rPr>
          <w:rFonts w:ascii="Times New Roman" w:hAnsi="Times New Roman" w:cs="Times New Roman"/>
          <w:bCs/>
          <w:sz w:val="24"/>
          <w:szCs w:val="24"/>
          <w:lang w:val="es-PE"/>
        </w:rPr>
      </w:pPr>
      <w:r w:rsidRPr="005B1AC5">
        <w:rPr>
          <w:rFonts w:ascii="Times New Roman" w:hAnsi="Times New Roman" w:cs="Times New Roman"/>
          <w:sz w:val="24"/>
          <w:szCs w:val="24"/>
          <w:lang w:val="es-PE"/>
        </w:rPr>
        <w:t>En tal virtud, según fue analizado al expedirse la resolución recurrida, lo cual este colegiado reitera, el rechazo de cobertura se encuentra legítimamente sustentado, ajustándose al marco legal y a los términos de la póliza contratada</w:t>
      </w:r>
      <w:r w:rsidRPr="005B1AC5">
        <w:rPr>
          <w:rFonts w:ascii="Times New Roman" w:hAnsi="Times New Roman" w:cs="Times New Roman"/>
          <w:bCs/>
          <w:sz w:val="24"/>
          <w:szCs w:val="24"/>
          <w:lang w:val="es-PE"/>
        </w:rPr>
        <w:t>, siendo que el siniestro ocurrido no proviene de una causa externa, sino de una propia, de un fallo mecánico o desperfecto del propio vehículo, por más que el mismo se haya producido por negligencia, impericia o descuido del conductor u operador, no hay un accidente en sentido estricto, conforme a la póliza contratada, cuyo conocimiento por la asegurada no es además materia controvertida.  En consecuencia, disponer el otorgamiento del beneficio reclamado en vía de declarar fundada la impugnación interpuesta significaría, desde cualquier perspectiva, una arbitraria contravención al contrato de seguro, respecto a un riesgo no aceptado por la aseguradora en vía de exclusión, por más que la reclamante tenga una lectura singular de lo que se representa por una exclusión, o de lo que estima una “duda” en la interpretación de la cobertura derivada de la póliza, dado que lo que predomina en términos contractuales son las definiciones incorporadas en la póliza, aplicándose una lectura total y sistemática, antes que una meramente sesgada.  De otro lado, carece de relevancia jurídica lo expresado sobre los alcances del informe inicial o preliminar de la empresa ajustadora de seguro, por lo que se reitera en todos sus extremos lo expresado en el numeral 6.5 de la resolución recurrida, siendo que la asegurada no aporta argumentos, menos pruebas, que contradigan lo ya analizado y resuelto.</w:t>
      </w:r>
    </w:p>
    <w:p w:rsidRPr="005B1AC5" w:rsidR="005B1AC5" w:rsidP="005B1AC5" w:rsidRDefault="005B1AC5" w14:paraId="045F0E52" w14:textId="77777777">
      <w:pPr>
        <w:tabs>
          <w:tab w:val="left" w:pos="0"/>
          <w:tab w:val="left" w:pos="2160"/>
        </w:tabs>
        <w:spacing w:after="0" w:line="240" w:lineRule="auto"/>
        <w:jc w:val="both"/>
        <w:rPr>
          <w:rFonts w:ascii="Times New Roman" w:hAnsi="Times New Roman" w:cs="Times New Roman"/>
          <w:sz w:val="24"/>
          <w:szCs w:val="24"/>
          <w:lang w:val="es-PE"/>
        </w:rPr>
      </w:pPr>
    </w:p>
    <w:p w:rsidRPr="005B1AC5" w:rsidR="005B1AC5" w:rsidP="005B1AC5" w:rsidRDefault="005B1AC5" w14:paraId="4DB5063B" w14:textId="77777777">
      <w:pPr>
        <w:tabs>
          <w:tab w:val="left" w:pos="2160"/>
        </w:tabs>
        <w:spacing w:after="0" w:line="240" w:lineRule="auto"/>
        <w:jc w:val="both"/>
        <w:rPr>
          <w:rFonts w:ascii="Times New Roman" w:hAnsi="Times New Roman" w:cs="Times New Roman"/>
          <w:sz w:val="24"/>
          <w:szCs w:val="24"/>
          <w:lang w:val="es-ES"/>
        </w:rPr>
      </w:pPr>
      <w:r w:rsidRPr="005B1AC5">
        <w:rPr>
          <w:rFonts w:ascii="Times New Roman" w:hAnsi="Times New Roman" w:cs="Times New Roman"/>
          <w:sz w:val="24"/>
          <w:szCs w:val="24"/>
          <w:lang w:val="es-ES"/>
        </w:rPr>
        <w:t>En atención a las consideraciones precedentes, este colegiado aprecia que no existe mérito ni razón objetiva para revocar la resolución recurrida; por lo tanto,</w:t>
      </w:r>
    </w:p>
    <w:p w:rsidRPr="005B1AC5" w:rsidR="005B1AC5" w:rsidP="005B1AC5" w:rsidRDefault="005B1AC5" w14:paraId="34BCD6DF" w14:textId="77777777">
      <w:pPr>
        <w:spacing w:after="0" w:line="240" w:lineRule="auto"/>
        <w:jc w:val="both"/>
        <w:rPr>
          <w:rFonts w:ascii="Times New Roman" w:hAnsi="Times New Roman" w:eastAsia="Times New Roman" w:cs="Times New Roman"/>
          <w:bCs/>
          <w:sz w:val="24"/>
          <w:szCs w:val="24"/>
          <w:lang w:val="es-ES" w:eastAsia="ar-SA"/>
        </w:rPr>
      </w:pPr>
    </w:p>
    <w:p w:rsidRPr="005B1AC5" w:rsidR="005B1AC5" w:rsidP="005B1AC5" w:rsidRDefault="005B1AC5" w14:paraId="4B8C0493" w14:textId="77777777">
      <w:pPr>
        <w:spacing w:after="0" w:line="240" w:lineRule="auto"/>
        <w:jc w:val="both"/>
        <w:rPr>
          <w:rFonts w:ascii="Times New Roman" w:hAnsi="Times New Roman" w:cs="Times New Roman"/>
          <w:b/>
          <w:sz w:val="24"/>
          <w:szCs w:val="24"/>
          <w:lang w:val="es-PE"/>
        </w:rPr>
      </w:pPr>
      <w:r w:rsidRPr="005B1AC5">
        <w:rPr>
          <w:rFonts w:ascii="Times New Roman" w:hAnsi="Times New Roman" w:cs="Times New Roman"/>
          <w:b/>
          <w:sz w:val="24"/>
          <w:szCs w:val="24"/>
          <w:lang w:val="es-PE"/>
        </w:rPr>
        <w:t>Atendiendo a lo expresado, conforme a su reglamento, este colegiado resuelve:</w:t>
      </w:r>
    </w:p>
    <w:p w:rsidRPr="005B1AC5" w:rsidR="005B1AC5" w:rsidP="005B1AC5" w:rsidRDefault="005B1AC5" w14:paraId="559853E4" w14:textId="77777777">
      <w:pPr>
        <w:spacing w:after="0" w:line="240" w:lineRule="auto"/>
        <w:jc w:val="both"/>
        <w:rPr>
          <w:rFonts w:ascii="Times New Roman" w:hAnsi="Times New Roman" w:eastAsia="Arial Unicode MS" w:cs="Times New Roman"/>
          <w:b/>
          <w:sz w:val="24"/>
          <w:szCs w:val="24"/>
          <w:lang w:val="es-PE"/>
        </w:rPr>
      </w:pPr>
    </w:p>
    <w:p w:rsidRPr="005B1AC5" w:rsidR="005B1AC5" w:rsidP="005B1AC5" w:rsidRDefault="005B1AC5" w14:paraId="4FD73F86" w14:textId="3BF522ED">
      <w:pPr>
        <w:spacing w:after="0" w:line="240" w:lineRule="auto"/>
        <w:jc w:val="both"/>
        <w:rPr>
          <w:rFonts w:ascii="Times New Roman" w:hAnsi="Times New Roman" w:eastAsia="Arial Unicode MS" w:cs="Times New Roman"/>
          <w:sz w:val="24"/>
          <w:szCs w:val="24"/>
          <w:lang w:val="es-PE"/>
        </w:rPr>
      </w:pPr>
      <w:r w:rsidRPr="7FCDC845" w:rsidR="005B1AC5">
        <w:rPr>
          <w:rFonts w:ascii="Times New Roman" w:hAnsi="Times New Roman" w:eastAsia="Arial Unicode MS" w:cs="Times New Roman"/>
          <w:b w:val="1"/>
          <w:bCs w:val="1"/>
          <w:sz w:val="24"/>
          <w:szCs w:val="24"/>
          <w:lang w:val="es-PE"/>
        </w:rPr>
        <w:t xml:space="preserve">Declarar INFUNDADO el recurso impugnativo </w:t>
      </w:r>
      <w:r w:rsidRPr="7FCDC845" w:rsidR="005B1AC5">
        <w:rPr>
          <w:rFonts w:ascii="Times New Roman" w:hAnsi="Times New Roman" w:eastAsia="Arial Unicode MS" w:cs="Times New Roman"/>
          <w:sz w:val="24"/>
          <w:szCs w:val="24"/>
          <w:lang w:val="es-PE"/>
        </w:rPr>
        <w:t xml:space="preserve">interpuesto por </w:t>
      </w:r>
      <w:r w:rsidRPr="7FCDC845" w:rsidR="5B89F860">
        <w:rPr>
          <w:rFonts w:ascii="Times New Roman" w:hAnsi="Times New Roman" w:eastAsia="Times New Roman" w:cs="Times New Roman"/>
          <w:sz w:val="24"/>
          <w:szCs w:val="24"/>
          <w:lang w:val="es-PE" w:eastAsia="es-ES"/>
        </w:rPr>
        <w:t>.............................................................</w:t>
      </w:r>
      <w:r w:rsidRPr="7FCDC845" w:rsidR="005B1AC5">
        <w:rPr>
          <w:rFonts w:ascii="Times New Roman" w:hAnsi="Times New Roman" w:eastAsia="Times New Roman" w:cs="Times New Roman"/>
          <w:sz w:val="24"/>
          <w:szCs w:val="24"/>
          <w:lang w:val="es-PE" w:eastAsia="es-ES"/>
        </w:rPr>
        <w:t xml:space="preserve"> </w:t>
      </w:r>
      <w:r w:rsidRPr="7FCDC845" w:rsidR="005B1AC5">
        <w:rPr>
          <w:rFonts w:ascii="Times New Roman" w:hAnsi="Times New Roman" w:cs="Times New Roman"/>
          <w:sz w:val="24"/>
          <w:szCs w:val="24"/>
          <w:lang w:val="es-ES"/>
        </w:rPr>
        <w:t>y, por consiguiente, ratificar</w:t>
      </w:r>
      <w:r w:rsidRPr="7FCDC845" w:rsidR="005B1AC5">
        <w:rPr>
          <w:rFonts w:ascii="Times New Roman" w:hAnsi="Times New Roman" w:eastAsia="Times New Roman" w:cs="Times New Roman"/>
          <w:sz w:val="24"/>
          <w:szCs w:val="24"/>
          <w:lang w:val="es-ES" w:eastAsia="ar-SA"/>
        </w:rPr>
        <w:t xml:space="preserve"> la Resolución Nro. 093/21, de fecha 26 de julio de 2021.</w:t>
      </w:r>
    </w:p>
    <w:p w:rsidRPr="005B1AC5" w:rsidR="00217715" w:rsidP="00217715" w:rsidRDefault="00217715" w14:paraId="6DACE05B" w14:textId="77777777">
      <w:pPr>
        <w:spacing w:after="0" w:line="240" w:lineRule="auto"/>
        <w:jc w:val="both"/>
        <w:rPr>
          <w:rFonts w:ascii="Times New Roman" w:hAnsi="Times New Roman" w:eastAsia="Times New Roman" w:cs="Times New Roman"/>
          <w:sz w:val="24"/>
          <w:szCs w:val="24"/>
          <w:lang w:val="es-PE" w:eastAsia="ar-SA"/>
        </w:rPr>
      </w:pPr>
    </w:p>
    <w:p w:rsidRPr="005B1AC5"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5B1AC5" w:rsidR="00C671F5" w:rsidP="005E398E" w:rsidRDefault="0091528B" w14:paraId="486C3F46" w14:textId="6C3EB2AD">
      <w:pPr>
        <w:suppressAutoHyphens/>
        <w:spacing w:after="0" w:line="240" w:lineRule="auto"/>
        <w:jc w:val="right"/>
        <w:outlineLvl w:val="0"/>
        <w:rPr>
          <w:rFonts w:ascii="Times New Roman" w:hAnsi="Times New Roman" w:eastAsia="Arial Unicode MS" w:cs="Times New Roman"/>
          <w:sz w:val="24"/>
          <w:szCs w:val="24"/>
          <w:lang w:val="es-PE" w:eastAsia="ar-SA"/>
        </w:rPr>
      </w:pPr>
      <w:r w:rsidRPr="005B1AC5">
        <w:rPr>
          <w:rFonts w:ascii="Times New Roman" w:hAnsi="Times New Roman" w:eastAsia="Arial Unicode MS" w:cs="Times New Roman"/>
          <w:sz w:val="24"/>
          <w:szCs w:val="24"/>
          <w:lang w:val="es-PE" w:eastAsia="ar-SA"/>
        </w:rPr>
        <w:t xml:space="preserve">Lima, </w:t>
      </w:r>
      <w:r w:rsidRPr="005B1AC5" w:rsidR="005B1AC5">
        <w:rPr>
          <w:rFonts w:ascii="Times New Roman" w:hAnsi="Times New Roman" w:eastAsia="Arial Unicode MS" w:cs="Times New Roman"/>
          <w:sz w:val="24"/>
          <w:szCs w:val="24"/>
          <w:lang w:val="es-PE" w:eastAsia="ar-SA"/>
        </w:rPr>
        <w:t>16</w:t>
      </w:r>
      <w:r w:rsidRPr="005B1AC5" w:rsidR="00CF69DD">
        <w:rPr>
          <w:rFonts w:ascii="Times New Roman" w:hAnsi="Times New Roman" w:eastAsia="Arial Unicode MS" w:cs="Times New Roman"/>
          <w:sz w:val="24"/>
          <w:szCs w:val="24"/>
          <w:lang w:val="es-PE" w:eastAsia="ar-SA"/>
        </w:rPr>
        <w:t xml:space="preserve"> </w:t>
      </w:r>
      <w:r w:rsidRPr="005B1AC5" w:rsidR="00707C99">
        <w:rPr>
          <w:rFonts w:ascii="Times New Roman" w:hAnsi="Times New Roman" w:eastAsia="Arial Unicode MS" w:cs="Times New Roman"/>
          <w:sz w:val="24"/>
          <w:szCs w:val="24"/>
          <w:lang w:val="es-PE" w:eastAsia="ar-SA"/>
        </w:rPr>
        <w:t>de</w:t>
      </w:r>
      <w:r w:rsidRPr="005B1AC5" w:rsidR="00864B0B">
        <w:rPr>
          <w:rFonts w:ascii="Times New Roman" w:hAnsi="Times New Roman" w:eastAsia="Arial Unicode MS" w:cs="Times New Roman"/>
          <w:sz w:val="24"/>
          <w:szCs w:val="24"/>
          <w:lang w:val="es-PE" w:eastAsia="ar-SA"/>
        </w:rPr>
        <w:t xml:space="preserve"> </w:t>
      </w:r>
      <w:r w:rsidRPr="005B1AC5" w:rsidR="005B1AC5">
        <w:rPr>
          <w:rFonts w:ascii="Times New Roman" w:hAnsi="Times New Roman" w:eastAsia="Arial Unicode MS" w:cs="Times New Roman"/>
          <w:sz w:val="24"/>
          <w:szCs w:val="24"/>
          <w:lang w:val="es-PE" w:eastAsia="ar-SA"/>
        </w:rPr>
        <w:t>agosto</w:t>
      </w:r>
      <w:r w:rsidRPr="005B1AC5" w:rsidR="00F06498">
        <w:rPr>
          <w:rFonts w:ascii="Times New Roman" w:hAnsi="Times New Roman" w:eastAsia="Arial Unicode MS" w:cs="Times New Roman"/>
          <w:sz w:val="24"/>
          <w:szCs w:val="24"/>
          <w:lang w:val="es-PE" w:eastAsia="ar-SA"/>
        </w:rPr>
        <w:t xml:space="preserve"> de 202</w:t>
      </w:r>
      <w:r w:rsidRPr="005B1AC5" w:rsidR="00231C58">
        <w:rPr>
          <w:rFonts w:ascii="Times New Roman" w:hAnsi="Times New Roman" w:eastAsia="Arial Unicode MS" w:cs="Times New Roman"/>
          <w:sz w:val="24"/>
          <w:szCs w:val="24"/>
          <w:lang w:val="es-PE" w:eastAsia="ar-SA"/>
        </w:rPr>
        <w:t>1</w:t>
      </w:r>
      <w:r w:rsidRPr="005B1AC5" w:rsidR="00707C99">
        <w:rPr>
          <w:rFonts w:ascii="Times New Roman" w:hAnsi="Times New Roman" w:eastAsia="Times New Roman" w:cs="Times New Roman"/>
          <w:sz w:val="24"/>
          <w:szCs w:val="24"/>
          <w:lang w:val="es-PE" w:eastAsia="ar-SA"/>
        </w:rPr>
        <w:t xml:space="preserve"> </w:t>
      </w:r>
    </w:p>
    <w:p w:rsidRPr="005B1AC5"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5B1AC5"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5B1AC5">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5B1AC5" w:rsidR="00C671F5" w:rsidP="004A374A" w:rsidRDefault="00C671F5" w14:paraId="3408E6CE" w14:textId="77777777">
      <w:pPr>
        <w:spacing w:after="0" w:line="240" w:lineRule="auto"/>
        <w:jc w:val="both"/>
        <w:rPr>
          <w:rFonts w:ascii="Times New Roman" w:hAnsi="Times New Roman" w:cs="Times New Roman"/>
          <w:b/>
          <w:bCs/>
          <w:i/>
          <w:iCs/>
          <w:sz w:val="24"/>
          <w:szCs w:val="24"/>
          <w:lang w:val="es-PE"/>
        </w:rPr>
      </w:pPr>
    </w:p>
    <w:p w:rsidRPr="005B1AC5" w:rsidR="00C671F5" w:rsidP="004A374A" w:rsidRDefault="0032345B" w14:paraId="548B3E5B" w14:textId="2BD7B1B7">
      <w:pPr>
        <w:spacing w:after="0" w:line="360" w:lineRule="auto"/>
        <w:jc w:val="center"/>
        <w:rPr>
          <w:rFonts w:ascii="Times New Roman" w:hAnsi="Times New Roman" w:cs="Times New Roman"/>
          <w:b/>
          <w:bCs/>
          <w:sz w:val="24"/>
          <w:szCs w:val="24"/>
          <w:lang w:val="es-PE"/>
        </w:rPr>
      </w:pPr>
      <w:r w:rsidRPr="005B1AC5">
        <w:rPr>
          <w:rFonts w:ascii="Times New Roman" w:hAnsi="Times New Roman" w:cs="Times New Roman"/>
          <w:b/>
          <w:bCs/>
          <w:sz w:val="24"/>
          <w:szCs w:val="24"/>
          <w:lang w:val="es-PE"/>
        </w:rPr>
        <w:t xml:space="preserve">Marco Antonio Ortega Piana </w:t>
      </w:r>
      <w:r w:rsidRPr="005B1AC5" w:rsidR="00C671F5">
        <w:rPr>
          <w:rFonts w:ascii="Times New Roman" w:hAnsi="Times New Roman" w:cs="Times New Roman"/>
          <w:b/>
          <w:bCs/>
          <w:sz w:val="24"/>
          <w:szCs w:val="24"/>
          <w:lang w:val="es-PE"/>
        </w:rPr>
        <w:t xml:space="preserve">– </w:t>
      </w:r>
      <w:proofErr w:type="gramStart"/>
      <w:r w:rsidRPr="005B1AC5" w:rsidR="00C671F5">
        <w:rPr>
          <w:rFonts w:ascii="Times New Roman" w:hAnsi="Times New Roman" w:cs="Times New Roman"/>
          <w:b/>
          <w:bCs/>
          <w:sz w:val="24"/>
          <w:szCs w:val="24"/>
          <w:lang w:val="es-PE"/>
        </w:rPr>
        <w:t>Presidente</w:t>
      </w:r>
      <w:proofErr w:type="gramEnd"/>
    </w:p>
    <w:p w:rsidRPr="005B1AC5" w:rsidR="0032345B" w:rsidP="004A374A" w:rsidRDefault="0032345B" w14:paraId="033E3E13" w14:textId="7196E86D">
      <w:pPr>
        <w:spacing w:after="0" w:line="360" w:lineRule="auto"/>
        <w:jc w:val="center"/>
        <w:rPr>
          <w:rFonts w:ascii="Times New Roman" w:hAnsi="Times New Roman" w:cs="Times New Roman"/>
          <w:b/>
          <w:bCs/>
          <w:sz w:val="24"/>
          <w:szCs w:val="24"/>
          <w:lang w:val="es-PE"/>
        </w:rPr>
      </w:pPr>
      <w:r w:rsidRPr="005B1AC5">
        <w:rPr>
          <w:rFonts w:ascii="Times New Roman" w:hAnsi="Times New Roman" w:cs="Times New Roman"/>
          <w:b/>
          <w:bCs/>
          <w:sz w:val="24"/>
          <w:szCs w:val="24"/>
          <w:lang w:val="es-PE"/>
        </w:rPr>
        <w:t>María Eugenia Valdez Fernández Baca– Vocal</w:t>
      </w:r>
    </w:p>
    <w:p w:rsidRPr="005B1AC5" w:rsidR="00292018" w:rsidP="004A374A" w:rsidRDefault="00292018" w14:paraId="3006BA35" w14:textId="7871895F">
      <w:pPr>
        <w:spacing w:after="0" w:line="360" w:lineRule="auto"/>
        <w:jc w:val="center"/>
        <w:rPr>
          <w:rFonts w:ascii="Times New Roman" w:hAnsi="Times New Roman" w:cs="Times New Roman"/>
          <w:b/>
          <w:bCs/>
          <w:sz w:val="24"/>
          <w:szCs w:val="24"/>
          <w:lang w:val="es-PE"/>
        </w:rPr>
      </w:pPr>
      <w:r w:rsidRPr="005B1AC5">
        <w:rPr>
          <w:rFonts w:ascii="Times New Roman" w:hAnsi="Times New Roman" w:cs="Times New Roman"/>
          <w:b/>
          <w:bCs/>
          <w:sz w:val="24"/>
          <w:szCs w:val="24"/>
          <w:lang w:val="es-PE"/>
        </w:rPr>
        <w:t xml:space="preserve">Rolando Eyzaguirre </w:t>
      </w:r>
      <w:proofErr w:type="spellStart"/>
      <w:r w:rsidRPr="005B1AC5">
        <w:rPr>
          <w:rFonts w:ascii="Times New Roman" w:hAnsi="Times New Roman" w:cs="Times New Roman"/>
          <w:b/>
          <w:bCs/>
          <w:sz w:val="24"/>
          <w:szCs w:val="24"/>
          <w:lang w:val="es-PE"/>
        </w:rPr>
        <w:t>Maccan</w:t>
      </w:r>
      <w:proofErr w:type="spellEnd"/>
      <w:r w:rsidRPr="005B1AC5">
        <w:rPr>
          <w:rFonts w:ascii="Times New Roman" w:hAnsi="Times New Roman" w:cs="Times New Roman"/>
          <w:b/>
          <w:bCs/>
          <w:sz w:val="24"/>
          <w:szCs w:val="24"/>
          <w:lang w:val="es-PE"/>
        </w:rPr>
        <w:t xml:space="preserve"> – Vocal</w:t>
      </w:r>
    </w:p>
    <w:p w:rsidRPr="005B1AC5" w:rsidR="00C671F5" w:rsidP="004A374A" w:rsidRDefault="00C671F5" w14:paraId="3A9CFE9F" w14:textId="4DFF4426">
      <w:pPr>
        <w:spacing w:after="0" w:line="360" w:lineRule="auto"/>
        <w:jc w:val="center"/>
        <w:rPr>
          <w:rFonts w:ascii="Times New Roman" w:hAnsi="Times New Roman" w:cs="Times New Roman"/>
          <w:sz w:val="24"/>
          <w:szCs w:val="24"/>
          <w:lang w:val="es-PE"/>
        </w:rPr>
      </w:pPr>
      <w:r w:rsidRPr="005B1AC5">
        <w:rPr>
          <w:rFonts w:ascii="Times New Roman" w:hAnsi="Times New Roman" w:cs="Times New Roman"/>
          <w:b/>
          <w:bCs/>
          <w:sz w:val="24"/>
          <w:szCs w:val="24"/>
          <w:lang w:val="es-PE"/>
        </w:rPr>
        <w:t xml:space="preserve">Gonzalo Abad del Busto </w:t>
      </w:r>
      <w:r w:rsidRPr="005B1AC5" w:rsidR="00231C58">
        <w:rPr>
          <w:rFonts w:ascii="Times New Roman" w:hAnsi="Times New Roman" w:cs="Times New Roman"/>
          <w:b/>
          <w:bCs/>
          <w:sz w:val="24"/>
          <w:szCs w:val="24"/>
          <w:lang w:val="es-PE"/>
        </w:rPr>
        <w:t xml:space="preserve">– </w:t>
      </w:r>
      <w:r w:rsidRPr="005B1AC5">
        <w:rPr>
          <w:rFonts w:ascii="Times New Roman" w:hAnsi="Times New Roman" w:cs="Times New Roman"/>
          <w:b/>
          <w:bCs/>
          <w:sz w:val="24"/>
          <w:szCs w:val="24"/>
          <w:lang w:val="es-PE"/>
        </w:rPr>
        <w:t>Vocal</w:t>
      </w:r>
    </w:p>
    <w:p w:rsidRPr="005B1AC5" w:rsidR="00C671F5" w:rsidP="004A374A"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32345B"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32345B"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63AD1" w:rsidP="00784355" w:rsidRDefault="00E63AD1" w14:paraId="343E5209" w14:textId="77777777">
      <w:pPr>
        <w:spacing w:after="0" w:line="240" w:lineRule="auto"/>
      </w:pPr>
      <w:r>
        <w:separator/>
      </w:r>
    </w:p>
  </w:endnote>
  <w:endnote w:type="continuationSeparator" w:id="0">
    <w:p w:rsidR="00E63AD1" w:rsidP="00784355" w:rsidRDefault="00E63AD1" w14:paraId="3F35B90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63AD1" w:rsidP="00784355" w:rsidRDefault="00E63AD1" w14:paraId="1BC1D578" w14:textId="77777777">
      <w:pPr>
        <w:spacing w:after="0" w:line="240" w:lineRule="auto"/>
      </w:pPr>
      <w:r>
        <w:separator/>
      </w:r>
    </w:p>
  </w:footnote>
  <w:footnote w:type="continuationSeparator" w:id="0">
    <w:p w:rsidR="00E63AD1" w:rsidP="00784355" w:rsidRDefault="00E63AD1" w14:paraId="56A2B1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7922"/>
    <w:rsid w:val="0004480C"/>
    <w:rsid w:val="0004492D"/>
    <w:rsid w:val="00053D16"/>
    <w:rsid w:val="00056D9F"/>
    <w:rsid w:val="00062040"/>
    <w:rsid w:val="00063183"/>
    <w:rsid w:val="0006548C"/>
    <w:rsid w:val="00070DB6"/>
    <w:rsid w:val="00071A25"/>
    <w:rsid w:val="00072C60"/>
    <w:rsid w:val="000752E4"/>
    <w:rsid w:val="0007539A"/>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4B0E"/>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605902"/>
    <w:rsid w:val="00606105"/>
    <w:rsid w:val="0061360C"/>
    <w:rsid w:val="00613A39"/>
    <w:rsid w:val="00622ABC"/>
    <w:rsid w:val="00623204"/>
    <w:rsid w:val="00624034"/>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1AB2"/>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0278D551"/>
    <w:rsid w:val="21BD8069"/>
    <w:rsid w:val="2253E6FD"/>
    <w:rsid w:val="34623245"/>
    <w:rsid w:val="489DC9D7"/>
    <w:rsid w:val="4DA624ED"/>
    <w:rsid w:val="5B89F860"/>
    <w:rsid w:val="713286E8"/>
    <w:rsid w:val="7FCDC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424562D-BFA8-4437-81ED-299E2E639A8B}"/>
</file>

<file path=customXml/itemProps3.xml><?xml version="1.0" encoding="utf-8"?>
<ds:datastoreItem xmlns:ds="http://schemas.openxmlformats.org/officeDocument/2006/customXml" ds:itemID="{4C5CE422-3C23-4A55-999F-DA16256A57D2}"/>
</file>

<file path=customXml/itemProps4.xml><?xml version="1.0" encoding="utf-8"?>
<ds:datastoreItem xmlns:ds="http://schemas.openxmlformats.org/officeDocument/2006/customXml" ds:itemID="{4A63C91C-36C6-4A20-9AD0-786C7101584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68</cp:revision>
  <cp:lastPrinted>2021-08-16T16:11:00Z</cp:lastPrinted>
  <dcterms:created xsi:type="dcterms:W3CDTF">2020-12-18T20:17:00Z</dcterms:created>
  <dcterms:modified xsi:type="dcterms:W3CDTF">2026-02-03T19:56:39Z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