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24EA6" w:rsidR="00C11BCB" w:rsidP="00720157" w:rsidRDefault="00201C0D" w14:paraId="0D90F86A" w14:textId="403FB128">
      <w:pPr>
        <w:suppressAutoHyphens/>
        <w:spacing w:after="0" w:line="240" w:lineRule="auto"/>
        <w:jc w:val="center"/>
        <w:rPr>
          <w:rFonts w:ascii="Times New Roman" w:hAnsi="Times New Roman" w:cs="Times New Roman"/>
          <w:b/>
          <w:sz w:val="24"/>
          <w:szCs w:val="24"/>
          <w:lang w:val="es-PE" w:eastAsia="ar-SA"/>
        </w:rPr>
      </w:pPr>
      <w:r w:rsidRPr="00624EA6">
        <w:rPr>
          <w:rFonts w:ascii="Times New Roman" w:hAnsi="Times New Roman" w:cs="Times New Roman"/>
          <w:b/>
          <w:sz w:val="24"/>
          <w:szCs w:val="24"/>
          <w:lang w:val="es-PE" w:eastAsia="ar-SA"/>
        </w:rPr>
        <w:t xml:space="preserve">RESOLUCIÓN DE RECURSO IMPUGNATIVO </w:t>
      </w:r>
      <w:proofErr w:type="spellStart"/>
      <w:r w:rsidRPr="00624EA6" w:rsidR="00707C99">
        <w:rPr>
          <w:rFonts w:ascii="Times New Roman" w:hAnsi="Times New Roman" w:cs="Times New Roman"/>
          <w:b/>
          <w:sz w:val="24"/>
          <w:szCs w:val="24"/>
          <w:lang w:val="es-PE" w:eastAsia="ar-SA"/>
        </w:rPr>
        <w:t>N°</w:t>
      </w:r>
      <w:proofErr w:type="spellEnd"/>
      <w:r w:rsidRPr="00624EA6" w:rsidR="00707C99">
        <w:rPr>
          <w:rFonts w:ascii="Times New Roman" w:hAnsi="Times New Roman" w:cs="Times New Roman"/>
          <w:b/>
          <w:sz w:val="24"/>
          <w:szCs w:val="24"/>
          <w:lang w:val="es-PE" w:eastAsia="ar-SA"/>
        </w:rPr>
        <w:t xml:space="preserve"> </w:t>
      </w:r>
      <w:r w:rsidRPr="00624EA6" w:rsidR="00C671F5">
        <w:rPr>
          <w:rFonts w:ascii="Times New Roman" w:hAnsi="Times New Roman" w:cs="Times New Roman"/>
          <w:b/>
          <w:sz w:val="24"/>
          <w:szCs w:val="24"/>
          <w:lang w:val="es-PE" w:eastAsia="ar-SA"/>
        </w:rPr>
        <w:t>0</w:t>
      </w:r>
      <w:r w:rsidRPr="00624EA6" w:rsidR="00624EA6">
        <w:rPr>
          <w:rFonts w:ascii="Times New Roman" w:hAnsi="Times New Roman" w:cs="Times New Roman"/>
          <w:b/>
          <w:sz w:val="24"/>
          <w:szCs w:val="24"/>
          <w:lang w:val="es-PE" w:eastAsia="ar-SA"/>
        </w:rPr>
        <w:t>44</w:t>
      </w:r>
      <w:r w:rsidRPr="00624EA6" w:rsidR="00C671F5">
        <w:rPr>
          <w:rFonts w:ascii="Times New Roman" w:hAnsi="Times New Roman" w:cs="Times New Roman"/>
          <w:b/>
          <w:sz w:val="24"/>
          <w:szCs w:val="24"/>
          <w:lang w:val="es-PE" w:eastAsia="ar-SA"/>
        </w:rPr>
        <w:t>/2</w:t>
      </w:r>
      <w:r w:rsidRPr="00624EA6" w:rsidR="00231C58">
        <w:rPr>
          <w:rFonts w:ascii="Times New Roman" w:hAnsi="Times New Roman" w:cs="Times New Roman"/>
          <w:b/>
          <w:sz w:val="24"/>
          <w:szCs w:val="24"/>
          <w:lang w:val="es-PE" w:eastAsia="ar-SA"/>
        </w:rPr>
        <w:t>1</w:t>
      </w:r>
    </w:p>
    <w:p w:rsidRPr="00624EA6" w:rsidR="00720157" w:rsidP="00720157" w:rsidRDefault="00720157" w14:paraId="02DE4AEF"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624EA6" w:rsidR="00624EA6" w:rsidP="00624EA6" w:rsidRDefault="00624EA6" w14:paraId="0A2EF0C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624EA6">
        <w:rPr>
          <w:rFonts w:ascii="Times New Roman" w:hAnsi="Times New Roman" w:eastAsia="Times New Roman" w:cs="Times New Roman"/>
          <w:b/>
          <w:bCs/>
          <w:sz w:val="24"/>
          <w:szCs w:val="24"/>
          <w:lang w:val="es-MX" w:eastAsia="ar-SA"/>
        </w:rPr>
        <w:t>Vistos:</w:t>
      </w:r>
    </w:p>
    <w:p w:rsidRPr="00624EA6" w:rsidR="00624EA6" w:rsidP="00624EA6" w:rsidRDefault="00624EA6" w14:paraId="45D75556"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624EA6">
        <w:rPr>
          <w:rFonts w:ascii="Times New Roman" w:hAnsi="Times New Roman" w:eastAsia="Times New Roman" w:cs="Times New Roman"/>
          <w:b/>
          <w:bCs/>
          <w:sz w:val="24"/>
          <w:szCs w:val="24"/>
          <w:lang w:val="es-MX" w:eastAsia="ar-SA"/>
        </w:rPr>
        <w:t xml:space="preserve">   </w:t>
      </w:r>
    </w:p>
    <w:p w:rsidRPr="00624EA6" w:rsidR="00624EA6" w:rsidP="4F860087" w:rsidRDefault="00624EA6" w14:paraId="70F19EAE" w14:textId="4B812EC8">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4F860087" w:rsidR="00624EA6">
        <w:rPr>
          <w:rFonts w:ascii="Times New Roman" w:hAnsi="Times New Roman" w:eastAsia="Times New Roman" w:cs="Times New Roman"/>
          <w:sz w:val="24"/>
          <w:szCs w:val="24"/>
          <w:lang w:val="es-ES" w:eastAsia="ar-SA"/>
        </w:rPr>
        <w:t xml:space="preserve">El recurso de impugnación presentado con fecha 1 de agosto de 2021 por </w:t>
      </w:r>
      <w:r w:rsidRPr="4F860087" w:rsidR="00624EA6">
        <w:rPr>
          <w:rFonts w:ascii="Times New Roman" w:hAnsi="Times New Roman" w:eastAsia="Times New Roman" w:cs="Times New Roman"/>
          <w:sz w:val="24"/>
          <w:szCs w:val="24"/>
          <w:lang w:val="es-PE" w:eastAsia="es-ES"/>
        </w:rPr>
        <w:t>don</w:t>
      </w:r>
      <w:r w:rsidRPr="4F860087" w:rsidR="00624EA6">
        <w:rPr>
          <w:rFonts w:ascii="Times New Roman" w:hAnsi="Times New Roman" w:cs="Times New Roman"/>
          <w:sz w:val="24"/>
          <w:szCs w:val="24"/>
          <w:lang w:val="es-ES"/>
        </w:rPr>
        <w:t xml:space="preserve"> </w:t>
      </w:r>
      <w:r w:rsidRPr="4F860087" w:rsidR="3B91E3EE">
        <w:rPr>
          <w:rFonts w:ascii="Times New Roman" w:hAnsi="Times New Roman" w:cs="Times New Roman"/>
          <w:sz w:val="24"/>
          <w:szCs w:val="24"/>
          <w:lang w:val="es-ES"/>
        </w:rPr>
        <w:t>.......................................................</w:t>
      </w:r>
      <w:r w:rsidRPr="4F860087" w:rsidR="00624EA6">
        <w:rPr>
          <w:rFonts w:ascii="Times New Roman" w:hAnsi="Times New Roman" w:eastAsia="Times New Roman" w:cs="Times New Roman"/>
          <w:sz w:val="24"/>
          <w:szCs w:val="24"/>
          <w:lang w:val="es-ES" w:eastAsia="ar-SA"/>
        </w:rPr>
        <w:t xml:space="preserve"> respecto de la Resolución Nro. 090/21, de fecha 21 de julio de 2021, emitida por el Órgano Resolutivo Unipersonal (ORU) de esta Defensoría del Asegurado (DEFASEG), que declaró INFUNDADA </w:t>
      </w:r>
      <w:r w:rsidRPr="4F860087" w:rsidR="00624EA6">
        <w:rPr>
          <w:rFonts w:ascii="Times New Roman" w:hAnsi="Times New Roman" w:eastAsia="Arial Unicode MS" w:cs="Times New Roman"/>
          <w:sz w:val="24"/>
          <w:szCs w:val="24"/>
          <w:lang w:val="es-PE"/>
        </w:rPr>
        <w:t xml:space="preserve">su reclamación contra </w:t>
      </w:r>
      <w:r w:rsidRPr="4F860087" w:rsidR="1A4DE2CF">
        <w:rPr>
          <w:rFonts w:ascii="Times New Roman" w:hAnsi="Times New Roman" w:cs="Times New Roman"/>
          <w:sz w:val="24"/>
          <w:szCs w:val="24"/>
          <w:lang w:val="es-ES"/>
        </w:rPr>
        <w:t>................................</w:t>
      </w:r>
      <w:r w:rsidRPr="4F860087" w:rsidR="00624EA6">
        <w:rPr>
          <w:rFonts w:ascii="Times New Roman" w:hAnsi="Times New Roman" w:cs="Times New Roman"/>
          <w:sz w:val="24"/>
          <w:szCs w:val="24"/>
          <w:lang w:val="es-ES"/>
        </w:rPr>
        <w:t xml:space="preserve"> </w:t>
      </w:r>
      <w:r w:rsidRPr="4F860087" w:rsidR="00624EA6">
        <w:rPr>
          <w:rFonts w:ascii="Times New Roman" w:hAnsi="Times New Roman" w:eastAsia="Times New Roman" w:cs="Times New Roman"/>
          <w:sz w:val="24"/>
          <w:szCs w:val="24"/>
          <w:lang w:val="es-PE" w:eastAsia="es-ES"/>
        </w:rPr>
        <w:t xml:space="preserve">sobre otorgamiento de cobertura, </w:t>
      </w:r>
      <w:r w:rsidRPr="4F860087" w:rsidR="00624EA6">
        <w:rPr>
          <w:rFonts w:ascii="Times New Roman" w:hAnsi="Times New Roman" w:eastAsia="Times New Roman" w:cs="Times New Roman"/>
          <w:sz w:val="24"/>
          <w:szCs w:val="24"/>
          <w:lang w:val="es-PE" w:eastAsia="es-ES"/>
        </w:rPr>
        <w:t>en vía de reembolso, al siniestro ocurrido el 6 de noviembre de 2020 y que corresponde al fallecimiento</w:t>
      </w:r>
      <w:r w:rsidRPr="4F860087" w:rsidR="00624EA6">
        <w:rPr>
          <w:rFonts w:ascii="Times New Roman" w:hAnsi="Times New Roman" w:cs="Times New Roman"/>
          <w:sz w:val="24"/>
          <w:szCs w:val="24"/>
          <w:lang w:val="es-ES" w:eastAsia="es-ES"/>
        </w:rPr>
        <w:t xml:space="preserve"> del asegurado dependiente, don </w:t>
      </w:r>
      <w:r w:rsidRPr="4F860087" w:rsidR="2AB28468">
        <w:rPr>
          <w:rFonts w:ascii="Times New Roman" w:hAnsi="Times New Roman" w:cs="Times New Roman"/>
          <w:sz w:val="24"/>
          <w:szCs w:val="24"/>
          <w:lang w:val="es-ES" w:eastAsia="es-ES"/>
        </w:rPr>
        <w:t>................................</w:t>
      </w:r>
      <w:r w:rsidRPr="4F860087" w:rsidR="00624EA6">
        <w:rPr>
          <w:rFonts w:ascii="Times New Roman" w:hAnsi="Times New Roman" w:cs="Times New Roman"/>
          <w:sz w:val="24"/>
          <w:szCs w:val="24"/>
          <w:lang w:val="es-ES" w:eastAsia="es-ES"/>
        </w:rPr>
        <w:t xml:space="preserve">, </w:t>
      </w:r>
      <w:r w:rsidRPr="4F860087" w:rsidR="00624EA6">
        <w:rPr>
          <w:rFonts w:ascii="Times New Roman" w:hAnsi="Times New Roman" w:eastAsia="Times New Roman" w:cs="Times New Roman"/>
          <w:sz w:val="24"/>
          <w:szCs w:val="24"/>
          <w:lang w:val="es-PE" w:eastAsia="es-ES"/>
        </w:rPr>
        <w:t>de acuerdo a</w:t>
      </w:r>
      <w:r w:rsidRPr="4F860087" w:rsidR="00624EA6">
        <w:rPr>
          <w:rFonts w:ascii="Times New Roman" w:hAnsi="Times New Roman" w:eastAsia="Times New Roman" w:cs="Times New Roman"/>
          <w:sz w:val="24"/>
          <w:szCs w:val="24"/>
          <w:lang w:val="es-PE" w:eastAsia="es-ES"/>
        </w:rPr>
        <w:t xml:space="preserve"> los términos y condiciones del </w:t>
      </w:r>
      <w:r w:rsidRPr="4F860087" w:rsidR="00624EA6">
        <w:rPr>
          <w:rFonts w:ascii="Times New Roman" w:hAnsi="Times New Roman" w:cs="Times New Roman"/>
          <w:sz w:val="24"/>
          <w:szCs w:val="24"/>
          <w:lang w:val="es-ES"/>
        </w:rPr>
        <w:t xml:space="preserve">Seguro de </w:t>
      </w:r>
      <w:r w:rsidRPr="4F860087" w:rsidR="00624EA6">
        <w:rPr>
          <w:rFonts w:ascii="Times New Roman" w:hAnsi="Times New Roman" w:cs="Times New Roman"/>
          <w:sz w:val="24"/>
          <w:szCs w:val="24"/>
          <w:lang w:val="es-ES"/>
        </w:rPr>
        <w:t xml:space="preserve">Sepelio – Póliza Nro. </w:t>
      </w:r>
      <w:r w:rsidRPr="4F860087" w:rsidR="0B6BCBD6">
        <w:rPr>
          <w:rFonts w:ascii="Times New Roman" w:hAnsi="Times New Roman" w:cs="Times New Roman"/>
          <w:sz w:val="24"/>
          <w:szCs w:val="24"/>
          <w:lang w:val="es-ES"/>
        </w:rPr>
        <w:t>................................</w:t>
      </w:r>
      <w:r w:rsidRPr="4F860087" w:rsidR="00624EA6">
        <w:rPr>
          <w:rFonts w:ascii="Times New Roman" w:hAnsi="Times New Roman" w:cs="Times New Roman"/>
          <w:sz w:val="24"/>
          <w:szCs w:val="24"/>
          <w:lang w:val="es-ES"/>
        </w:rPr>
        <w:t>;</w:t>
      </w:r>
    </w:p>
    <w:p w:rsidRPr="00624EA6" w:rsidR="00624EA6" w:rsidP="00624EA6" w:rsidRDefault="00624EA6" w14:paraId="00615C45"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ES" w:eastAsia="es-ES"/>
        </w:rPr>
      </w:pPr>
    </w:p>
    <w:p w:rsidRPr="00624EA6" w:rsidR="00624EA6" w:rsidP="4F860087" w:rsidRDefault="00624EA6" w14:paraId="321D7BA3" w14:textId="16D1A42C">
      <w:pPr>
        <w:suppressAutoHyphens/>
        <w:spacing w:after="0" w:line="240" w:lineRule="auto"/>
        <w:jc w:val="both"/>
        <w:rPr>
          <w:rFonts w:ascii="Times New Roman" w:hAnsi="Times New Roman" w:eastAsia="Times New Roman" w:cs="Times New Roman"/>
          <w:sz w:val="24"/>
          <w:szCs w:val="24"/>
          <w:lang w:val="es-MX" w:eastAsia="ar-SA"/>
        </w:rPr>
      </w:pPr>
      <w:r w:rsidRPr="4F860087" w:rsidR="00624EA6">
        <w:rPr>
          <w:rFonts w:ascii="Times New Roman" w:hAnsi="Times New Roman" w:eastAsia="Times New Roman" w:cs="Times New Roman"/>
          <w:sz w:val="24"/>
          <w:szCs w:val="24"/>
          <w:lang w:val="es-MX" w:eastAsia="ar-SA"/>
        </w:rPr>
        <w:t xml:space="preserve">Que, a través del señalado recurso, el asegurado cuestiona lo resuelto por el ORU, siendo que del extenso escrito presentado puede destacarse principal y resumidamente lo siguiente: a) No obstante que presentó su reclamación de manera oportuna, respetando los plazos, </w:t>
      </w:r>
      <w:r w:rsidRPr="4F860087" w:rsidR="51D6257E">
        <w:rPr>
          <w:rFonts w:ascii="Times New Roman" w:hAnsi="Times New Roman" w:eastAsia="Times New Roman" w:cs="Times New Roman"/>
          <w:sz w:val="24"/>
          <w:szCs w:val="24"/>
          <w:lang w:val="es-MX" w:eastAsia="ar-SA"/>
        </w:rPr>
        <w:t>................................</w:t>
      </w:r>
      <w:r w:rsidRPr="4F860087" w:rsidR="00624EA6">
        <w:rPr>
          <w:rFonts w:ascii="Times New Roman" w:hAnsi="Times New Roman" w:eastAsia="Times New Roman" w:cs="Times New Roman"/>
          <w:sz w:val="24"/>
          <w:szCs w:val="24"/>
          <w:lang w:val="es-MX" w:eastAsia="ar-SA"/>
        </w:rPr>
        <w:t xml:space="preserve"> no hizo lo propio, siendo que en la misma fecha de la vista recién presentó sus descargos, sin acompañar in informe del proveedor funerario sobre los hechos ocurridos, siendo que la aceptación por el ORU de dichos descargos está incurso en nulidad por haber sido presentados fuera de plazo, b) Pese a la conducta irresponsable, indolente, déspota, altanera y abusiva de su proveedor, </w:t>
      </w:r>
      <w:r w:rsidRPr="4F860087" w:rsidR="2C0AAB4F">
        <w:rPr>
          <w:rFonts w:ascii="Times New Roman" w:hAnsi="Times New Roman" w:eastAsia="Times New Roman" w:cs="Times New Roman"/>
          <w:sz w:val="24"/>
          <w:szCs w:val="24"/>
          <w:lang w:val="es-MX" w:eastAsia="ar-SA"/>
        </w:rPr>
        <w:t>................................</w:t>
      </w:r>
      <w:r w:rsidRPr="4F860087" w:rsidR="00624EA6">
        <w:rPr>
          <w:rFonts w:ascii="Times New Roman" w:hAnsi="Times New Roman" w:eastAsia="Times New Roman" w:cs="Times New Roman"/>
          <w:sz w:val="24"/>
          <w:szCs w:val="24"/>
          <w:lang w:val="es-MX" w:eastAsia="ar-SA"/>
        </w:rPr>
        <w:t xml:space="preserve"> insiste que no me corresponde el reembolso reclamado, c) No se han valorizado las pruebas ofrecidas al sostener que fue desatendido por el proveedor del servicio funerario, siendo que la Resolución ORU tergiversa los hechos, pudiéndose solicitar el registro de llamadas recibidas por la aseguradora, las que se supone están grabadas, y d) De acuerdo al numeral 23.1.2 de la póliza contratada, sí es posible el reembolso (hasta por el monto del plan contratad y con arreglo a las condiciones particulares), por lo que se está reclamando un reembolso al cual se tiene derecho conforme a la propia póliza;</w:t>
      </w:r>
    </w:p>
    <w:p w:rsidRPr="00624EA6" w:rsidR="00624EA6" w:rsidP="00624EA6" w:rsidRDefault="00624EA6" w14:paraId="301CFB60"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624EA6" w:rsidR="00624EA6" w:rsidP="4F860087" w:rsidRDefault="00624EA6" w14:paraId="62E46DF6" w14:textId="4C765125">
      <w:pPr>
        <w:suppressAutoHyphens/>
        <w:spacing w:after="0" w:line="240" w:lineRule="auto"/>
        <w:jc w:val="both"/>
        <w:rPr>
          <w:rFonts w:ascii="Times New Roman" w:hAnsi="Times New Roman" w:eastAsia="Times New Roman" w:cs="Times New Roman"/>
          <w:sz w:val="24"/>
          <w:szCs w:val="24"/>
          <w:lang w:val="es-MX" w:eastAsia="ar-SA"/>
        </w:rPr>
      </w:pPr>
      <w:r w:rsidRPr="4F860087" w:rsidR="00624EA6">
        <w:rPr>
          <w:rFonts w:ascii="Times New Roman" w:hAnsi="Times New Roman" w:eastAsia="Times New Roman" w:cs="Times New Roman"/>
          <w:sz w:val="24"/>
          <w:szCs w:val="24"/>
          <w:lang w:val="es-MX" w:eastAsia="ar-SA"/>
        </w:rPr>
        <w:t xml:space="preserve">Que, habiéndosele corrido traslado a </w:t>
      </w:r>
      <w:r w:rsidRPr="4F860087" w:rsidR="2C0AAB4F">
        <w:rPr>
          <w:rFonts w:ascii="Times New Roman" w:hAnsi="Times New Roman" w:eastAsia="Times New Roman" w:cs="Times New Roman"/>
          <w:sz w:val="24"/>
          <w:szCs w:val="24"/>
          <w:lang w:val="es-MX" w:eastAsia="ar-SA"/>
        </w:rPr>
        <w:t>................................</w:t>
      </w:r>
      <w:r w:rsidRPr="4F860087" w:rsidR="00624EA6">
        <w:rPr>
          <w:rFonts w:ascii="Times New Roman" w:hAnsi="Times New Roman" w:eastAsia="Times New Roman" w:cs="Times New Roman"/>
          <w:sz w:val="24"/>
          <w:szCs w:val="24"/>
          <w:lang w:val="es-MX" w:eastAsia="ar-SA"/>
        </w:rPr>
        <w:t xml:space="preserve"> de la señalada impugnación con fecha 2 de agosto de 2021, no ha absuelto el trámite correspondiente;</w:t>
      </w:r>
    </w:p>
    <w:p w:rsidRPr="00624EA6" w:rsidR="00624EA6" w:rsidP="00624EA6" w:rsidRDefault="00624EA6" w14:paraId="705B594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624EA6" w:rsidR="00624EA6" w:rsidP="00624EA6" w:rsidRDefault="00624EA6" w14:paraId="7B7CA346" w14:textId="77777777">
      <w:pPr>
        <w:suppressAutoHyphens/>
        <w:spacing w:after="0" w:line="240" w:lineRule="auto"/>
        <w:jc w:val="both"/>
        <w:rPr>
          <w:rFonts w:ascii="Times New Roman" w:hAnsi="Times New Roman" w:cs="Times New Roman"/>
          <w:bCs/>
          <w:sz w:val="24"/>
          <w:szCs w:val="24"/>
          <w:lang w:val="es-ES"/>
        </w:rPr>
      </w:pPr>
      <w:r w:rsidRPr="00624EA6">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624EA6" w:rsidR="00624EA6" w:rsidP="00624EA6" w:rsidRDefault="00624EA6" w14:paraId="7790B454"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624EA6" w:rsidR="00624EA6" w:rsidP="00624EA6" w:rsidRDefault="00624EA6" w14:paraId="0562FD1F"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624EA6">
        <w:rPr>
          <w:rFonts w:ascii="Times New Roman" w:hAnsi="Times New Roman" w:eastAsia="Times New Roman" w:cs="Times New Roman"/>
          <w:b/>
          <w:bCs/>
          <w:sz w:val="24"/>
          <w:szCs w:val="24"/>
          <w:lang w:val="es-MX" w:eastAsia="ar-SA"/>
        </w:rPr>
        <w:t>Considerando:</w:t>
      </w:r>
    </w:p>
    <w:p w:rsidRPr="00624EA6" w:rsidR="00624EA6" w:rsidP="00624EA6" w:rsidRDefault="00624EA6" w14:paraId="41953274" w14:textId="77777777">
      <w:pPr>
        <w:suppressAutoHyphens/>
        <w:spacing w:after="0" w:line="240" w:lineRule="auto"/>
        <w:jc w:val="both"/>
        <w:rPr>
          <w:rFonts w:ascii="Times New Roman" w:hAnsi="Times New Roman" w:eastAsia="Times New Roman" w:cs="Times New Roman"/>
          <w:sz w:val="24"/>
          <w:szCs w:val="24"/>
          <w:lang w:val="es-ES" w:eastAsia="ar-SA"/>
        </w:rPr>
      </w:pPr>
    </w:p>
    <w:p w:rsidRPr="00624EA6" w:rsidR="00624EA6" w:rsidP="00624EA6" w:rsidRDefault="00624EA6" w14:paraId="13BD5BB8" w14:textId="77777777">
      <w:pPr>
        <w:spacing w:after="0" w:line="240" w:lineRule="auto"/>
        <w:jc w:val="both"/>
        <w:rPr>
          <w:rFonts w:ascii="Times New Roman" w:hAnsi="Times New Roman" w:cs="Times New Roman"/>
          <w:sz w:val="24"/>
          <w:szCs w:val="24"/>
          <w:lang w:val="es-PE"/>
        </w:rPr>
      </w:pPr>
      <w:r w:rsidRPr="00624EA6">
        <w:rPr>
          <w:rFonts w:ascii="Times New Roman" w:hAnsi="Times New Roman" w:cs="Times New Roman"/>
          <w:b/>
          <w:sz w:val="24"/>
          <w:szCs w:val="24"/>
          <w:u w:val="single"/>
          <w:lang w:val="es-PE"/>
        </w:rPr>
        <w:t>Primero</w:t>
      </w:r>
      <w:r w:rsidRPr="00624EA6">
        <w:rPr>
          <w:rFonts w:ascii="Times New Roman" w:hAnsi="Times New Roman" w:cs="Times New Roman"/>
          <w:b/>
          <w:sz w:val="24"/>
          <w:szCs w:val="24"/>
          <w:lang w:val="es-PE"/>
        </w:rPr>
        <w:t>:</w:t>
      </w:r>
      <w:r w:rsidRPr="00624EA6">
        <w:rPr>
          <w:rFonts w:ascii="Times New Roman" w:hAnsi="Times New Roman" w:cs="Times New Roman"/>
          <w:sz w:val="24"/>
          <w:szCs w:val="24"/>
          <w:lang w:val="es-PE"/>
        </w:rPr>
        <w:t xml:space="preserve"> El Reglamento de la DEFASEG </w:t>
      </w:r>
      <w:r w:rsidRPr="00624EA6">
        <w:rPr>
          <w:rFonts w:ascii="Times New Roman" w:hAnsi="Times New Roman" w:eastAsia="Arial Unicode MS" w:cs="Times New Roman"/>
          <w:sz w:val="24"/>
          <w:szCs w:val="24"/>
          <w:lang w:val="es-PE"/>
        </w:rPr>
        <w:t xml:space="preserve">(http://www.defaseg.com.pe/reglamento), en su artículo 10, </w:t>
      </w:r>
      <w:r w:rsidRPr="00624EA6">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624EA6">
        <w:rPr>
          <w:rFonts w:ascii="Times New Roman" w:hAnsi="Times New Roman" w:cs="Times New Roman"/>
          <w:sz w:val="24"/>
          <w:szCs w:val="24"/>
          <w:lang w:val="es-ES"/>
        </w:rPr>
        <w:t>usuario de seguro recurre en forma voluntaria a la Defensoría, siendo que la presentación de una reclamación n</w:t>
      </w:r>
      <w:r w:rsidRPr="00624EA6">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624EA6">
        <w:rPr>
          <w:rFonts w:ascii="Times New Roman" w:hAnsi="Times New Roman" w:cs="Times New Roman"/>
          <w:sz w:val="24"/>
          <w:szCs w:val="24"/>
          <w:lang w:val="es-PE"/>
        </w:rPr>
        <w:t>De acuerdo a</w:t>
      </w:r>
      <w:proofErr w:type="gramEnd"/>
      <w:r w:rsidRPr="00624EA6">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624EA6" w:rsidR="00624EA6" w:rsidP="00624EA6" w:rsidRDefault="00624EA6" w14:paraId="62745192" w14:textId="77777777">
      <w:pPr>
        <w:spacing w:after="0" w:line="240" w:lineRule="auto"/>
        <w:jc w:val="both"/>
        <w:rPr>
          <w:rFonts w:ascii="Times New Roman" w:hAnsi="Times New Roman" w:cs="Times New Roman"/>
          <w:sz w:val="24"/>
          <w:szCs w:val="24"/>
          <w:lang w:val="es-PE"/>
        </w:rPr>
      </w:pPr>
    </w:p>
    <w:p w:rsidRPr="00624EA6" w:rsidR="00624EA6" w:rsidP="00624EA6" w:rsidRDefault="00624EA6" w14:paraId="236A42EE" w14:textId="77777777">
      <w:pPr>
        <w:tabs>
          <w:tab w:val="left" w:pos="0"/>
          <w:tab w:val="left" w:pos="2160"/>
        </w:tabs>
        <w:spacing w:after="0" w:line="240" w:lineRule="auto"/>
        <w:jc w:val="both"/>
        <w:rPr>
          <w:rFonts w:ascii="Times New Roman" w:hAnsi="Times New Roman" w:cs="Times New Roman"/>
          <w:bCs/>
          <w:sz w:val="24"/>
          <w:szCs w:val="24"/>
          <w:lang w:val="es-PE"/>
        </w:rPr>
      </w:pPr>
      <w:r w:rsidRPr="00624EA6">
        <w:rPr>
          <w:rFonts w:ascii="Times New Roman" w:hAnsi="Times New Roman" w:cs="Times New Roman"/>
          <w:b/>
          <w:sz w:val="24"/>
          <w:szCs w:val="24"/>
          <w:u w:val="single"/>
          <w:lang w:val="es-PE"/>
        </w:rPr>
        <w:t>Segundo</w:t>
      </w:r>
      <w:r w:rsidRPr="00624EA6">
        <w:rPr>
          <w:rFonts w:ascii="Times New Roman" w:hAnsi="Times New Roman" w:cs="Times New Roman"/>
          <w:b/>
          <w:sz w:val="24"/>
          <w:szCs w:val="24"/>
          <w:lang w:val="es-PE"/>
        </w:rPr>
        <w:t>:</w:t>
      </w:r>
      <w:r w:rsidRPr="00624EA6">
        <w:rPr>
          <w:rFonts w:ascii="Times New Roman" w:hAnsi="Times New Roman" w:cs="Times New Roman"/>
          <w:sz w:val="24"/>
          <w:szCs w:val="24"/>
          <w:lang w:val="es-PE"/>
        </w:rPr>
        <w:t xml:space="preserve"> Atendiendo a los fundamentos de la impugnación interpuesta, revisado y analizado cada uno de ellos según lo justificado en el respectivo escrito, no</w:t>
      </w:r>
      <w:r w:rsidRPr="00624EA6">
        <w:rPr>
          <w:rFonts w:ascii="Times New Roman" w:hAnsi="Times New Roman" w:cs="Times New Roman"/>
          <w:bCs/>
          <w:sz w:val="24"/>
          <w:szCs w:val="24"/>
          <w:lang w:val="es-PE"/>
        </w:rPr>
        <w:t xml:space="preserve"> habiéndose expuesto ni acreditado nuevo argumento que desautorice lo resuelto, se estima que el </w:t>
      </w:r>
      <w:r w:rsidRPr="00624EA6">
        <w:rPr>
          <w:rFonts w:ascii="Times New Roman" w:hAnsi="Times New Roman" w:cs="Times New Roman"/>
          <w:sz w:val="24"/>
          <w:szCs w:val="24"/>
          <w:lang w:val="es-ES"/>
        </w:rPr>
        <w:t>recurso impugnativo interpuesto puede ser categorizado, por su contenido objetivo mismo, como una solicitud de revisión general, sustentado exclusivamente en el criterio del reclamante, que este colegiado no comparte definitivamente, sin aportar medio probatorio que permita apreciar que el ORU incurrió en un error o vicio al momento de resolver.</w:t>
      </w:r>
    </w:p>
    <w:p w:rsidRPr="00624EA6" w:rsidR="00624EA6" w:rsidP="00624EA6" w:rsidRDefault="00624EA6" w14:paraId="3E9665B9" w14:textId="77777777">
      <w:pPr>
        <w:tabs>
          <w:tab w:val="left" w:pos="0"/>
          <w:tab w:val="left" w:pos="2160"/>
        </w:tabs>
        <w:spacing w:after="0" w:line="240" w:lineRule="auto"/>
        <w:jc w:val="both"/>
        <w:rPr>
          <w:rFonts w:ascii="Times New Roman" w:hAnsi="Times New Roman" w:cs="Times New Roman"/>
          <w:sz w:val="24"/>
          <w:szCs w:val="24"/>
          <w:lang w:val="es-PE"/>
        </w:rPr>
      </w:pPr>
    </w:p>
    <w:p w:rsidRPr="00624EA6" w:rsidR="00624EA6" w:rsidP="00624EA6" w:rsidRDefault="00624EA6" w14:paraId="2AC94C11" w14:textId="77777777">
      <w:pPr>
        <w:tabs>
          <w:tab w:val="left" w:pos="0"/>
          <w:tab w:val="left" w:pos="2160"/>
        </w:tabs>
        <w:spacing w:after="0" w:line="240" w:lineRule="auto"/>
        <w:jc w:val="both"/>
        <w:rPr>
          <w:rFonts w:ascii="Times New Roman" w:hAnsi="Times New Roman" w:cs="Times New Roman"/>
          <w:bCs/>
          <w:sz w:val="24"/>
          <w:szCs w:val="24"/>
          <w:lang w:val="es-PE"/>
        </w:rPr>
      </w:pPr>
      <w:r w:rsidRPr="00624EA6">
        <w:rPr>
          <w:rFonts w:ascii="Times New Roman" w:hAnsi="Times New Roman" w:cs="Times New Roman"/>
          <w:sz w:val="24"/>
          <w:szCs w:val="24"/>
          <w:lang w:val="es-PE"/>
        </w:rPr>
        <w:t>En tal virtud, según fue analizado al expedirse la resolución recurrida, lo cual este colegiado reitera en todos y cada uno de sus extremos, el rechazo de cobertura se encuentra legítimamente sustentado, ajustándose al marco legal y a los términos de la póliza contratada</w:t>
      </w:r>
      <w:r w:rsidRPr="00624EA6">
        <w:rPr>
          <w:rFonts w:ascii="Times New Roman" w:hAnsi="Times New Roman" w:cs="Times New Roman"/>
          <w:bCs/>
          <w:sz w:val="24"/>
          <w:szCs w:val="24"/>
          <w:lang w:val="es-PE"/>
        </w:rPr>
        <w:t>.  En consecuencia, disponer el otorgamiento del beneficio reclamado (reembolso de gastos) en vía de declarar fundada la impugnación interpuesta significaría, desde cualquier perspectiva, una arbitraria contravención al contrato de seguro.</w:t>
      </w:r>
    </w:p>
    <w:p w:rsidRPr="00624EA6" w:rsidR="00624EA6" w:rsidP="00624EA6" w:rsidRDefault="00624EA6" w14:paraId="0777E432" w14:textId="77777777">
      <w:pPr>
        <w:tabs>
          <w:tab w:val="left" w:pos="0"/>
          <w:tab w:val="left" w:pos="2160"/>
        </w:tabs>
        <w:spacing w:after="0" w:line="240" w:lineRule="auto"/>
        <w:jc w:val="both"/>
        <w:rPr>
          <w:rFonts w:ascii="Times New Roman" w:hAnsi="Times New Roman" w:cs="Times New Roman"/>
          <w:bCs/>
          <w:sz w:val="24"/>
          <w:szCs w:val="24"/>
          <w:lang w:val="es-PE"/>
        </w:rPr>
      </w:pPr>
    </w:p>
    <w:p w:rsidRPr="00624EA6" w:rsidR="00624EA6" w:rsidP="00624EA6" w:rsidRDefault="00624EA6" w14:paraId="1D7A1899" w14:textId="77777777">
      <w:pPr>
        <w:tabs>
          <w:tab w:val="left" w:pos="0"/>
          <w:tab w:val="left" w:pos="2160"/>
        </w:tabs>
        <w:spacing w:after="0" w:line="240" w:lineRule="auto"/>
        <w:jc w:val="both"/>
        <w:rPr>
          <w:rFonts w:ascii="Times New Roman" w:hAnsi="Times New Roman" w:cs="Times New Roman"/>
          <w:bCs/>
          <w:sz w:val="24"/>
          <w:szCs w:val="24"/>
          <w:lang w:val="es-PE"/>
        </w:rPr>
      </w:pPr>
      <w:r w:rsidRPr="00624EA6">
        <w:rPr>
          <w:rFonts w:ascii="Times New Roman" w:hAnsi="Times New Roman" w:cs="Times New Roman"/>
          <w:b/>
          <w:sz w:val="24"/>
          <w:szCs w:val="24"/>
          <w:u w:val="single"/>
          <w:lang w:val="es-PE"/>
        </w:rPr>
        <w:t>Tercero</w:t>
      </w:r>
      <w:r w:rsidRPr="00624EA6">
        <w:rPr>
          <w:rFonts w:ascii="Times New Roman" w:hAnsi="Times New Roman" w:cs="Times New Roman"/>
          <w:b/>
          <w:sz w:val="24"/>
          <w:szCs w:val="24"/>
          <w:lang w:val="es-PE"/>
        </w:rPr>
        <w:t>:</w:t>
      </w:r>
      <w:r w:rsidRPr="00624EA6">
        <w:rPr>
          <w:rFonts w:ascii="Times New Roman" w:hAnsi="Times New Roman" w:cs="Times New Roman"/>
          <w:sz w:val="24"/>
          <w:szCs w:val="24"/>
          <w:lang w:val="es-PE"/>
        </w:rPr>
        <w:t xml:space="preserve"> Por último, </w:t>
      </w:r>
      <w:r w:rsidRPr="00624EA6">
        <w:rPr>
          <w:rFonts w:ascii="Times New Roman" w:hAnsi="Times New Roman" w:cs="Times New Roman"/>
          <w:bCs/>
          <w:sz w:val="24"/>
          <w:szCs w:val="24"/>
          <w:lang w:val="es-PE"/>
        </w:rPr>
        <w:t xml:space="preserve">este colegiado estima pertinente </w:t>
      </w:r>
      <w:proofErr w:type="gramStart"/>
      <w:r w:rsidRPr="00624EA6">
        <w:rPr>
          <w:rFonts w:ascii="Times New Roman" w:hAnsi="Times New Roman" w:cs="Times New Roman"/>
          <w:bCs/>
          <w:sz w:val="24"/>
          <w:szCs w:val="24"/>
          <w:lang w:val="es-PE"/>
        </w:rPr>
        <w:t>destacar</w:t>
      </w:r>
      <w:proofErr w:type="gramEnd"/>
      <w:r w:rsidRPr="00624EA6">
        <w:rPr>
          <w:rFonts w:ascii="Times New Roman" w:hAnsi="Times New Roman" w:cs="Times New Roman"/>
          <w:bCs/>
          <w:sz w:val="24"/>
          <w:szCs w:val="24"/>
          <w:lang w:val="es-PE"/>
        </w:rPr>
        <w:t xml:space="preserve"> puntualmente lo siguiente:</w:t>
      </w:r>
    </w:p>
    <w:p w:rsidRPr="00624EA6" w:rsidR="00624EA6" w:rsidP="00624EA6" w:rsidRDefault="00624EA6" w14:paraId="700E7587" w14:textId="77777777">
      <w:pPr>
        <w:tabs>
          <w:tab w:val="left" w:pos="0"/>
          <w:tab w:val="left" w:pos="2160"/>
        </w:tabs>
        <w:spacing w:after="0" w:line="240" w:lineRule="auto"/>
        <w:jc w:val="both"/>
        <w:rPr>
          <w:rFonts w:ascii="Times New Roman" w:hAnsi="Times New Roman" w:cs="Times New Roman"/>
          <w:bCs/>
          <w:sz w:val="24"/>
          <w:szCs w:val="24"/>
          <w:lang w:val="es-PE"/>
        </w:rPr>
      </w:pPr>
    </w:p>
    <w:p w:rsidRPr="00624EA6" w:rsidR="00624EA6" w:rsidP="00624EA6" w:rsidRDefault="00624EA6" w14:paraId="75BFB4F9"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624EA6">
        <w:rPr>
          <w:rFonts w:ascii="Times New Roman" w:hAnsi="Times New Roman" w:cs="Times New Roman"/>
          <w:bCs/>
          <w:sz w:val="24"/>
          <w:szCs w:val="24"/>
          <w:lang w:val="es-PE"/>
        </w:rPr>
        <w:t>3.1.</w:t>
      </w:r>
      <w:r w:rsidRPr="00624EA6">
        <w:rPr>
          <w:rFonts w:ascii="Times New Roman" w:hAnsi="Times New Roman" w:cs="Times New Roman"/>
          <w:bCs/>
          <w:sz w:val="24"/>
          <w:szCs w:val="24"/>
          <w:lang w:val="es-PE"/>
        </w:rPr>
        <w:tab/>
      </w:r>
      <w:r w:rsidRPr="00624EA6">
        <w:rPr>
          <w:rFonts w:ascii="Times New Roman" w:hAnsi="Times New Roman" w:cs="Times New Roman"/>
          <w:bCs/>
          <w:sz w:val="24"/>
          <w:szCs w:val="24"/>
          <w:lang w:val="es-PE"/>
        </w:rPr>
        <w:t xml:space="preserve">Asumiendo como un hecho cierto, aunque no está probado, la deficiente o inadecuada atención brindada en su oportunidad al asegurado, el hecho es que, según lo relatado por </w:t>
      </w:r>
      <w:r w:rsidRPr="00624EA6">
        <w:rPr>
          <w:rFonts w:ascii="Times New Roman" w:hAnsi="Times New Roman" w:eastAsia="Times New Roman" w:cs="Times New Roman"/>
          <w:sz w:val="24"/>
          <w:szCs w:val="24"/>
          <w:lang w:val="es-PE" w:eastAsia="es-ES"/>
        </w:rPr>
        <w:t>el propio reclamante, este último no volvió a tomar contacto con la proveedora, ni solicitó a su hermano en Arequipa que tome contacto directo con aquélla, facilitando la información que habría sido requerida (número del DNI del fallecido), siendo que la familia optó por contratar directamente el servicio funerario de tercero.</w:t>
      </w:r>
    </w:p>
    <w:p w:rsidRPr="00624EA6" w:rsidR="00624EA6" w:rsidP="00624EA6" w:rsidRDefault="00624EA6" w14:paraId="568EBB41" w14:textId="77777777">
      <w:pPr>
        <w:tabs>
          <w:tab w:val="left" w:pos="709"/>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624EA6" w:rsidR="00624EA6" w:rsidP="00624EA6" w:rsidRDefault="00624EA6" w14:paraId="3CB27DC3" w14:textId="77777777">
      <w:pPr>
        <w:tabs>
          <w:tab w:val="left" w:pos="709"/>
          <w:tab w:val="left" w:pos="1418"/>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624EA6">
        <w:rPr>
          <w:rFonts w:ascii="Times New Roman" w:hAnsi="Times New Roman" w:eastAsia="Times New Roman" w:cs="Times New Roman"/>
          <w:sz w:val="24"/>
          <w:szCs w:val="24"/>
          <w:lang w:val="es-PE" w:eastAsia="es-ES"/>
        </w:rPr>
        <w:t>3.2.</w:t>
      </w:r>
      <w:r w:rsidRPr="00624EA6">
        <w:rPr>
          <w:rFonts w:ascii="Times New Roman" w:hAnsi="Times New Roman" w:eastAsia="Times New Roman" w:cs="Times New Roman"/>
          <w:sz w:val="24"/>
          <w:szCs w:val="24"/>
          <w:lang w:val="es-PE" w:eastAsia="es-ES"/>
        </w:rPr>
        <w:tab/>
      </w:r>
      <w:r w:rsidRPr="00624EA6">
        <w:rPr>
          <w:rFonts w:ascii="Times New Roman" w:hAnsi="Times New Roman" w:eastAsia="Times New Roman" w:cs="Times New Roman"/>
          <w:sz w:val="24"/>
          <w:szCs w:val="24"/>
          <w:lang w:val="es-PE" w:eastAsia="es-ES"/>
        </w:rPr>
        <w:t>Ni el reclamante, ni los miembros de su familia en Arequipa, requirieron la prestación del servicio que corresponde al otorgamiento de la cobertura contratada por sepelio, por lo que en rigor no hubo negativa de la aseguradora.  Ese requerimiento demandaba atender, por elemental diligencia, como carga jurídica, el requerimiento de la proveedora (que era proporcionar el número del DNI del asegurado dependiente fallecido), información que no fue proporcionada.  La inobservancia de una carga perjudica a quien está sujeto a ella.</w:t>
      </w:r>
    </w:p>
    <w:p w:rsidRPr="00624EA6" w:rsidR="00624EA6" w:rsidP="00624EA6" w:rsidRDefault="00624EA6" w14:paraId="268F70D1" w14:textId="77777777">
      <w:pPr>
        <w:tabs>
          <w:tab w:val="left" w:pos="709"/>
          <w:tab w:val="left" w:pos="1418"/>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624EA6" w:rsidR="00624EA6" w:rsidP="00624EA6" w:rsidRDefault="00624EA6" w14:paraId="67E7C6A2" w14:textId="77777777">
      <w:pPr>
        <w:tabs>
          <w:tab w:val="left" w:pos="709"/>
          <w:tab w:val="left" w:pos="1418"/>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624EA6">
        <w:rPr>
          <w:rFonts w:ascii="Times New Roman" w:hAnsi="Times New Roman" w:eastAsia="Times New Roman" w:cs="Times New Roman"/>
          <w:sz w:val="24"/>
          <w:szCs w:val="24"/>
          <w:lang w:val="es-PE" w:eastAsia="es-ES"/>
        </w:rPr>
        <w:t>3.3.</w:t>
      </w:r>
      <w:r w:rsidRPr="00624EA6">
        <w:rPr>
          <w:rFonts w:ascii="Times New Roman" w:hAnsi="Times New Roman" w:eastAsia="Times New Roman" w:cs="Times New Roman"/>
          <w:sz w:val="24"/>
          <w:szCs w:val="24"/>
          <w:lang w:val="es-PE" w:eastAsia="es-ES"/>
        </w:rPr>
        <w:tab/>
      </w:r>
      <w:r w:rsidRPr="00624EA6">
        <w:rPr>
          <w:rFonts w:ascii="Times New Roman" w:hAnsi="Times New Roman" w:eastAsia="Times New Roman" w:cs="Times New Roman"/>
          <w:sz w:val="24"/>
          <w:szCs w:val="24"/>
          <w:lang w:val="es-PE" w:eastAsia="es-ES"/>
        </w:rPr>
        <w:t xml:space="preserve">La circunstancia que haya habido un tratamiento indebido o inadecuado a un cliente por parte de la proveedora de servicio funerario, hecho ciertamente lamentable en el contexto en el cual se habría producido (y ajeno a la competencia funcional de la DEFASEG), no libera a la asegurada de seguir el protocolo para obtener la cobertura de atención al crédito (para lo cual sólo debía observarla carga ya señalada).  </w:t>
      </w:r>
      <w:proofErr w:type="gramStart"/>
      <w:r w:rsidRPr="00624EA6">
        <w:rPr>
          <w:rFonts w:ascii="Times New Roman" w:hAnsi="Times New Roman" w:eastAsia="Times New Roman" w:cs="Times New Roman"/>
          <w:sz w:val="24"/>
          <w:szCs w:val="24"/>
          <w:lang w:val="es-PE" w:eastAsia="es-ES"/>
        </w:rPr>
        <w:t>De acuerdo al</w:t>
      </w:r>
      <w:proofErr w:type="gramEnd"/>
      <w:r w:rsidRPr="00624EA6">
        <w:rPr>
          <w:rFonts w:ascii="Times New Roman" w:hAnsi="Times New Roman" w:eastAsia="Times New Roman" w:cs="Times New Roman"/>
          <w:sz w:val="24"/>
          <w:szCs w:val="24"/>
          <w:lang w:val="es-PE" w:eastAsia="es-ES"/>
        </w:rPr>
        <w:t xml:space="preserve"> reclamante, no se llegó a facilitar ese dato porque se optó por recurrir a otro proveedor funerario, por su propia cuenta.</w:t>
      </w:r>
    </w:p>
    <w:p w:rsidRPr="00624EA6" w:rsidR="00624EA6" w:rsidP="00624EA6" w:rsidRDefault="00624EA6" w14:paraId="41BC2458" w14:textId="77777777">
      <w:pPr>
        <w:tabs>
          <w:tab w:val="left" w:pos="709"/>
          <w:tab w:val="left" w:pos="1418"/>
          <w:tab w:val="left" w:pos="2160"/>
        </w:tabs>
        <w:spacing w:after="0" w:line="240" w:lineRule="auto"/>
        <w:ind w:left="709" w:hanging="709"/>
        <w:jc w:val="both"/>
        <w:rPr>
          <w:rFonts w:ascii="Times New Roman" w:hAnsi="Times New Roman" w:eastAsia="Times New Roman" w:cs="Times New Roman"/>
          <w:sz w:val="24"/>
          <w:szCs w:val="24"/>
          <w:lang w:val="es-PE" w:eastAsia="es-ES"/>
        </w:rPr>
      </w:pPr>
    </w:p>
    <w:p w:rsidRPr="00624EA6" w:rsidR="00624EA6" w:rsidP="00624EA6" w:rsidRDefault="00624EA6" w14:paraId="69CB2898" w14:textId="77777777">
      <w:pPr>
        <w:tabs>
          <w:tab w:val="left" w:pos="709"/>
          <w:tab w:val="left" w:pos="1418"/>
          <w:tab w:val="left" w:pos="2160"/>
        </w:tabs>
        <w:spacing w:after="0" w:line="240" w:lineRule="auto"/>
        <w:ind w:left="709" w:hanging="709"/>
        <w:jc w:val="both"/>
        <w:rPr>
          <w:rFonts w:ascii="Times New Roman" w:hAnsi="Times New Roman" w:eastAsia="Times New Roman" w:cs="Times New Roman"/>
          <w:sz w:val="24"/>
          <w:szCs w:val="24"/>
          <w:lang w:val="es-PE" w:eastAsia="es-ES"/>
        </w:rPr>
      </w:pPr>
      <w:r w:rsidRPr="00624EA6">
        <w:rPr>
          <w:rFonts w:ascii="Times New Roman" w:hAnsi="Times New Roman" w:eastAsia="Times New Roman" w:cs="Times New Roman"/>
          <w:sz w:val="24"/>
          <w:szCs w:val="24"/>
          <w:lang w:val="es-PE" w:eastAsia="es-ES"/>
        </w:rPr>
        <w:t>3.4.</w:t>
      </w:r>
      <w:r w:rsidRPr="00624EA6">
        <w:rPr>
          <w:rFonts w:ascii="Times New Roman" w:hAnsi="Times New Roman" w:eastAsia="Times New Roman" w:cs="Times New Roman"/>
          <w:sz w:val="24"/>
          <w:szCs w:val="24"/>
          <w:lang w:val="es-PE" w:eastAsia="es-ES"/>
        </w:rPr>
        <w:tab/>
      </w:r>
      <w:r w:rsidRPr="00624EA6">
        <w:rPr>
          <w:rFonts w:ascii="Times New Roman" w:hAnsi="Times New Roman" w:eastAsia="Times New Roman" w:cs="Times New Roman"/>
          <w:sz w:val="24"/>
          <w:szCs w:val="24"/>
          <w:lang w:val="es-PE" w:eastAsia="es-ES"/>
        </w:rPr>
        <w:t xml:space="preserve">No es exacto afirmar que sí resulta posible atender lo reclamado, ya que sí está previsto contractualmente el reembolso.  Ello depende del plan contratado de la póliza.  Conforme se analizó y concluyó en la Resolución ORU recurrida, en la póliza contratada la cobertura de sepelio sólo operaba al crédito (proveedor autorizado), no mediante reembolso.  Los sistemas alternativos de crédito y reembolso están previstos en las condiciones generales, pero en las particulares se limita el beneficio </w:t>
      </w:r>
      <w:proofErr w:type="gramStart"/>
      <w:r w:rsidRPr="00624EA6">
        <w:rPr>
          <w:rFonts w:ascii="Times New Roman" w:hAnsi="Times New Roman" w:eastAsia="Times New Roman" w:cs="Times New Roman"/>
          <w:sz w:val="24"/>
          <w:szCs w:val="24"/>
          <w:lang w:val="es-PE" w:eastAsia="es-ES"/>
        </w:rPr>
        <w:t>en razón del</w:t>
      </w:r>
      <w:proofErr w:type="gramEnd"/>
      <w:r w:rsidRPr="00624EA6">
        <w:rPr>
          <w:rFonts w:ascii="Times New Roman" w:hAnsi="Times New Roman" w:eastAsia="Times New Roman" w:cs="Times New Roman"/>
          <w:sz w:val="24"/>
          <w:szCs w:val="24"/>
          <w:lang w:val="es-PE" w:eastAsia="es-ES"/>
        </w:rPr>
        <w:t xml:space="preserve"> plan (básico) contratado en cada caso.  El texto correspondiente inclusive fue reproducido en la resolución recurrida, por lo que causa extrañeza que el reclamante sostenga cosa </w:t>
      </w:r>
      <w:r w:rsidRPr="00624EA6">
        <w:rPr>
          <w:rFonts w:ascii="Times New Roman" w:hAnsi="Times New Roman" w:eastAsia="Times New Roman" w:cs="Times New Roman"/>
          <w:sz w:val="24"/>
          <w:szCs w:val="24"/>
          <w:lang w:val="es-PE" w:eastAsia="es-ES"/>
        </w:rPr>
        <w:t>distinta a lo que fue acordado al contratar. Las condiciones particulares tienen prevalencia sobre las generales, conforme está previsto en la propia Ley Nro. 29946 – Ley del Contrato de Seguro.</w:t>
      </w:r>
    </w:p>
    <w:p w:rsidRPr="00624EA6" w:rsidR="00624EA6" w:rsidP="00624EA6" w:rsidRDefault="00624EA6" w14:paraId="31E14D40" w14:textId="77777777">
      <w:pPr>
        <w:tabs>
          <w:tab w:val="left" w:pos="709"/>
          <w:tab w:val="left" w:pos="2160"/>
        </w:tabs>
        <w:spacing w:after="0" w:line="240" w:lineRule="auto"/>
        <w:ind w:left="709" w:hanging="709"/>
        <w:jc w:val="both"/>
        <w:rPr>
          <w:rFonts w:ascii="Times New Roman" w:hAnsi="Times New Roman" w:cs="Times New Roman"/>
          <w:bCs/>
          <w:sz w:val="24"/>
          <w:szCs w:val="24"/>
          <w:lang w:val="es-PE"/>
        </w:rPr>
      </w:pPr>
    </w:p>
    <w:p w:rsidRPr="00624EA6" w:rsidR="00624EA6" w:rsidP="4F860087" w:rsidRDefault="00624EA6" w14:paraId="2B5D57A9" w14:textId="36401940">
      <w:pPr>
        <w:tabs>
          <w:tab w:val="left" w:pos="709"/>
          <w:tab w:val="left" w:pos="2160"/>
        </w:tabs>
        <w:spacing w:after="0" w:line="240" w:lineRule="auto"/>
        <w:ind w:left="709" w:hanging="709"/>
        <w:jc w:val="both"/>
        <w:rPr>
          <w:rFonts w:ascii="Times New Roman" w:hAnsi="Times New Roman" w:cs="Times New Roman"/>
          <w:sz w:val="24"/>
          <w:szCs w:val="24"/>
          <w:lang w:val="es-PE"/>
        </w:rPr>
      </w:pPr>
      <w:r w:rsidRPr="4F860087" w:rsidR="00624EA6">
        <w:rPr>
          <w:rFonts w:ascii="Times New Roman" w:hAnsi="Times New Roman" w:cs="Times New Roman"/>
          <w:sz w:val="24"/>
          <w:szCs w:val="24"/>
          <w:lang w:val="es-PE"/>
        </w:rPr>
        <w:t>3.5.</w:t>
      </w:r>
      <w:r>
        <w:tab/>
      </w:r>
      <w:r w:rsidRPr="4F860087" w:rsidR="00624EA6">
        <w:rPr>
          <w:rFonts w:ascii="Times New Roman" w:hAnsi="Times New Roman" w:cs="Times New Roman"/>
          <w:sz w:val="24"/>
          <w:szCs w:val="24"/>
          <w:lang w:val="es-PE"/>
        </w:rPr>
        <w:t xml:space="preserve">Por último, más allá del malestar que pueda ocasionar en el colegiado, y ante los asegurados, que </w:t>
      </w:r>
      <w:r w:rsidRPr="4F860087" w:rsidR="2C0AAB4F">
        <w:rPr>
          <w:rFonts w:ascii="Times New Roman" w:hAnsi="Times New Roman" w:cs="Times New Roman"/>
          <w:sz w:val="24"/>
          <w:szCs w:val="24"/>
          <w:lang w:val="es-PE"/>
        </w:rPr>
        <w:t>................................</w:t>
      </w:r>
      <w:r w:rsidRPr="4F860087" w:rsidR="00624EA6">
        <w:rPr>
          <w:rFonts w:ascii="Times New Roman" w:hAnsi="Times New Roman" w:cs="Times New Roman"/>
          <w:sz w:val="24"/>
          <w:szCs w:val="24"/>
          <w:lang w:val="es-PE"/>
        </w:rPr>
        <w:t xml:space="preserve"> no cumpla con sus compromisos de presentar oportunamente sus descargos y la documentación que le sea requerida, lo cierto es que el Reglamento de la DEFASEG permite su presentación extemporánea (artículo 10), norma de la cual interesa destacar dos aspectos: (i) Que l</w:t>
      </w:r>
      <w:r w:rsidRPr="4F860087" w:rsidR="00624EA6">
        <w:rPr>
          <w:rFonts w:ascii="Times New Roman" w:hAnsi="Times New Roman" w:cs="Times New Roman"/>
          <w:sz w:val="24"/>
          <w:szCs w:val="24"/>
          <w:lang w:val="es-PE"/>
        </w:rPr>
        <w:t>a sola presentación del reclamación implica un automático e incondicional sometimiento a las disposiciones del Reglamento, y (</w:t>
      </w:r>
      <w:r w:rsidRPr="4F860087" w:rsidR="00624EA6">
        <w:rPr>
          <w:rFonts w:ascii="Times New Roman" w:hAnsi="Times New Roman" w:cs="Times New Roman"/>
          <w:sz w:val="24"/>
          <w:szCs w:val="24"/>
          <w:lang w:val="es-PE"/>
        </w:rPr>
        <w:t>ii</w:t>
      </w:r>
      <w:r w:rsidRPr="4F860087" w:rsidR="00624EA6">
        <w:rPr>
          <w:rFonts w:ascii="Times New Roman" w:hAnsi="Times New Roman" w:cs="Times New Roman"/>
          <w:sz w:val="24"/>
          <w:szCs w:val="24"/>
          <w:lang w:val="es-PE"/>
        </w:rPr>
        <w:t>) Que notificada de la reclamación</w:t>
      </w:r>
      <w:r w:rsidRPr="4F860087" w:rsidR="00624EA6">
        <w:rPr>
          <w:rFonts w:ascii="Times New Roman" w:hAnsi="Times New Roman" w:cs="Times New Roman"/>
          <w:sz w:val="24"/>
          <w:szCs w:val="24"/>
          <w:lang w:val="es-PE"/>
        </w:rPr>
        <w:t xml:space="preserve">, </w:t>
      </w:r>
      <w:r w:rsidRPr="4F860087" w:rsidR="00624EA6">
        <w:rPr>
          <w:rFonts w:ascii="Times New Roman" w:hAnsi="Times New Roman" w:cs="Times New Roman"/>
          <w:sz w:val="24"/>
          <w:szCs w:val="24"/>
          <w:lang w:val="es-PE"/>
        </w:rPr>
        <w:t>la rebeldía de la aseguradora en no presentar oportunamente sus descargos no le impide apersonarse al proceso posteriormente en el estado en que se encuentre, ni la priva en forma alguna de su derecho de defensa.  En cualquier caso, debe considerarse que esta Defensoría declara fundada una reclamación porque concluye que le asiste el derecho, no porque la aseguradora no haya presentado en tiempo oportuno sus descargos.</w:t>
      </w:r>
    </w:p>
    <w:p w:rsidRPr="00624EA6" w:rsidR="00624EA6" w:rsidP="00624EA6" w:rsidRDefault="00624EA6" w14:paraId="36F8A5D8" w14:textId="77777777">
      <w:pPr>
        <w:tabs>
          <w:tab w:val="left" w:pos="0"/>
          <w:tab w:val="left" w:pos="2160"/>
        </w:tabs>
        <w:spacing w:after="0" w:line="240" w:lineRule="auto"/>
        <w:jc w:val="both"/>
        <w:rPr>
          <w:rFonts w:ascii="Times New Roman" w:hAnsi="Times New Roman" w:cs="Times New Roman"/>
          <w:sz w:val="24"/>
          <w:szCs w:val="24"/>
          <w:lang w:val="es-PE"/>
        </w:rPr>
      </w:pPr>
    </w:p>
    <w:p w:rsidRPr="00624EA6" w:rsidR="00624EA6" w:rsidP="00624EA6" w:rsidRDefault="00624EA6" w14:paraId="7BFF12D3" w14:textId="77777777">
      <w:pPr>
        <w:tabs>
          <w:tab w:val="left" w:pos="2160"/>
        </w:tabs>
        <w:spacing w:after="0" w:line="240" w:lineRule="auto"/>
        <w:jc w:val="both"/>
        <w:rPr>
          <w:rFonts w:ascii="Times New Roman" w:hAnsi="Times New Roman" w:cs="Times New Roman"/>
          <w:sz w:val="24"/>
          <w:szCs w:val="24"/>
          <w:lang w:val="es-ES"/>
        </w:rPr>
      </w:pPr>
      <w:r w:rsidRPr="00624EA6">
        <w:rPr>
          <w:rFonts w:ascii="Times New Roman" w:hAnsi="Times New Roman" w:cs="Times New Roman"/>
          <w:sz w:val="24"/>
          <w:szCs w:val="24"/>
          <w:lang w:val="es-ES"/>
        </w:rPr>
        <w:t>En atención a las consideraciones precedentes, este colegiado aprecia que no existe mérito ni razón objetiva para revocar la resolución recurrida; por lo tanto,</w:t>
      </w:r>
    </w:p>
    <w:p w:rsidRPr="00624EA6" w:rsidR="00624EA6" w:rsidP="00624EA6" w:rsidRDefault="00624EA6" w14:paraId="0382342C" w14:textId="77777777">
      <w:pPr>
        <w:spacing w:after="0" w:line="240" w:lineRule="auto"/>
        <w:jc w:val="both"/>
        <w:rPr>
          <w:rFonts w:ascii="Times New Roman" w:hAnsi="Times New Roman" w:eastAsia="Times New Roman" w:cs="Times New Roman"/>
          <w:bCs/>
          <w:sz w:val="24"/>
          <w:szCs w:val="24"/>
          <w:lang w:val="es-ES" w:eastAsia="ar-SA"/>
        </w:rPr>
      </w:pPr>
    </w:p>
    <w:p w:rsidRPr="00624EA6" w:rsidR="00624EA6" w:rsidP="00624EA6" w:rsidRDefault="00624EA6" w14:paraId="351837DA" w14:textId="77777777">
      <w:pPr>
        <w:spacing w:after="0" w:line="240" w:lineRule="auto"/>
        <w:jc w:val="both"/>
        <w:rPr>
          <w:rFonts w:ascii="Times New Roman" w:hAnsi="Times New Roman" w:cs="Times New Roman"/>
          <w:b/>
          <w:sz w:val="24"/>
          <w:szCs w:val="24"/>
          <w:lang w:val="es-PE"/>
        </w:rPr>
      </w:pPr>
      <w:r w:rsidRPr="00624EA6">
        <w:rPr>
          <w:rFonts w:ascii="Times New Roman" w:hAnsi="Times New Roman" w:cs="Times New Roman"/>
          <w:b/>
          <w:sz w:val="24"/>
          <w:szCs w:val="24"/>
          <w:lang w:val="es-PE"/>
        </w:rPr>
        <w:t>Atendiendo a lo expresado, conforme a su reglamento, este colegiado resuelve:</w:t>
      </w:r>
    </w:p>
    <w:p w:rsidRPr="00624EA6" w:rsidR="00624EA6" w:rsidP="00624EA6" w:rsidRDefault="00624EA6" w14:paraId="7D23850D" w14:textId="77777777">
      <w:pPr>
        <w:spacing w:after="0" w:line="240" w:lineRule="auto"/>
        <w:jc w:val="both"/>
        <w:rPr>
          <w:rFonts w:ascii="Times New Roman" w:hAnsi="Times New Roman" w:eastAsia="Arial Unicode MS" w:cs="Times New Roman"/>
          <w:b/>
          <w:sz w:val="24"/>
          <w:szCs w:val="24"/>
          <w:lang w:val="es-PE"/>
        </w:rPr>
      </w:pPr>
    </w:p>
    <w:p w:rsidR="00624EA6" w:rsidP="00624EA6" w:rsidRDefault="00624EA6" w14:paraId="56B44247" w14:textId="6C1AFC1B">
      <w:pPr>
        <w:spacing w:after="0" w:line="240" w:lineRule="auto"/>
        <w:jc w:val="both"/>
        <w:rPr>
          <w:rFonts w:ascii="Times New Roman" w:hAnsi="Times New Roman" w:eastAsia="Times New Roman" w:cs="Times New Roman"/>
          <w:sz w:val="24"/>
          <w:szCs w:val="24"/>
          <w:lang w:val="es-ES" w:eastAsia="ar-SA"/>
        </w:rPr>
      </w:pPr>
      <w:r w:rsidRPr="4F860087" w:rsidR="00624EA6">
        <w:rPr>
          <w:rFonts w:ascii="Times New Roman" w:hAnsi="Times New Roman" w:eastAsia="Arial Unicode MS" w:cs="Times New Roman"/>
          <w:b w:val="1"/>
          <w:bCs w:val="1"/>
          <w:sz w:val="24"/>
          <w:szCs w:val="24"/>
          <w:lang w:val="es-PE"/>
        </w:rPr>
        <w:t xml:space="preserve">Declarar INFUNDADO el recurso impugnativo </w:t>
      </w:r>
      <w:r w:rsidRPr="4F860087" w:rsidR="00624EA6">
        <w:rPr>
          <w:rFonts w:ascii="Times New Roman" w:hAnsi="Times New Roman" w:eastAsia="Arial Unicode MS" w:cs="Times New Roman"/>
          <w:sz w:val="24"/>
          <w:szCs w:val="24"/>
          <w:lang w:val="es-PE"/>
        </w:rPr>
        <w:t xml:space="preserve">interpuesto </w:t>
      </w:r>
      <w:r w:rsidRPr="4F860087" w:rsidR="00624EA6">
        <w:rPr>
          <w:rFonts w:ascii="Times New Roman" w:hAnsi="Times New Roman" w:eastAsia="Times New Roman" w:cs="Times New Roman"/>
          <w:sz w:val="24"/>
          <w:szCs w:val="24"/>
          <w:lang w:val="es-PE" w:eastAsia="es-ES"/>
        </w:rPr>
        <w:t>don</w:t>
      </w:r>
      <w:r w:rsidRPr="4F860087" w:rsidR="00624EA6">
        <w:rPr>
          <w:rFonts w:ascii="Times New Roman" w:hAnsi="Times New Roman" w:cs="Times New Roman"/>
          <w:sz w:val="24"/>
          <w:szCs w:val="24"/>
          <w:lang w:val="es-ES"/>
        </w:rPr>
        <w:t xml:space="preserve"> </w:t>
      </w:r>
      <w:r w:rsidRPr="4F860087" w:rsidR="3B91E3EE">
        <w:rPr>
          <w:rFonts w:ascii="Times New Roman" w:hAnsi="Times New Roman" w:cs="Times New Roman"/>
          <w:sz w:val="24"/>
          <w:szCs w:val="24"/>
          <w:lang w:val="es-ES"/>
        </w:rPr>
        <w:t>.......................................................</w:t>
      </w:r>
      <w:r w:rsidRPr="4F860087" w:rsidR="00624EA6">
        <w:rPr>
          <w:rFonts w:ascii="Times New Roman" w:hAnsi="Times New Roman" w:eastAsia="Arial Unicode MS" w:cs="Times New Roman"/>
          <w:sz w:val="24"/>
          <w:szCs w:val="24"/>
          <w:lang w:val="es-PE"/>
        </w:rPr>
        <w:t xml:space="preserve"> </w:t>
      </w:r>
      <w:r w:rsidRPr="4F860087" w:rsidR="00624EA6">
        <w:rPr>
          <w:rFonts w:ascii="Times New Roman" w:hAnsi="Times New Roman" w:cs="Times New Roman"/>
          <w:sz w:val="24"/>
          <w:szCs w:val="24"/>
          <w:lang w:val="es-ES"/>
        </w:rPr>
        <w:t>y, por consiguiente, ratificar</w:t>
      </w:r>
      <w:r w:rsidRPr="4F860087" w:rsidR="00624EA6">
        <w:rPr>
          <w:rFonts w:ascii="Times New Roman" w:hAnsi="Times New Roman" w:eastAsia="Times New Roman" w:cs="Times New Roman"/>
          <w:sz w:val="24"/>
          <w:szCs w:val="24"/>
          <w:lang w:val="es-ES" w:eastAsia="ar-SA"/>
        </w:rPr>
        <w:t xml:space="preserve"> la Resolución Nro. 090/21, de fecha 21 de julio de 2021.</w:t>
      </w:r>
    </w:p>
    <w:p w:rsidRPr="00624EA6" w:rsidR="00A418BC" w:rsidP="00624EA6" w:rsidRDefault="00A418BC" w14:paraId="5C1C8AE0" w14:textId="77777777">
      <w:pPr>
        <w:spacing w:after="0" w:line="240" w:lineRule="auto"/>
        <w:jc w:val="both"/>
        <w:rPr>
          <w:rFonts w:ascii="Times New Roman" w:hAnsi="Times New Roman" w:eastAsia="Arial Unicode MS" w:cs="Times New Roman"/>
          <w:sz w:val="24"/>
          <w:szCs w:val="24"/>
          <w:lang w:val="es-PE"/>
        </w:rPr>
      </w:pPr>
    </w:p>
    <w:p w:rsidRPr="00624EA6" w:rsidR="00C671F5" w:rsidP="00CF22D3" w:rsidRDefault="0091528B" w14:paraId="486C3F46" w14:textId="44B52B77">
      <w:pPr>
        <w:suppressAutoHyphens/>
        <w:spacing w:after="0" w:line="240" w:lineRule="auto"/>
        <w:jc w:val="right"/>
        <w:outlineLvl w:val="0"/>
        <w:rPr>
          <w:rFonts w:ascii="Times New Roman" w:hAnsi="Times New Roman" w:eastAsia="Arial Unicode MS" w:cs="Times New Roman"/>
          <w:sz w:val="24"/>
          <w:szCs w:val="24"/>
          <w:lang w:val="es-PE" w:eastAsia="ar-SA"/>
        </w:rPr>
      </w:pPr>
      <w:r w:rsidRPr="00624EA6">
        <w:rPr>
          <w:rFonts w:ascii="Times New Roman" w:hAnsi="Times New Roman" w:eastAsia="Arial Unicode MS" w:cs="Times New Roman"/>
          <w:sz w:val="24"/>
          <w:szCs w:val="24"/>
          <w:lang w:val="es-PE" w:eastAsia="ar-SA"/>
        </w:rPr>
        <w:t xml:space="preserve">Lima, </w:t>
      </w:r>
      <w:r w:rsidRPr="00624EA6" w:rsidR="00624EA6">
        <w:rPr>
          <w:rFonts w:ascii="Times New Roman" w:hAnsi="Times New Roman" w:eastAsia="Arial Unicode MS" w:cs="Times New Roman"/>
          <w:sz w:val="24"/>
          <w:szCs w:val="24"/>
          <w:lang w:val="es-PE" w:eastAsia="ar-SA"/>
        </w:rPr>
        <w:t>16</w:t>
      </w:r>
      <w:r w:rsidRPr="00624EA6" w:rsidR="00EA67A0">
        <w:rPr>
          <w:rFonts w:ascii="Times New Roman" w:hAnsi="Times New Roman" w:eastAsia="Arial Unicode MS" w:cs="Times New Roman"/>
          <w:sz w:val="24"/>
          <w:szCs w:val="24"/>
          <w:lang w:val="es-PE" w:eastAsia="ar-SA"/>
        </w:rPr>
        <w:t xml:space="preserve"> </w:t>
      </w:r>
      <w:r w:rsidRPr="00624EA6" w:rsidR="00707C99">
        <w:rPr>
          <w:rFonts w:ascii="Times New Roman" w:hAnsi="Times New Roman" w:eastAsia="Arial Unicode MS" w:cs="Times New Roman"/>
          <w:sz w:val="24"/>
          <w:szCs w:val="24"/>
          <w:lang w:val="es-PE" w:eastAsia="ar-SA"/>
        </w:rPr>
        <w:t xml:space="preserve">de </w:t>
      </w:r>
      <w:r w:rsidRPr="00624EA6" w:rsidR="00624EA6">
        <w:rPr>
          <w:rFonts w:ascii="Times New Roman" w:hAnsi="Times New Roman" w:eastAsia="Arial Unicode MS" w:cs="Times New Roman"/>
          <w:sz w:val="24"/>
          <w:szCs w:val="24"/>
          <w:lang w:val="es-PE" w:eastAsia="ar-SA"/>
        </w:rPr>
        <w:t xml:space="preserve">agosto </w:t>
      </w:r>
      <w:r w:rsidRPr="00624EA6" w:rsidR="00F06498">
        <w:rPr>
          <w:rFonts w:ascii="Times New Roman" w:hAnsi="Times New Roman" w:eastAsia="Arial Unicode MS" w:cs="Times New Roman"/>
          <w:sz w:val="24"/>
          <w:szCs w:val="24"/>
          <w:lang w:val="es-PE" w:eastAsia="ar-SA"/>
        </w:rPr>
        <w:t>de 202</w:t>
      </w:r>
      <w:r w:rsidRPr="00624EA6" w:rsidR="00231C58">
        <w:rPr>
          <w:rFonts w:ascii="Times New Roman" w:hAnsi="Times New Roman" w:eastAsia="Arial Unicode MS" w:cs="Times New Roman"/>
          <w:sz w:val="24"/>
          <w:szCs w:val="24"/>
          <w:lang w:val="es-PE" w:eastAsia="ar-SA"/>
        </w:rPr>
        <w:t>1</w:t>
      </w:r>
      <w:r w:rsidRPr="00624EA6" w:rsidR="00707C99">
        <w:rPr>
          <w:rFonts w:ascii="Times New Roman" w:hAnsi="Times New Roman" w:eastAsia="Times New Roman" w:cs="Times New Roman"/>
          <w:sz w:val="24"/>
          <w:szCs w:val="24"/>
          <w:lang w:val="es-PE" w:eastAsia="ar-SA"/>
        </w:rPr>
        <w:t xml:space="preserve"> </w:t>
      </w:r>
    </w:p>
    <w:p w:rsidRPr="00624EA6"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624EA6"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624EA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24EA6"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624EA6" w:rsidR="00DE2C76" w:rsidP="00DE2C76" w:rsidRDefault="009C4742" w14:paraId="0AC29F6A" w14:textId="53E17E4E">
      <w:pPr>
        <w:spacing w:after="0" w:line="360" w:lineRule="auto"/>
        <w:jc w:val="center"/>
        <w:rPr>
          <w:rFonts w:ascii="Times New Roman" w:hAnsi="Times New Roman" w:cs="Times New Roman"/>
          <w:b/>
          <w:bCs/>
          <w:sz w:val="24"/>
          <w:szCs w:val="24"/>
          <w:lang w:val="es-PE"/>
        </w:rPr>
      </w:pPr>
      <w:r w:rsidRPr="00624EA6">
        <w:rPr>
          <w:rFonts w:ascii="Times New Roman" w:hAnsi="Times New Roman" w:cs="Times New Roman"/>
          <w:b/>
          <w:bCs/>
          <w:sz w:val="24"/>
          <w:szCs w:val="24"/>
          <w:lang w:val="es-PE"/>
        </w:rPr>
        <w:t xml:space="preserve">María Eugenia Valdez Fernández Baca </w:t>
      </w:r>
      <w:r w:rsidRPr="00624EA6" w:rsidR="00DE2C76">
        <w:rPr>
          <w:rFonts w:ascii="Times New Roman" w:hAnsi="Times New Roman" w:cs="Times New Roman"/>
          <w:b/>
          <w:bCs/>
          <w:sz w:val="24"/>
          <w:szCs w:val="24"/>
          <w:lang w:val="es-PE"/>
        </w:rPr>
        <w:t>– Vocal</w:t>
      </w:r>
    </w:p>
    <w:p w:rsidRPr="00624EA6"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624EA6">
        <w:rPr>
          <w:rFonts w:ascii="Times New Roman" w:hAnsi="Times New Roman" w:cs="Times New Roman"/>
          <w:b/>
          <w:bCs/>
          <w:sz w:val="24"/>
          <w:szCs w:val="24"/>
          <w:lang w:val="es-PE"/>
        </w:rPr>
        <w:t xml:space="preserve">Rolando Eyzaguirre </w:t>
      </w:r>
      <w:proofErr w:type="spellStart"/>
      <w:r w:rsidRPr="00624EA6">
        <w:rPr>
          <w:rFonts w:ascii="Times New Roman" w:hAnsi="Times New Roman" w:cs="Times New Roman"/>
          <w:b/>
          <w:bCs/>
          <w:sz w:val="24"/>
          <w:szCs w:val="24"/>
          <w:lang w:val="es-PE"/>
        </w:rPr>
        <w:t>Maccan</w:t>
      </w:r>
      <w:proofErr w:type="spellEnd"/>
      <w:r w:rsidRPr="00624EA6">
        <w:rPr>
          <w:rFonts w:ascii="Times New Roman" w:hAnsi="Times New Roman" w:cs="Times New Roman"/>
          <w:b/>
          <w:bCs/>
          <w:sz w:val="24"/>
          <w:szCs w:val="24"/>
          <w:lang w:val="es-PE"/>
        </w:rPr>
        <w:t xml:space="preserve"> – Vocal</w:t>
      </w:r>
    </w:p>
    <w:p w:rsidRPr="00624EA6"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624EA6">
        <w:rPr>
          <w:rFonts w:ascii="Times New Roman" w:hAnsi="Times New Roman" w:cs="Times New Roman"/>
          <w:b/>
          <w:bCs/>
          <w:sz w:val="24"/>
          <w:szCs w:val="24"/>
          <w:lang w:val="es-PE"/>
        </w:rPr>
        <w:t xml:space="preserve">Gonzalo Abad del Busto </w:t>
      </w:r>
      <w:r w:rsidRPr="00624EA6" w:rsidR="00231C58">
        <w:rPr>
          <w:rFonts w:ascii="Times New Roman" w:hAnsi="Times New Roman" w:cs="Times New Roman"/>
          <w:b/>
          <w:bCs/>
          <w:sz w:val="24"/>
          <w:szCs w:val="24"/>
          <w:lang w:val="es-PE"/>
        </w:rPr>
        <w:t xml:space="preserve">– </w:t>
      </w:r>
      <w:r w:rsidRPr="00624EA6">
        <w:rPr>
          <w:rFonts w:ascii="Times New Roman" w:hAnsi="Times New Roman" w:cs="Times New Roman"/>
          <w:b/>
          <w:bCs/>
          <w:sz w:val="24"/>
          <w:szCs w:val="24"/>
          <w:lang w:val="es-PE"/>
        </w:rPr>
        <w:t>Vocal</w:t>
      </w:r>
    </w:p>
    <w:p w:rsidRPr="0061360C"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PE" w:eastAsia="ar-SA"/>
        </w:rPr>
      </w:pPr>
    </w:p>
    <w:p w:rsidRPr="0061360C"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61360C"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7F3B" w:rsidP="00784355" w:rsidRDefault="00E57F3B" w14:paraId="1FF271BE" w14:textId="77777777">
      <w:pPr>
        <w:spacing w:after="0" w:line="240" w:lineRule="auto"/>
      </w:pPr>
      <w:r>
        <w:separator/>
      </w:r>
    </w:p>
  </w:endnote>
  <w:endnote w:type="continuationSeparator" w:id="0">
    <w:p w:rsidR="00E57F3B" w:rsidP="00784355" w:rsidRDefault="00E57F3B" w14:paraId="7844EB1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C01888">
              <w:rPr>
                <w:rFonts w:ascii="Times New Roman" w:hAnsi="Times New Roman" w:cs="Times New Roman"/>
                <w:sz w:val="18"/>
                <w:szCs w:val="18"/>
                <w:lang w:val="es-ES"/>
              </w:rPr>
              <w:t xml:space="preserve">Página </w:t>
            </w:r>
            <w:r w:rsidRPr="00C01888">
              <w:rPr>
                <w:rFonts w:ascii="Times New Roman" w:hAnsi="Times New Roman" w:cs="Times New Roman"/>
                <w:b/>
                <w:bCs/>
                <w:sz w:val="18"/>
                <w:szCs w:val="18"/>
              </w:rPr>
              <w:fldChar w:fldCharType="begin"/>
            </w:r>
            <w:r w:rsidRPr="00C01888">
              <w:rPr>
                <w:rFonts w:ascii="Times New Roman" w:hAnsi="Times New Roman" w:cs="Times New Roman"/>
                <w:b/>
                <w:bCs/>
                <w:sz w:val="18"/>
                <w:szCs w:val="18"/>
              </w:rPr>
              <w:instrText>PAGE</w:instrText>
            </w:r>
            <w:r w:rsidRPr="00C01888">
              <w:rPr>
                <w:rFonts w:ascii="Times New Roman" w:hAnsi="Times New Roman" w:cs="Times New Roman"/>
                <w:b/>
                <w:bCs/>
                <w:sz w:val="18"/>
                <w:szCs w:val="18"/>
              </w:rPr>
              <w:fldChar w:fldCharType="separate"/>
            </w:r>
            <w:r w:rsidRPr="00C01888">
              <w:rPr>
                <w:rFonts w:ascii="Times New Roman" w:hAnsi="Times New Roman" w:cs="Times New Roman"/>
                <w:b/>
                <w:bCs/>
                <w:sz w:val="18"/>
                <w:szCs w:val="18"/>
                <w:lang w:val="es-ES"/>
              </w:rPr>
              <w:t>2</w:t>
            </w:r>
            <w:r w:rsidRPr="00C01888">
              <w:rPr>
                <w:rFonts w:ascii="Times New Roman" w:hAnsi="Times New Roman" w:cs="Times New Roman"/>
                <w:b/>
                <w:bCs/>
                <w:sz w:val="18"/>
                <w:szCs w:val="18"/>
              </w:rPr>
              <w:fldChar w:fldCharType="end"/>
            </w:r>
            <w:r w:rsidRPr="00C01888">
              <w:rPr>
                <w:rFonts w:ascii="Times New Roman" w:hAnsi="Times New Roman" w:cs="Times New Roman"/>
                <w:sz w:val="18"/>
                <w:szCs w:val="18"/>
                <w:lang w:val="es-ES"/>
              </w:rPr>
              <w:t xml:space="preserve"> de </w:t>
            </w:r>
            <w:r w:rsidRPr="00C01888">
              <w:rPr>
                <w:rFonts w:ascii="Times New Roman" w:hAnsi="Times New Roman" w:cs="Times New Roman"/>
                <w:b/>
                <w:bCs/>
                <w:sz w:val="18"/>
                <w:szCs w:val="18"/>
              </w:rPr>
              <w:fldChar w:fldCharType="begin"/>
            </w:r>
            <w:r w:rsidRPr="00C01888">
              <w:rPr>
                <w:rFonts w:ascii="Times New Roman" w:hAnsi="Times New Roman" w:cs="Times New Roman"/>
                <w:b/>
                <w:bCs/>
                <w:sz w:val="18"/>
                <w:szCs w:val="18"/>
              </w:rPr>
              <w:instrText>NUMPAGES</w:instrText>
            </w:r>
            <w:r w:rsidRPr="00C01888">
              <w:rPr>
                <w:rFonts w:ascii="Times New Roman" w:hAnsi="Times New Roman" w:cs="Times New Roman"/>
                <w:b/>
                <w:bCs/>
                <w:sz w:val="18"/>
                <w:szCs w:val="18"/>
              </w:rPr>
              <w:fldChar w:fldCharType="separate"/>
            </w:r>
            <w:r w:rsidRPr="00C01888">
              <w:rPr>
                <w:rFonts w:ascii="Times New Roman" w:hAnsi="Times New Roman" w:cs="Times New Roman"/>
                <w:b/>
                <w:bCs/>
                <w:sz w:val="18"/>
                <w:szCs w:val="18"/>
                <w:lang w:val="es-ES"/>
              </w:rPr>
              <w:t>2</w:t>
            </w:r>
            <w:r w:rsidRPr="00C01888">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7F3B" w:rsidP="00784355" w:rsidRDefault="00E57F3B" w14:paraId="617E131E" w14:textId="77777777">
      <w:pPr>
        <w:spacing w:after="0" w:line="240" w:lineRule="auto"/>
      </w:pPr>
      <w:r>
        <w:separator/>
      </w:r>
    </w:p>
  </w:footnote>
  <w:footnote w:type="continuationSeparator" w:id="0">
    <w:p w:rsidR="00E57F3B" w:rsidP="00784355" w:rsidRDefault="00E57F3B" w14:paraId="532AA91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367"/>
    <w:rsid w:val="00465FB9"/>
    <w:rsid w:val="00466302"/>
    <w:rsid w:val="0047370C"/>
    <w:rsid w:val="0047522D"/>
    <w:rsid w:val="00476BA1"/>
    <w:rsid w:val="00496A1A"/>
    <w:rsid w:val="004A3E25"/>
    <w:rsid w:val="004B51ED"/>
    <w:rsid w:val="004C51EC"/>
    <w:rsid w:val="004E65DD"/>
    <w:rsid w:val="004F549E"/>
    <w:rsid w:val="004F6BA0"/>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24EA6"/>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A4B79"/>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157"/>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1D3A"/>
    <w:rsid w:val="007E3C96"/>
    <w:rsid w:val="007E5917"/>
    <w:rsid w:val="007F74F1"/>
    <w:rsid w:val="008010D0"/>
    <w:rsid w:val="008020A1"/>
    <w:rsid w:val="008021C7"/>
    <w:rsid w:val="00816B3F"/>
    <w:rsid w:val="0081754D"/>
    <w:rsid w:val="008177B9"/>
    <w:rsid w:val="00821801"/>
    <w:rsid w:val="00836831"/>
    <w:rsid w:val="00837DDE"/>
    <w:rsid w:val="008523F5"/>
    <w:rsid w:val="008548F9"/>
    <w:rsid w:val="0085575C"/>
    <w:rsid w:val="0085791F"/>
    <w:rsid w:val="00857988"/>
    <w:rsid w:val="0086244F"/>
    <w:rsid w:val="00864F82"/>
    <w:rsid w:val="00871F40"/>
    <w:rsid w:val="00883121"/>
    <w:rsid w:val="0088392F"/>
    <w:rsid w:val="00884426"/>
    <w:rsid w:val="00886D60"/>
    <w:rsid w:val="00887814"/>
    <w:rsid w:val="008916FF"/>
    <w:rsid w:val="00891DB3"/>
    <w:rsid w:val="00895A85"/>
    <w:rsid w:val="008A1D12"/>
    <w:rsid w:val="008A3A47"/>
    <w:rsid w:val="008D6DDF"/>
    <w:rsid w:val="008E71FA"/>
    <w:rsid w:val="008F1161"/>
    <w:rsid w:val="008F479E"/>
    <w:rsid w:val="009011F1"/>
    <w:rsid w:val="009127A6"/>
    <w:rsid w:val="0091528B"/>
    <w:rsid w:val="009157B1"/>
    <w:rsid w:val="00917CAF"/>
    <w:rsid w:val="009207A0"/>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474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18BC"/>
    <w:rsid w:val="00A427D6"/>
    <w:rsid w:val="00A46E96"/>
    <w:rsid w:val="00A51F2A"/>
    <w:rsid w:val="00A62BEC"/>
    <w:rsid w:val="00A658C1"/>
    <w:rsid w:val="00A734AD"/>
    <w:rsid w:val="00A837A0"/>
    <w:rsid w:val="00A90926"/>
    <w:rsid w:val="00A91DE9"/>
    <w:rsid w:val="00A97287"/>
    <w:rsid w:val="00AA2DED"/>
    <w:rsid w:val="00AB1C66"/>
    <w:rsid w:val="00AC5A9E"/>
    <w:rsid w:val="00AD1FEC"/>
    <w:rsid w:val="00AD2DF1"/>
    <w:rsid w:val="00AE2813"/>
    <w:rsid w:val="00AE4125"/>
    <w:rsid w:val="00AF16B6"/>
    <w:rsid w:val="00AF5E87"/>
    <w:rsid w:val="00B00552"/>
    <w:rsid w:val="00B02BEE"/>
    <w:rsid w:val="00B11557"/>
    <w:rsid w:val="00B115C4"/>
    <w:rsid w:val="00B11C1C"/>
    <w:rsid w:val="00B17BD8"/>
    <w:rsid w:val="00B30B53"/>
    <w:rsid w:val="00B313E9"/>
    <w:rsid w:val="00B32325"/>
    <w:rsid w:val="00B340A4"/>
    <w:rsid w:val="00B45C2D"/>
    <w:rsid w:val="00B56649"/>
    <w:rsid w:val="00B625F2"/>
    <w:rsid w:val="00B663DC"/>
    <w:rsid w:val="00B669CB"/>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6FFA"/>
    <w:rsid w:val="00BE7C72"/>
    <w:rsid w:val="00BF1421"/>
    <w:rsid w:val="00BF414E"/>
    <w:rsid w:val="00BF78BF"/>
    <w:rsid w:val="00C00BBF"/>
    <w:rsid w:val="00C01888"/>
    <w:rsid w:val="00C04AA4"/>
    <w:rsid w:val="00C05445"/>
    <w:rsid w:val="00C11BCB"/>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22D3"/>
    <w:rsid w:val="00CF55D6"/>
    <w:rsid w:val="00CF78D3"/>
    <w:rsid w:val="00D006FE"/>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E2C76"/>
    <w:rsid w:val="00DF3781"/>
    <w:rsid w:val="00DF6E69"/>
    <w:rsid w:val="00E107CA"/>
    <w:rsid w:val="00E1216B"/>
    <w:rsid w:val="00E1477F"/>
    <w:rsid w:val="00E16C63"/>
    <w:rsid w:val="00E25D54"/>
    <w:rsid w:val="00E30E76"/>
    <w:rsid w:val="00E341F5"/>
    <w:rsid w:val="00E43D94"/>
    <w:rsid w:val="00E531B9"/>
    <w:rsid w:val="00E53BC5"/>
    <w:rsid w:val="00E57869"/>
    <w:rsid w:val="00E57F3B"/>
    <w:rsid w:val="00E61DBC"/>
    <w:rsid w:val="00E64057"/>
    <w:rsid w:val="00E66AFF"/>
    <w:rsid w:val="00E6771C"/>
    <w:rsid w:val="00E70381"/>
    <w:rsid w:val="00E70F8F"/>
    <w:rsid w:val="00E73DEF"/>
    <w:rsid w:val="00E80D65"/>
    <w:rsid w:val="00EA4C4B"/>
    <w:rsid w:val="00EA67A0"/>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B6BCBD6"/>
    <w:rsid w:val="1A4DE2CF"/>
    <w:rsid w:val="274BA16F"/>
    <w:rsid w:val="2AB28468"/>
    <w:rsid w:val="2C0AAB4F"/>
    <w:rsid w:val="3B91E3EE"/>
    <w:rsid w:val="4F860087"/>
    <w:rsid w:val="51D62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049479">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3E534A9-8B6D-4464-98CF-8C957B3931C5}"/>
</file>

<file path=customXml/itemProps3.xml><?xml version="1.0" encoding="utf-8"?>
<ds:datastoreItem xmlns:ds="http://schemas.openxmlformats.org/officeDocument/2006/customXml" ds:itemID="{AA7AC1C1-9364-4F70-BBAB-8C1D871954A1}"/>
</file>

<file path=customXml/itemProps4.xml><?xml version="1.0" encoding="utf-8"?>
<ds:datastoreItem xmlns:ds="http://schemas.openxmlformats.org/officeDocument/2006/customXml" ds:itemID="{C47ADC8B-1958-4FA5-8EDE-5FC61B13EF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37</cp:revision>
  <cp:lastPrinted>2021-08-16T16:26:00Z</cp:lastPrinted>
  <dcterms:created xsi:type="dcterms:W3CDTF">2020-12-18T20:17:00Z</dcterms:created>
  <dcterms:modified xsi:type="dcterms:W3CDTF">2026-02-03T21:31:10Z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